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FFF18" w14:textId="49F8C3C1" w:rsidR="00932E25" w:rsidRPr="00D6562E" w:rsidRDefault="00FA307B" w:rsidP="0069073E">
      <w:pPr>
        <w:rPr>
          <w:lang w:eastAsia="en-CA"/>
        </w:rPr>
      </w:pPr>
      <w:r w:rsidRPr="00FA307B">
        <w:rPr>
          <w:noProof/>
          <w:lang w:eastAsia="en-CA"/>
        </w:rPr>
        <w:drawing>
          <wp:anchor distT="0" distB="0" distL="114300" distR="114300" simplePos="0" relativeHeight="251659264" behindDoc="0" locked="0" layoutInCell="1" allowOverlap="1" wp14:anchorId="18520CD2" wp14:editId="677A8CEA">
            <wp:simplePos x="0" y="0"/>
            <wp:positionH relativeFrom="margin">
              <wp:align>right</wp:align>
            </wp:positionH>
            <wp:positionV relativeFrom="paragraph">
              <wp:posOffset>0</wp:posOffset>
            </wp:positionV>
            <wp:extent cx="5486400" cy="5208270"/>
            <wp:effectExtent l="0" t="0" r="0" b="0"/>
            <wp:wrapTight wrapText="bothSides">
              <wp:wrapPolygon edited="0">
                <wp:start x="0" y="0"/>
                <wp:lineTo x="0" y="21489"/>
                <wp:lineTo x="21525" y="21489"/>
                <wp:lineTo x="21525" y="0"/>
                <wp:lineTo x="0" y="0"/>
              </wp:wrapPolygon>
            </wp:wrapTight>
            <wp:docPr id="210329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9792" name=""/>
                    <pic:cNvPicPr/>
                  </pic:nvPicPr>
                  <pic:blipFill>
                    <a:blip r:embed="rId9"/>
                    <a:stretch>
                      <a:fillRect/>
                    </a:stretch>
                  </pic:blipFill>
                  <pic:spPr>
                    <a:xfrm>
                      <a:off x="0" y="0"/>
                      <a:ext cx="5486400" cy="5208270"/>
                    </a:xfrm>
                    <a:prstGeom prst="rect">
                      <a:avLst/>
                    </a:prstGeom>
                  </pic:spPr>
                </pic:pic>
              </a:graphicData>
            </a:graphic>
          </wp:anchor>
        </w:drawing>
      </w:r>
    </w:p>
    <w:p w14:paraId="144DA677" w14:textId="77777777" w:rsidR="006B091D" w:rsidRPr="006B091D" w:rsidRDefault="006B091D" w:rsidP="00FA307B">
      <w:pPr>
        <w:spacing w:after="160" w:line="259" w:lineRule="auto"/>
        <w:jc w:val="center"/>
        <w:rPr>
          <w:rFonts w:ascii="Calibri" w:eastAsia="Calibri" w:hAnsi="Calibri" w:cs="Calibri"/>
          <w:b/>
          <w:lang w:eastAsia="en-CA"/>
        </w:rPr>
      </w:pPr>
      <w:r w:rsidRPr="006B091D">
        <w:rPr>
          <w:rFonts w:ascii="Calibri" w:eastAsia="Calibri" w:hAnsi="Calibri" w:cs="Calibri"/>
          <w:b/>
          <w:lang w:eastAsia="en-CA"/>
        </w:rPr>
        <w:t>Law Commission of Ontario</w:t>
      </w:r>
    </w:p>
    <w:p w14:paraId="52E653A5" w14:textId="01F7CD32" w:rsidR="00214AFA" w:rsidRPr="00214AFA" w:rsidRDefault="006B091D" w:rsidP="00FA307B">
      <w:pPr>
        <w:spacing w:after="160" w:line="259" w:lineRule="auto"/>
        <w:jc w:val="center"/>
        <w:rPr>
          <w:rFonts w:ascii="Calibri" w:eastAsia="Calibri" w:hAnsi="Calibri" w:cs="Calibri"/>
          <w:b/>
          <w:lang w:eastAsia="en-CA"/>
        </w:rPr>
      </w:pPr>
      <w:r w:rsidRPr="006B091D">
        <w:rPr>
          <w:rFonts w:ascii="Calibri" w:eastAsia="Calibri" w:hAnsi="Calibri" w:cs="Calibri"/>
          <w:b/>
          <w:lang w:eastAsia="en-CA"/>
        </w:rPr>
        <w:t>AI IN CRIMINAL JUSTICE PROJECT</w:t>
      </w:r>
    </w:p>
    <w:p w14:paraId="6923C9EA" w14:textId="691EE854" w:rsidR="00214AFA" w:rsidRPr="00214AFA" w:rsidRDefault="00214AFA" w:rsidP="00FA307B">
      <w:pPr>
        <w:spacing w:after="160" w:line="259" w:lineRule="auto"/>
        <w:jc w:val="center"/>
        <w:rPr>
          <w:rFonts w:ascii="Calibri" w:eastAsia="Calibri" w:hAnsi="Calibri" w:cs="Calibri"/>
          <w:b/>
          <w:lang w:eastAsia="en-CA"/>
        </w:rPr>
      </w:pPr>
      <w:r w:rsidRPr="00214AFA">
        <w:rPr>
          <w:rFonts w:ascii="Calibri" w:eastAsia="Calibri" w:hAnsi="Calibri" w:cs="Calibri"/>
          <w:b/>
          <w:lang w:eastAsia="en-CA"/>
        </w:rPr>
        <w:t xml:space="preserve">Paper </w:t>
      </w:r>
      <w:r>
        <w:rPr>
          <w:rFonts w:ascii="Calibri" w:eastAsia="Calibri" w:hAnsi="Calibri" w:cs="Calibri"/>
          <w:b/>
          <w:lang w:eastAsia="en-CA"/>
        </w:rPr>
        <w:t>4</w:t>
      </w:r>
      <w:r w:rsidRPr="00214AFA">
        <w:rPr>
          <w:rFonts w:ascii="Calibri" w:eastAsia="Calibri" w:hAnsi="Calibri" w:cs="Calibri"/>
          <w:b/>
          <w:lang w:eastAsia="en-CA"/>
        </w:rPr>
        <w:t xml:space="preserve">: </w:t>
      </w:r>
      <w:r>
        <w:rPr>
          <w:rFonts w:ascii="Calibri" w:eastAsia="Calibri" w:hAnsi="Calibri" w:cs="Calibri"/>
          <w:b/>
          <w:lang w:eastAsia="en-CA"/>
        </w:rPr>
        <w:t>AI at Trial and on Appeal</w:t>
      </w:r>
    </w:p>
    <w:p w14:paraId="0A8F69D3" w14:textId="5F43F79E" w:rsidR="00214AFA" w:rsidRPr="00214AFA" w:rsidRDefault="00F52571" w:rsidP="00FA307B">
      <w:pPr>
        <w:spacing w:after="160" w:line="259" w:lineRule="auto"/>
        <w:jc w:val="center"/>
        <w:rPr>
          <w:rFonts w:ascii="Calibri" w:eastAsia="Calibri" w:hAnsi="Calibri" w:cs="Calibri"/>
          <w:b/>
          <w:lang w:eastAsia="en-CA"/>
        </w:rPr>
      </w:pPr>
      <w:r>
        <w:rPr>
          <w:rFonts w:ascii="Calibri" w:eastAsia="Calibri" w:hAnsi="Calibri" w:cs="Calibri"/>
          <w:b/>
          <w:lang w:eastAsia="en-CA"/>
        </w:rPr>
        <w:t>April</w:t>
      </w:r>
      <w:r w:rsidR="006B091D">
        <w:rPr>
          <w:rFonts w:ascii="Calibri" w:eastAsia="Calibri" w:hAnsi="Calibri" w:cs="Calibri"/>
          <w:b/>
          <w:lang w:eastAsia="en-CA"/>
        </w:rPr>
        <w:t xml:space="preserve"> 2025</w:t>
      </w:r>
    </w:p>
    <w:p w14:paraId="3ADB6A77" w14:textId="77777777" w:rsidR="00214AFA" w:rsidRPr="00214AFA" w:rsidRDefault="00214AFA" w:rsidP="00214AFA">
      <w:pPr>
        <w:spacing w:after="160" w:line="259" w:lineRule="auto"/>
        <w:rPr>
          <w:rFonts w:ascii="Calibri" w:eastAsia="Calibri" w:hAnsi="Calibri" w:cs="Calibri"/>
          <w:b/>
          <w:lang w:eastAsia="en-CA"/>
        </w:rPr>
      </w:pPr>
    </w:p>
    <w:p w14:paraId="0E903485" w14:textId="647F19AB" w:rsidR="00214AFA" w:rsidRPr="00214AFA" w:rsidRDefault="00214AFA" w:rsidP="00214AFA">
      <w:pPr>
        <w:spacing w:after="160" w:line="259" w:lineRule="auto"/>
        <w:rPr>
          <w:rFonts w:ascii="Calibri" w:eastAsia="Calibri" w:hAnsi="Calibri" w:cs="Calibri"/>
          <w:b/>
          <w:lang w:eastAsia="en-CA"/>
        </w:rPr>
      </w:pPr>
    </w:p>
    <w:p w14:paraId="4D3B8B43" w14:textId="7B08AEA7" w:rsidR="00214AFA" w:rsidRPr="00214AFA" w:rsidRDefault="00FA307B" w:rsidP="00214AFA">
      <w:pPr>
        <w:spacing w:after="160" w:line="259" w:lineRule="auto"/>
        <w:rPr>
          <w:rFonts w:ascii="Calibri" w:eastAsia="Calibri" w:hAnsi="Calibri" w:cs="Calibri"/>
          <w:b/>
          <w:lang w:eastAsia="en-CA"/>
        </w:rPr>
      </w:pPr>
      <w:r w:rsidRPr="00A720D0">
        <w:rPr>
          <w:b/>
          <w:noProof/>
        </w:rPr>
        <w:drawing>
          <wp:anchor distT="0" distB="0" distL="114300" distR="114300" simplePos="0" relativeHeight="251661312" behindDoc="0" locked="0" layoutInCell="1" allowOverlap="1" wp14:anchorId="24366F9B" wp14:editId="17212E56">
            <wp:simplePos x="0" y="0"/>
            <wp:positionH relativeFrom="margin">
              <wp:align>center</wp:align>
            </wp:positionH>
            <wp:positionV relativeFrom="paragraph">
              <wp:posOffset>11430</wp:posOffset>
            </wp:positionV>
            <wp:extent cx="1885950" cy="815340"/>
            <wp:effectExtent l="0" t="0" r="0" b="3810"/>
            <wp:wrapTight wrapText="bothSides">
              <wp:wrapPolygon edited="0">
                <wp:start x="0" y="0"/>
                <wp:lineTo x="0" y="21196"/>
                <wp:lineTo x="21382" y="21196"/>
                <wp:lineTo x="21382" y="0"/>
                <wp:lineTo x="0" y="0"/>
              </wp:wrapPolygon>
            </wp:wrapTight>
            <wp:docPr id="34184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43765" name=""/>
                    <pic:cNvPicPr/>
                  </pic:nvPicPr>
                  <pic:blipFill>
                    <a:blip r:embed="rId10"/>
                    <a:stretch>
                      <a:fillRect/>
                    </a:stretch>
                  </pic:blipFill>
                  <pic:spPr>
                    <a:xfrm>
                      <a:off x="0" y="0"/>
                      <a:ext cx="1885950" cy="815340"/>
                    </a:xfrm>
                    <a:prstGeom prst="rect">
                      <a:avLst/>
                    </a:prstGeom>
                  </pic:spPr>
                </pic:pic>
              </a:graphicData>
            </a:graphic>
            <wp14:sizeRelH relativeFrom="margin">
              <wp14:pctWidth>0</wp14:pctWidth>
            </wp14:sizeRelH>
            <wp14:sizeRelV relativeFrom="margin">
              <wp14:pctHeight>0</wp14:pctHeight>
            </wp14:sizeRelV>
          </wp:anchor>
        </w:drawing>
      </w:r>
    </w:p>
    <w:p w14:paraId="005A64FB" w14:textId="77777777" w:rsidR="00214AFA" w:rsidRPr="00214AFA" w:rsidRDefault="00214AFA" w:rsidP="00214AFA">
      <w:pPr>
        <w:spacing w:after="160" w:line="259" w:lineRule="auto"/>
        <w:rPr>
          <w:rFonts w:ascii="Calibri" w:eastAsia="Calibri" w:hAnsi="Calibri" w:cs="Calibri"/>
          <w:b/>
          <w:lang w:eastAsia="en-CA"/>
        </w:rPr>
      </w:pPr>
    </w:p>
    <w:p w14:paraId="26E0AA48" w14:textId="77777777" w:rsidR="00214AFA" w:rsidRPr="00214AFA" w:rsidRDefault="00214AFA" w:rsidP="00214AFA">
      <w:pPr>
        <w:spacing w:after="160" w:line="259" w:lineRule="auto"/>
        <w:rPr>
          <w:rFonts w:ascii="Calibri" w:eastAsia="Calibri" w:hAnsi="Calibri" w:cs="Calibri"/>
          <w:b/>
          <w:lang w:eastAsia="en-CA"/>
        </w:rPr>
      </w:pPr>
    </w:p>
    <w:p w14:paraId="65BDFC40" w14:textId="77777777" w:rsidR="006B091D" w:rsidRPr="006B091D" w:rsidRDefault="006B091D" w:rsidP="006B091D">
      <w:pPr>
        <w:spacing w:after="160" w:line="259" w:lineRule="auto"/>
        <w:rPr>
          <w:rFonts w:ascii="Calibri" w:eastAsia="Calibri" w:hAnsi="Calibri" w:cs="Calibri"/>
          <w:b/>
          <w:sz w:val="22"/>
          <w:szCs w:val="22"/>
          <w:lang w:eastAsia="en-CA"/>
        </w:rPr>
      </w:pPr>
      <w:r w:rsidRPr="006B091D">
        <w:rPr>
          <w:rFonts w:ascii="Calibri" w:eastAsia="Calibri" w:hAnsi="Calibri" w:cs="Calibri"/>
          <w:b/>
          <w:sz w:val="22"/>
          <w:szCs w:val="22"/>
          <w:lang w:eastAsia="en-CA"/>
        </w:rPr>
        <w:lastRenderedPageBreak/>
        <w:t>ABOUT THE LAW COMMISSION OF ONTARIO</w:t>
      </w:r>
    </w:p>
    <w:p w14:paraId="69E5212B" w14:textId="77777777" w:rsidR="00D651FB" w:rsidRPr="00D651FB" w:rsidRDefault="00D651FB" w:rsidP="00D651FB">
      <w:pPr>
        <w:spacing w:after="160" w:line="259" w:lineRule="auto"/>
        <w:rPr>
          <w:rFonts w:ascii="Calibri" w:eastAsia="Calibri" w:hAnsi="Calibri" w:cs="Calibri"/>
          <w:sz w:val="22"/>
          <w:szCs w:val="22"/>
          <w:lang w:val="en-US" w:eastAsia="en-CA"/>
        </w:rPr>
      </w:pPr>
      <w:r w:rsidRPr="00D651FB">
        <w:rPr>
          <w:rFonts w:ascii="Calibri" w:eastAsia="Calibri" w:hAnsi="Calibri" w:cs="Calibri"/>
          <w:sz w:val="22"/>
          <w:szCs w:val="22"/>
          <w:lang w:val="en-US" w:eastAsia="en-CA"/>
        </w:rPr>
        <w:t xml:space="preserve">The Law Commission of Ontario (LCO) is Ontario’s leading law reform agency. </w:t>
      </w:r>
    </w:p>
    <w:p w14:paraId="16366FBA" w14:textId="77777777" w:rsidR="00D651FB" w:rsidRPr="00D651FB" w:rsidRDefault="00D651FB" w:rsidP="00D651FB">
      <w:pPr>
        <w:spacing w:after="160" w:line="259" w:lineRule="auto"/>
        <w:rPr>
          <w:rFonts w:ascii="Calibri" w:eastAsia="Calibri" w:hAnsi="Calibri" w:cs="Calibri"/>
          <w:sz w:val="22"/>
          <w:szCs w:val="22"/>
          <w:lang w:val="en-US" w:eastAsia="en-CA"/>
        </w:rPr>
      </w:pPr>
      <w:r w:rsidRPr="00D651FB">
        <w:rPr>
          <w:rFonts w:ascii="Calibri" w:eastAsia="Calibri" w:hAnsi="Calibri" w:cs="Calibri"/>
          <w:sz w:val="22"/>
          <w:szCs w:val="22"/>
          <w:lang w:val="en-US" w:eastAsia="en-CA"/>
        </w:rPr>
        <w:t>The LCO provides independent, balanced, and authoritative advice on complex and important legal policy issues. Through this work, the LCO promotes access to justice, evidence-based legislation and policies, and public engagement on important law reform issues. The LCO is independent of stakeholder interests and is committed to a public interest perspective for every project.</w:t>
      </w:r>
    </w:p>
    <w:p w14:paraId="55629A4F" w14:textId="77777777" w:rsidR="00D651FB" w:rsidRDefault="00D651FB" w:rsidP="00D651FB">
      <w:pPr>
        <w:spacing w:after="160"/>
        <w:rPr>
          <w:rFonts w:ascii="Calibri" w:eastAsia="Calibri" w:hAnsi="Calibri" w:cs="Calibri"/>
          <w:sz w:val="22"/>
          <w:szCs w:val="22"/>
          <w:lang w:val="en-US" w:eastAsia="en-CA"/>
        </w:rPr>
      </w:pPr>
      <w:r w:rsidRPr="00D651FB">
        <w:rPr>
          <w:rFonts w:ascii="Calibri" w:eastAsia="Calibri" w:hAnsi="Calibri" w:cs="Calibri"/>
          <w:sz w:val="22"/>
          <w:szCs w:val="22"/>
          <w:lang w:val="en-US" w:eastAsia="en-CA"/>
        </w:rPr>
        <w:t>Recent LCO reports and submissions addressing AI issues include:</w:t>
      </w:r>
    </w:p>
    <w:p w14:paraId="472AE524" w14:textId="237833A9" w:rsidR="006B091D" w:rsidRPr="00D651FB" w:rsidRDefault="006B091D" w:rsidP="00D651FB">
      <w:pPr>
        <w:pStyle w:val="ListParagraph"/>
        <w:numPr>
          <w:ilvl w:val="0"/>
          <w:numId w:val="135"/>
        </w:numPr>
        <w:spacing w:after="160"/>
        <w:rPr>
          <w:rFonts w:ascii="Calibri" w:eastAsia="Calibri" w:hAnsi="Calibri" w:cs="Calibri"/>
          <w:sz w:val="22"/>
          <w:szCs w:val="22"/>
          <w:lang w:val="en-US" w:eastAsia="en-CA"/>
        </w:rPr>
      </w:pPr>
      <w:hyperlink r:id="rId11" w:history="1">
        <w:r w:rsidRPr="00D651FB">
          <w:rPr>
            <w:rFonts w:ascii="Calibri" w:eastAsia="Calibri" w:hAnsi="Calibri" w:cs="Calibri"/>
            <w:color w:val="0563C1"/>
            <w:sz w:val="22"/>
            <w:szCs w:val="22"/>
            <w:u w:val="single"/>
            <w:lang w:val="en-US" w:eastAsia="en-CA"/>
          </w:rPr>
          <w:t>Human Rights AI Impact Assessment</w:t>
        </w:r>
      </w:hyperlink>
      <w:r w:rsidRPr="00D651FB">
        <w:rPr>
          <w:rFonts w:ascii="Calibri" w:eastAsia="Calibri" w:hAnsi="Calibri" w:cs="Calibri"/>
          <w:sz w:val="22"/>
          <w:szCs w:val="22"/>
          <w:lang w:val="en-US" w:eastAsia="en-CA"/>
        </w:rPr>
        <w:t xml:space="preserve"> (with the Ontario Human Rights Commission, 2024)</w:t>
      </w:r>
    </w:p>
    <w:p w14:paraId="53A57E3A" w14:textId="77777777" w:rsidR="006B091D" w:rsidRPr="006B091D" w:rsidRDefault="006B091D" w:rsidP="00C333BF">
      <w:pPr>
        <w:numPr>
          <w:ilvl w:val="0"/>
          <w:numId w:val="135"/>
        </w:numPr>
        <w:spacing w:after="160"/>
        <w:ind w:left="714" w:hanging="357"/>
        <w:rPr>
          <w:rFonts w:ascii="Calibri" w:eastAsia="Calibri" w:hAnsi="Calibri" w:cs="Calibri"/>
          <w:sz w:val="22"/>
          <w:szCs w:val="22"/>
          <w:lang w:val="en-US" w:eastAsia="en-CA"/>
        </w:rPr>
      </w:pPr>
      <w:hyperlink r:id="rId12" w:anchor="bill194" w:history="1">
        <w:r w:rsidRPr="006B091D">
          <w:rPr>
            <w:rFonts w:ascii="Calibri" w:eastAsia="Calibri" w:hAnsi="Calibri" w:cs="Calibri"/>
            <w:color w:val="0563C1"/>
            <w:sz w:val="22"/>
            <w:szCs w:val="22"/>
            <w:u w:val="single"/>
            <w:lang w:val="en-US" w:eastAsia="en-CA"/>
          </w:rPr>
          <w:t>Submission to Government of Ontario Re Bill 194</w:t>
        </w:r>
      </w:hyperlink>
      <w:r w:rsidRPr="006B091D">
        <w:rPr>
          <w:rFonts w:ascii="Calibri" w:eastAsia="Calibri" w:hAnsi="Calibri" w:cs="Calibri"/>
          <w:sz w:val="22"/>
          <w:szCs w:val="22"/>
          <w:lang w:val="en-US" w:eastAsia="en-CA"/>
        </w:rPr>
        <w:t xml:space="preserve"> (2024)</w:t>
      </w:r>
    </w:p>
    <w:p w14:paraId="0EE86358" w14:textId="77777777" w:rsidR="006B091D" w:rsidRPr="006B091D" w:rsidRDefault="006B091D" w:rsidP="00C333BF">
      <w:pPr>
        <w:numPr>
          <w:ilvl w:val="0"/>
          <w:numId w:val="135"/>
        </w:numPr>
        <w:spacing w:after="160"/>
        <w:ind w:left="714" w:hanging="357"/>
        <w:rPr>
          <w:rFonts w:ascii="Calibri" w:eastAsia="Calibri" w:hAnsi="Calibri" w:cs="Calibri"/>
          <w:sz w:val="22"/>
          <w:szCs w:val="22"/>
          <w:lang w:val="en-US" w:eastAsia="en-CA"/>
        </w:rPr>
      </w:pPr>
      <w:hyperlink r:id="rId13" w:history="1">
        <w:r w:rsidRPr="006B091D">
          <w:rPr>
            <w:rFonts w:ascii="Calibri" w:eastAsia="Calibri" w:hAnsi="Calibri" w:cs="Calibri"/>
            <w:i/>
            <w:iCs/>
            <w:color w:val="0563C1"/>
            <w:sz w:val="22"/>
            <w:szCs w:val="22"/>
            <w:u w:val="single"/>
            <w:lang w:val="en-US" w:eastAsia="en-CA"/>
          </w:rPr>
          <w:t>Accountable AI</w:t>
        </w:r>
      </w:hyperlink>
      <w:r w:rsidRPr="006B091D">
        <w:rPr>
          <w:rFonts w:ascii="Calibri" w:eastAsia="Calibri" w:hAnsi="Calibri" w:cs="Calibri"/>
          <w:i/>
          <w:iCs/>
          <w:sz w:val="22"/>
          <w:szCs w:val="22"/>
          <w:lang w:val="en-US" w:eastAsia="en-CA"/>
        </w:rPr>
        <w:t xml:space="preserve"> </w:t>
      </w:r>
      <w:r w:rsidRPr="006B091D">
        <w:rPr>
          <w:rFonts w:ascii="Calibri" w:eastAsia="Calibri" w:hAnsi="Calibri" w:cs="Calibri"/>
          <w:sz w:val="22"/>
          <w:szCs w:val="22"/>
          <w:lang w:val="en-US" w:eastAsia="en-CA"/>
        </w:rPr>
        <w:t>(2022)</w:t>
      </w:r>
    </w:p>
    <w:p w14:paraId="0437EC82" w14:textId="77777777" w:rsidR="006B091D" w:rsidRPr="006B091D" w:rsidRDefault="006B091D" w:rsidP="00C333BF">
      <w:pPr>
        <w:numPr>
          <w:ilvl w:val="0"/>
          <w:numId w:val="135"/>
        </w:numPr>
        <w:spacing w:after="160"/>
        <w:ind w:left="714" w:hanging="357"/>
        <w:rPr>
          <w:rFonts w:ascii="Calibri" w:eastAsia="Calibri" w:hAnsi="Calibri" w:cs="Calibri"/>
          <w:sz w:val="22"/>
          <w:szCs w:val="22"/>
          <w:lang w:val="en-US" w:eastAsia="en-CA"/>
        </w:rPr>
      </w:pPr>
      <w:hyperlink r:id="rId14" w:history="1">
        <w:r w:rsidRPr="006B091D">
          <w:rPr>
            <w:rFonts w:ascii="Calibri" w:eastAsia="Calibri" w:hAnsi="Calibri" w:cs="Calibri"/>
            <w:i/>
            <w:iCs/>
            <w:color w:val="0563C1"/>
            <w:sz w:val="22"/>
            <w:szCs w:val="22"/>
            <w:u w:val="single"/>
            <w:lang w:eastAsia="en-CA"/>
          </w:rPr>
          <w:t>Regulating AI: Critical Issues and Choices</w:t>
        </w:r>
      </w:hyperlink>
      <w:r w:rsidRPr="006B091D">
        <w:rPr>
          <w:rFonts w:ascii="Calibri" w:eastAsia="Calibri" w:hAnsi="Calibri" w:cs="Calibri"/>
          <w:sz w:val="22"/>
          <w:szCs w:val="22"/>
          <w:lang w:val="en-US" w:eastAsia="en-CA"/>
        </w:rPr>
        <w:t xml:space="preserve"> (2021) </w:t>
      </w:r>
    </w:p>
    <w:p w14:paraId="7078D9EA" w14:textId="77777777" w:rsidR="006B091D" w:rsidRPr="006B091D" w:rsidRDefault="006B091D" w:rsidP="00C333BF">
      <w:pPr>
        <w:numPr>
          <w:ilvl w:val="0"/>
          <w:numId w:val="135"/>
        </w:numPr>
        <w:spacing w:after="160"/>
        <w:ind w:left="714" w:hanging="357"/>
        <w:rPr>
          <w:rFonts w:ascii="Calibri" w:eastAsia="Calibri" w:hAnsi="Calibri" w:cs="Calibri"/>
          <w:sz w:val="22"/>
          <w:szCs w:val="22"/>
          <w:lang w:val="en-US" w:eastAsia="en-CA"/>
        </w:rPr>
      </w:pPr>
      <w:hyperlink r:id="rId15" w:history="1">
        <w:r w:rsidRPr="006B091D">
          <w:rPr>
            <w:rFonts w:ascii="Calibri" w:eastAsia="Calibri" w:hAnsi="Calibri" w:cs="Calibri"/>
            <w:i/>
            <w:iCs/>
            <w:color w:val="0563C1"/>
            <w:sz w:val="22"/>
            <w:szCs w:val="22"/>
            <w:u w:val="single"/>
            <w:lang w:val="en-US" w:eastAsia="en-CA"/>
          </w:rPr>
          <w:t>Legal Issues and Government AI Development</w:t>
        </w:r>
      </w:hyperlink>
      <w:r w:rsidRPr="006B091D">
        <w:rPr>
          <w:rFonts w:ascii="Calibri" w:eastAsia="Calibri" w:hAnsi="Calibri" w:cs="Calibri"/>
          <w:sz w:val="22"/>
          <w:szCs w:val="22"/>
          <w:lang w:val="en-US" w:eastAsia="en-CA"/>
        </w:rPr>
        <w:t xml:space="preserve"> (2021)</w:t>
      </w:r>
    </w:p>
    <w:p w14:paraId="674CEA08" w14:textId="77777777" w:rsidR="006B091D" w:rsidRPr="006B091D" w:rsidRDefault="006B091D" w:rsidP="00C333BF">
      <w:pPr>
        <w:numPr>
          <w:ilvl w:val="0"/>
          <w:numId w:val="135"/>
        </w:numPr>
        <w:spacing w:after="160"/>
        <w:ind w:left="714" w:hanging="357"/>
        <w:rPr>
          <w:rFonts w:ascii="Calibri" w:eastAsia="Calibri" w:hAnsi="Calibri" w:cs="Calibri"/>
          <w:sz w:val="22"/>
          <w:szCs w:val="22"/>
          <w:lang w:eastAsia="en-CA"/>
        </w:rPr>
      </w:pPr>
      <w:hyperlink r:id="rId16" w:history="1">
        <w:r w:rsidRPr="006B091D">
          <w:rPr>
            <w:rFonts w:ascii="Calibri" w:eastAsia="Calibri" w:hAnsi="Calibri" w:cs="Calibri"/>
            <w:color w:val="0563C1"/>
            <w:sz w:val="22"/>
            <w:szCs w:val="22"/>
            <w:u w:val="single"/>
            <w:lang w:val="en-US" w:eastAsia="en-CA"/>
          </w:rPr>
          <w:t>The Rise and Fall of Algorithms in the American Justice System: Lessons for Canada</w:t>
        </w:r>
      </w:hyperlink>
      <w:r w:rsidRPr="006B091D">
        <w:rPr>
          <w:rFonts w:ascii="Calibri" w:eastAsia="Calibri" w:hAnsi="Calibri" w:cs="Calibri"/>
          <w:sz w:val="22"/>
          <w:szCs w:val="22"/>
          <w:lang w:val="en-US" w:eastAsia="en-CA"/>
        </w:rPr>
        <w:t xml:space="preserve"> (2020) </w:t>
      </w:r>
    </w:p>
    <w:p w14:paraId="1A6704AC" w14:textId="0CBB10D9" w:rsidR="00214AFA" w:rsidRPr="00214AFA" w:rsidRDefault="006B091D" w:rsidP="006B091D">
      <w:pPr>
        <w:spacing w:after="160" w:line="259" w:lineRule="auto"/>
        <w:rPr>
          <w:rFonts w:ascii="Calibri" w:eastAsia="Calibri" w:hAnsi="Calibri" w:cs="Calibri"/>
          <w:b/>
          <w:lang w:eastAsia="en-CA"/>
        </w:rPr>
      </w:pPr>
      <w:r w:rsidRPr="006B091D">
        <w:rPr>
          <w:rFonts w:ascii="Calibri" w:eastAsia="Calibri" w:hAnsi="Calibri" w:cs="Calibri"/>
          <w:sz w:val="22"/>
          <w:szCs w:val="22"/>
          <w:lang w:val="en-US" w:eastAsia="en-CA"/>
        </w:rPr>
        <w:br/>
        <w:t>More information about the LCO and this project is available at:</w:t>
      </w:r>
      <w:r w:rsidRPr="006B091D">
        <w:rPr>
          <w:rFonts w:ascii="Calibri" w:eastAsia="Calibri" w:hAnsi="Calibri" w:cs="Calibri"/>
          <w:bCs/>
          <w:sz w:val="22"/>
          <w:szCs w:val="22"/>
          <w:lang w:eastAsia="en-CA"/>
        </w:rPr>
        <w:t xml:space="preserve"> </w:t>
      </w:r>
      <w:hyperlink r:id="rId17" w:history="1">
        <w:r w:rsidRPr="006B091D">
          <w:rPr>
            <w:rFonts w:ascii="Calibri" w:eastAsia="Calibri" w:hAnsi="Calibri" w:cs="Calibri"/>
            <w:bCs/>
            <w:color w:val="0563C1"/>
            <w:sz w:val="22"/>
            <w:szCs w:val="22"/>
            <w:u w:val="single"/>
            <w:lang w:eastAsia="en-CA"/>
          </w:rPr>
          <w:t>https://www.lco-cdo.org</w:t>
        </w:r>
      </w:hyperlink>
      <w:r w:rsidRPr="006B091D">
        <w:rPr>
          <w:rFonts w:ascii="Calibri" w:eastAsia="Calibri" w:hAnsi="Calibri" w:cs="Calibri"/>
          <w:bCs/>
          <w:sz w:val="22"/>
          <w:szCs w:val="22"/>
          <w:lang w:eastAsia="en-CA"/>
        </w:rPr>
        <w:t>.</w:t>
      </w:r>
    </w:p>
    <w:p w14:paraId="7D2AF5C0" w14:textId="77777777" w:rsidR="00214AFA" w:rsidRPr="00214AFA" w:rsidRDefault="00214AFA" w:rsidP="00214AFA">
      <w:pPr>
        <w:spacing w:after="160" w:line="259" w:lineRule="auto"/>
        <w:rPr>
          <w:rFonts w:ascii="Calibri" w:eastAsia="Calibri" w:hAnsi="Calibri" w:cs="Calibri"/>
          <w:b/>
          <w:lang w:eastAsia="en-CA"/>
        </w:rPr>
      </w:pPr>
      <w:r w:rsidRPr="00214AFA">
        <w:rPr>
          <w:rFonts w:ascii="Calibri" w:eastAsia="Calibri" w:hAnsi="Calibri" w:cs="Calibri"/>
          <w:b/>
          <w:lang w:eastAsia="en-CA"/>
        </w:rPr>
        <w:br w:type="page"/>
      </w:r>
    </w:p>
    <w:p w14:paraId="7422BA96" w14:textId="37B8DA5E" w:rsidR="00214AFA" w:rsidRPr="00214AFA" w:rsidRDefault="00214AFA" w:rsidP="00214AFA">
      <w:pPr>
        <w:spacing w:after="160" w:line="259" w:lineRule="auto"/>
        <w:rPr>
          <w:rFonts w:ascii="Calibri" w:eastAsia="Calibri" w:hAnsi="Calibri" w:cs="Calibri"/>
          <w:b/>
          <w:lang w:eastAsia="en-CA"/>
        </w:rPr>
      </w:pPr>
      <w:r w:rsidRPr="00214AFA">
        <w:rPr>
          <w:rFonts w:ascii="Calibri" w:eastAsia="Calibri" w:hAnsi="Calibri" w:cs="Calibri"/>
          <w:b/>
          <w:lang w:eastAsia="en-CA"/>
        </w:rPr>
        <w:lastRenderedPageBreak/>
        <w:t>AUTHOR</w:t>
      </w:r>
      <w:r w:rsidR="006B091D">
        <w:rPr>
          <w:rFonts w:ascii="Calibri" w:eastAsia="Calibri" w:hAnsi="Calibri" w:cs="Calibri"/>
          <w:b/>
          <w:lang w:eastAsia="en-CA"/>
        </w:rPr>
        <w:t>S</w:t>
      </w:r>
    </w:p>
    <w:p w14:paraId="6E751EBA" w14:textId="306027EF" w:rsidR="006B091D" w:rsidRPr="006B091D" w:rsidRDefault="006B072A" w:rsidP="006B072A">
      <w:pPr>
        <w:spacing w:after="160" w:line="259" w:lineRule="auto"/>
        <w:rPr>
          <w:rFonts w:ascii="Calibri" w:eastAsia="Calibri" w:hAnsi="Calibri" w:cs="Calibri"/>
          <w:b/>
          <w:lang w:eastAsia="en-CA"/>
        </w:rPr>
      </w:pPr>
      <w:r>
        <w:rPr>
          <w:rFonts w:ascii="Calibri" w:eastAsia="Calibri" w:hAnsi="Calibri" w:cs="Calibri"/>
          <w:lang w:eastAsia="en-CA"/>
        </w:rPr>
        <w:t>Eric Neubauer, Criminal Defense Counsel, Neubauer Law</w:t>
      </w:r>
      <w:r>
        <w:rPr>
          <w:rFonts w:ascii="Calibri" w:eastAsia="Calibri" w:hAnsi="Calibri" w:cs="Calibri"/>
          <w:lang w:eastAsia="en-CA"/>
        </w:rPr>
        <w:br/>
        <w:t xml:space="preserve">Paula Thompson, </w:t>
      </w:r>
      <w:r w:rsidRPr="005D2DBA">
        <w:rPr>
          <w:rFonts w:ascii="Calibri" w:eastAsia="Calibri" w:hAnsi="Calibri" w:cs="Calibri"/>
          <w:lang w:eastAsia="en-CA"/>
        </w:rPr>
        <w:t>Office of Strategic Initiatives</w:t>
      </w:r>
      <w:r>
        <w:rPr>
          <w:rFonts w:ascii="Calibri" w:eastAsia="Calibri" w:hAnsi="Calibri" w:cs="Calibri"/>
          <w:lang w:eastAsia="en-CA"/>
        </w:rPr>
        <w:t xml:space="preserve">, </w:t>
      </w:r>
      <w:r w:rsidRPr="005D2DBA">
        <w:rPr>
          <w:rFonts w:ascii="Calibri" w:eastAsia="Calibri" w:hAnsi="Calibri" w:cs="Calibri"/>
          <w:lang w:eastAsia="en-CA"/>
        </w:rPr>
        <w:t>Criminal Law Division</w:t>
      </w:r>
      <w:r>
        <w:rPr>
          <w:rFonts w:ascii="Calibri" w:eastAsia="Calibri" w:hAnsi="Calibri" w:cs="Calibri"/>
          <w:lang w:eastAsia="en-CA"/>
        </w:rPr>
        <w:t xml:space="preserve">, </w:t>
      </w:r>
      <w:r w:rsidRPr="005D2DBA">
        <w:rPr>
          <w:rFonts w:ascii="Calibri" w:eastAsia="Calibri" w:hAnsi="Calibri" w:cs="Calibri"/>
          <w:lang w:eastAsia="en-CA"/>
        </w:rPr>
        <w:t>Ministry of the Attorney General</w:t>
      </w:r>
      <w:r>
        <w:rPr>
          <w:rFonts w:ascii="Calibri" w:eastAsia="Calibri" w:hAnsi="Calibri" w:cs="Calibri"/>
          <w:lang w:eastAsia="en-CA"/>
        </w:rPr>
        <w:br/>
      </w:r>
      <w:r w:rsidR="00214AFA" w:rsidRPr="00214AFA">
        <w:rPr>
          <w:rFonts w:ascii="Calibri" w:eastAsia="Calibri" w:hAnsi="Calibri" w:cs="Calibri"/>
          <w:b/>
          <w:lang w:eastAsia="en-CA"/>
        </w:rPr>
        <w:br/>
      </w:r>
      <w:r w:rsidR="006B091D" w:rsidRPr="006B091D">
        <w:rPr>
          <w:rFonts w:ascii="Calibri" w:eastAsia="Calibri" w:hAnsi="Calibri" w:cs="Calibri"/>
          <w:b/>
          <w:lang w:eastAsia="en-CA"/>
        </w:rPr>
        <w:t>SERIES EDITORS</w:t>
      </w:r>
    </w:p>
    <w:p w14:paraId="3BEF26A5" w14:textId="04283F50" w:rsidR="00D651FB" w:rsidRDefault="006B091D" w:rsidP="006B091D">
      <w:pPr>
        <w:spacing w:after="160" w:line="259" w:lineRule="auto"/>
        <w:rPr>
          <w:rFonts w:ascii="Calibri" w:eastAsia="Calibri" w:hAnsi="Calibri" w:cs="Calibri"/>
          <w:lang w:eastAsia="en-CA"/>
        </w:rPr>
      </w:pPr>
      <w:r w:rsidRPr="006B091D">
        <w:rPr>
          <w:rFonts w:ascii="Calibri" w:eastAsia="Calibri" w:hAnsi="Calibri" w:cs="Calibri"/>
          <w:lang w:eastAsia="en-CA"/>
        </w:rPr>
        <w:t>Nye Thomas, Executive Director, LCO</w:t>
      </w:r>
      <w:r w:rsidRPr="006B091D">
        <w:rPr>
          <w:rFonts w:ascii="Calibri" w:eastAsia="Calibri" w:hAnsi="Calibri" w:cs="Calibri"/>
          <w:lang w:eastAsia="en-CA"/>
        </w:rPr>
        <w:br/>
        <w:t>Ryan Fritsch, Counsel, LCO</w:t>
      </w:r>
      <w:r w:rsidR="00D651FB">
        <w:rPr>
          <w:rFonts w:ascii="Calibri" w:eastAsia="Calibri" w:hAnsi="Calibri" w:cs="Calibri"/>
          <w:lang w:eastAsia="en-CA"/>
        </w:rPr>
        <w:br/>
      </w:r>
    </w:p>
    <w:p w14:paraId="1E28AF4C" w14:textId="7A2BB4F0" w:rsidR="006B091D" w:rsidRPr="00D651FB" w:rsidRDefault="00D651FB" w:rsidP="006B091D">
      <w:pPr>
        <w:spacing w:after="160" w:line="259" w:lineRule="auto"/>
        <w:rPr>
          <w:rFonts w:ascii="Calibri" w:eastAsia="Calibri" w:hAnsi="Calibri" w:cs="Calibri"/>
          <w:b/>
          <w:bCs/>
          <w:lang w:eastAsia="en-CA"/>
        </w:rPr>
      </w:pPr>
      <w:r w:rsidRPr="00D651FB">
        <w:rPr>
          <w:rFonts w:ascii="Calibri" w:eastAsia="Calibri" w:hAnsi="Calibri" w:cs="Calibri"/>
          <w:b/>
          <w:bCs/>
          <w:lang w:eastAsia="en-CA"/>
        </w:rPr>
        <w:t>THE LCO AI IN CRIMINAL JUSTICE PROJECT PAPER SERIES</w:t>
      </w:r>
      <w:r w:rsidR="006B091D" w:rsidRPr="00D651FB">
        <w:rPr>
          <w:rFonts w:ascii="Calibri" w:eastAsia="Calibri" w:hAnsi="Calibri" w:cs="Calibri"/>
          <w:b/>
          <w:bCs/>
          <w:lang w:eastAsia="en-CA"/>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7287"/>
      </w:tblGrid>
      <w:tr w:rsidR="00D651FB" w14:paraId="52182F03" w14:textId="77777777" w:rsidTr="006419AB">
        <w:tc>
          <w:tcPr>
            <w:tcW w:w="1353" w:type="dxa"/>
          </w:tcPr>
          <w:p w14:paraId="081932D3" w14:textId="77777777" w:rsidR="00D651FB" w:rsidRPr="007A29D1" w:rsidRDefault="00D651FB" w:rsidP="00FB074B">
            <w:pPr>
              <w:rPr>
                <w:rFonts w:eastAsia="Calibri"/>
                <w:bCs/>
                <w:kern w:val="0"/>
                <w:sz w:val="24"/>
                <w:szCs w:val="24"/>
                <w:lang w:eastAsia="en-CA"/>
              </w:rPr>
            </w:pPr>
            <w:r w:rsidRPr="007A29D1">
              <w:rPr>
                <w:rFonts w:eastAsia="Calibri"/>
                <w:bCs/>
                <w:kern w:val="0"/>
                <w:sz w:val="24"/>
                <w:szCs w:val="24"/>
                <w:lang w:eastAsia="en-CA"/>
              </w:rPr>
              <w:t>Paper 1</w:t>
            </w:r>
          </w:p>
        </w:tc>
        <w:tc>
          <w:tcPr>
            <w:tcW w:w="7287" w:type="dxa"/>
          </w:tcPr>
          <w:p w14:paraId="49BF7C81" w14:textId="147F87C9" w:rsidR="00D651FB" w:rsidRPr="007A29D1" w:rsidRDefault="006419AB" w:rsidP="00FB074B">
            <w:pPr>
              <w:rPr>
                <w:rFonts w:eastAsia="Calibri"/>
                <w:kern w:val="0"/>
                <w:sz w:val="24"/>
                <w:szCs w:val="24"/>
                <w:lang w:eastAsia="en-CA"/>
              </w:rPr>
            </w:pPr>
            <w:r w:rsidRPr="007A29D1">
              <w:rPr>
                <w:rFonts w:eastAsia="Calibri"/>
                <w:kern w:val="0"/>
                <w:sz w:val="24"/>
                <w:szCs w:val="24"/>
                <w:lang w:eastAsia="en-CA"/>
              </w:rPr>
              <w:t>Introduction and Summary</w:t>
            </w:r>
            <w:r>
              <w:rPr>
                <w:rFonts w:eastAsia="Calibri"/>
                <w:kern w:val="0"/>
                <w:sz w:val="24"/>
                <w:szCs w:val="24"/>
                <w:lang w:eastAsia="en-CA"/>
              </w:rPr>
              <w:t xml:space="preserve">: </w:t>
            </w:r>
            <w:r w:rsidR="00D651FB" w:rsidRPr="007A29D1">
              <w:rPr>
                <w:rFonts w:eastAsia="Calibri"/>
                <w:kern w:val="0"/>
                <w:sz w:val="24"/>
                <w:szCs w:val="24"/>
                <w:lang w:eastAsia="en-CA"/>
              </w:rPr>
              <w:t>LCO AI in Criminal Justice Project</w:t>
            </w:r>
            <w:r w:rsidR="00D651FB">
              <w:rPr>
                <w:rFonts w:eastAsia="Calibri"/>
                <w:kern w:val="0"/>
                <w:sz w:val="24"/>
                <w:szCs w:val="24"/>
                <w:lang w:eastAsia="en-CA"/>
              </w:rPr>
              <w:t xml:space="preserve"> </w:t>
            </w:r>
          </w:p>
        </w:tc>
      </w:tr>
      <w:tr w:rsidR="00D651FB" w14:paraId="2E5E217C" w14:textId="77777777" w:rsidTr="006419AB">
        <w:tc>
          <w:tcPr>
            <w:tcW w:w="1353" w:type="dxa"/>
          </w:tcPr>
          <w:p w14:paraId="04D0713E" w14:textId="77777777" w:rsidR="00D651FB" w:rsidRPr="007A29D1" w:rsidRDefault="00D651FB" w:rsidP="00FB074B">
            <w:pPr>
              <w:rPr>
                <w:rFonts w:eastAsia="Calibri"/>
                <w:bCs/>
                <w:kern w:val="0"/>
                <w:sz w:val="24"/>
                <w:szCs w:val="24"/>
                <w:lang w:eastAsia="en-CA"/>
              </w:rPr>
            </w:pPr>
          </w:p>
        </w:tc>
        <w:tc>
          <w:tcPr>
            <w:tcW w:w="7287" w:type="dxa"/>
          </w:tcPr>
          <w:p w14:paraId="4B950142" w14:textId="77777777" w:rsidR="00D651FB" w:rsidRPr="007A29D1" w:rsidRDefault="00D651FB" w:rsidP="00FB074B">
            <w:pPr>
              <w:rPr>
                <w:rFonts w:eastAsia="Calibri"/>
                <w:kern w:val="0"/>
                <w:sz w:val="24"/>
                <w:szCs w:val="24"/>
                <w:lang w:eastAsia="en-CA"/>
              </w:rPr>
            </w:pPr>
            <w:r w:rsidRPr="007A29D1">
              <w:rPr>
                <w:rFonts w:eastAsia="Calibri"/>
                <w:kern w:val="0"/>
                <w:sz w:val="24"/>
                <w:szCs w:val="24"/>
                <w:lang w:eastAsia="en-CA"/>
              </w:rPr>
              <w:t>Nye Thomas, Executive Director, LCO</w:t>
            </w:r>
            <w:r>
              <w:rPr>
                <w:rFonts w:eastAsia="Calibri"/>
                <w:kern w:val="0"/>
                <w:sz w:val="24"/>
                <w:szCs w:val="24"/>
                <w:lang w:eastAsia="en-CA"/>
              </w:rPr>
              <w:br/>
            </w:r>
            <w:r w:rsidRPr="007A29D1">
              <w:rPr>
                <w:rFonts w:eastAsia="Calibri"/>
                <w:kern w:val="0"/>
                <w:sz w:val="24"/>
                <w:szCs w:val="24"/>
                <w:lang w:eastAsia="en-CA"/>
              </w:rPr>
              <w:t>Ryan Fritsch, Counsel, LCO</w:t>
            </w:r>
          </w:p>
        </w:tc>
      </w:tr>
      <w:tr w:rsidR="00D651FB" w14:paraId="4EC1EBBA" w14:textId="77777777" w:rsidTr="006419AB">
        <w:tc>
          <w:tcPr>
            <w:tcW w:w="1353" w:type="dxa"/>
          </w:tcPr>
          <w:p w14:paraId="6C376A16" w14:textId="77777777" w:rsidR="00D651FB" w:rsidRPr="007A29D1" w:rsidRDefault="00D651FB" w:rsidP="00FB074B">
            <w:pPr>
              <w:rPr>
                <w:rFonts w:eastAsia="Calibri"/>
                <w:bCs/>
                <w:kern w:val="0"/>
                <w:sz w:val="24"/>
                <w:szCs w:val="24"/>
                <w:lang w:eastAsia="en-CA"/>
              </w:rPr>
            </w:pPr>
          </w:p>
        </w:tc>
        <w:tc>
          <w:tcPr>
            <w:tcW w:w="7287" w:type="dxa"/>
          </w:tcPr>
          <w:p w14:paraId="24EDB83E" w14:textId="77777777" w:rsidR="00D651FB" w:rsidRPr="007A29D1" w:rsidRDefault="00D651FB" w:rsidP="00FB074B">
            <w:pPr>
              <w:rPr>
                <w:rFonts w:eastAsia="Calibri"/>
                <w:kern w:val="0"/>
                <w:sz w:val="24"/>
                <w:szCs w:val="24"/>
                <w:lang w:eastAsia="en-CA"/>
              </w:rPr>
            </w:pPr>
          </w:p>
        </w:tc>
      </w:tr>
      <w:tr w:rsidR="00D651FB" w14:paraId="6D994467" w14:textId="77777777" w:rsidTr="006419AB">
        <w:tc>
          <w:tcPr>
            <w:tcW w:w="1353" w:type="dxa"/>
          </w:tcPr>
          <w:p w14:paraId="007D2A2C" w14:textId="77777777" w:rsidR="00D651FB" w:rsidRPr="007A29D1" w:rsidRDefault="00D651FB" w:rsidP="00FB074B">
            <w:pPr>
              <w:rPr>
                <w:rFonts w:eastAsia="Calibri"/>
                <w:bCs/>
                <w:kern w:val="0"/>
                <w:sz w:val="24"/>
                <w:szCs w:val="24"/>
                <w:lang w:eastAsia="en-CA"/>
              </w:rPr>
            </w:pPr>
            <w:r>
              <w:rPr>
                <w:rFonts w:eastAsia="Calibri"/>
                <w:bCs/>
                <w:kern w:val="0"/>
                <w:sz w:val="24"/>
                <w:szCs w:val="24"/>
                <w:lang w:eastAsia="en-CA"/>
              </w:rPr>
              <w:t>Paper 2</w:t>
            </w:r>
          </w:p>
        </w:tc>
        <w:tc>
          <w:tcPr>
            <w:tcW w:w="7287" w:type="dxa"/>
          </w:tcPr>
          <w:p w14:paraId="5CC7872A" w14:textId="77777777" w:rsidR="00D651FB" w:rsidRPr="007A29D1" w:rsidRDefault="00D651FB" w:rsidP="00FB074B">
            <w:pPr>
              <w:rPr>
                <w:rFonts w:eastAsia="Calibri"/>
                <w:kern w:val="0"/>
                <w:sz w:val="24"/>
                <w:szCs w:val="24"/>
                <w:lang w:eastAsia="en-CA"/>
              </w:rPr>
            </w:pPr>
            <w:r>
              <w:rPr>
                <w:rFonts w:eastAsia="Calibri"/>
                <w:kern w:val="0"/>
                <w:sz w:val="24"/>
                <w:szCs w:val="24"/>
                <w:lang w:eastAsia="en-CA"/>
              </w:rPr>
              <w:t>Use of AI by Law Enforcement</w:t>
            </w:r>
          </w:p>
        </w:tc>
      </w:tr>
      <w:tr w:rsidR="00D651FB" w14:paraId="5E37E44F" w14:textId="77777777" w:rsidTr="006419AB">
        <w:tc>
          <w:tcPr>
            <w:tcW w:w="1353" w:type="dxa"/>
          </w:tcPr>
          <w:p w14:paraId="2BE2092C" w14:textId="77777777" w:rsidR="00D651FB" w:rsidRPr="007A29D1" w:rsidRDefault="00D651FB" w:rsidP="00FB074B">
            <w:pPr>
              <w:rPr>
                <w:rFonts w:eastAsia="Calibri"/>
                <w:bCs/>
                <w:kern w:val="0"/>
                <w:sz w:val="24"/>
                <w:szCs w:val="24"/>
                <w:lang w:eastAsia="en-CA"/>
              </w:rPr>
            </w:pPr>
          </w:p>
        </w:tc>
        <w:tc>
          <w:tcPr>
            <w:tcW w:w="7287" w:type="dxa"/>
          </w:tcPr>
          <w:p w14:paraId="1986AA17" w14:textId="77777777" w:rsidR="00D651FB" w:rsidRPr="007A29D1" w:rsidRDefault="00D651FB" w:rsidP="00FB074B">
            <w:pPr>
              <w:rPr>
                <w:rFonts w:eastAsia="Calibri"/>
                <w:kern w:val="0"/>
                <w:sz w:val="24"/>
                <w:szCs w:val="24"/>
                <w:lang w:eastAsia="en-CA"/>
              </w:rPr>
            </w:pPr>
            <w:r>
              <w:rPr>
                <w:rFonts w:eastAsia="Calibri"/>
                <w:kern w:val="0"/>
                <w:sz w:val="24"/>
                <w:szCs w:val="24"/>
                <w:lang w:eastAsia="en-CA"/>
              </w:rPr>
              <w:t>Ryan Fritsch, Counsel, LCO</w:t>
            </w:r>
          </w:p>
        </w:tc>
      </w:tr>
      <w:tr w:rsidR="00D651FB" w14:paraId="4FEF713B" w14:textId="77777777" w:rsidTr="006419AB">
        <w:tc>
          <w:tcPr>
            <w:tcW w:w="1353" w:type="dxa"/>
          </w:tcPr>
          <w:p w14:paraId="213E8E22" w14:textId="77777777" w:rsidR="00D651FB" w:rsidRPr="007A29D1" w:rsidRDefault="00D651FB" w:rsidP="00FB074B">
            <w:pPr>
              <w:rPr>
                <w:rFonts w:eastAsia="Calibri"/>
                <w:bCs/>
                <w:kern w:val="0"/>
                <w:sz w:val="24"/>
                <w:szCs w:val="24"/>
                <w:lang w:eastAsia="en-CA"/>
              </w:rPr>
            </w:pPr>
          </w:p>
        </w:tc>
        <w:tc>
          <w:tcPr>
            <w:tcW w:w="7287" w:type="dxa"/>
          </w:tcPr>
          <w:p w14:paraId="77DF633F" w14:textId="77777777" w:rsidR="00D651FB" w:rsidRPr="007A29D1" w:rsidRDefault="00D651FB" w:rsidP="00FB074B">
            <w:pPr>
              <w:rPr>
                <w:rFonts w:eastAsia="Calibri"/>
                <w:kern w:val="0"/>
                <w:sz w:val="24"/>
                <w:szCs w:val="24"/>
                <w:lang w:eastAsia="en-CA"/>
              </w:rPr>
            </w:pPr>
          </w:p>
        </w:tc>
      </w:tr>
      <w:tr w:rsidR="00D651FB" w14:paraId="4EC5DEAD" w14:textId="77777777" w:rsidTr="006419AB">
        <w:tc>
          <w:tcPr>
            <w:tcW w:w="1353" w:type="dxa"/>
          </w:tcPr>
          <w:p w14:paraId="2FD7BC53" w14:textId="77777777" w:rsidR="00D651FB" w:rsidRPr="007A29D1" w:rsidRDefault="00D651FB" w:rsidP="00FB074B">
            <w:pPr>
              <w:rPr>
                <w:rFonts w:eastAsia="Calibri"/>
                <w:bCs/>
                <w:kern w:val="0"/>
                <w:sz w:val="24"/>
                <w:szCs w:val="24"/>
                <w:lang w:eastAsia="en-CA"/>
              </w:rPr>
            </w:pPr>
            <w:r>
              <w:rPr>
                <w:rFonts w:eastAsia="Calibri"/>
                <w:bCs/>
                <w:kern w:val="0"/>
                <w:sz w:val="24"/>
                <w:szCs w:val="24"/>
                <w:lang w:eastAsia="en-CA"/>
              </w:rPr>
              <w:t>Paper 3</w:t>
            </w:r>
          </w:p>
        </w:tc>
        <w:tc>
          <w:tcPr>
            <w:tcW w:w="7287" w:type="dxa"/>
          </w:tcPr>
          <w:p w14:paraId="02609878" w14:textId="77777777" w:rsidR="00D651FB" w:rsidRPr="007A29D1" w:rsidRDefault="00D651FB" w:rsidP="00FB074B">
            <w:pPr>
              <w:rPr>
                <w:rFonts w:eastAsia="Calibri"/>
                <w:kern w:val="0"/>
                <w:sz w:val="24"/>
                <w:szCs w:val="24"/>
                <w:lang w:eastAsia="en-CA"/>
              </w:rPr>
            </w:pPr>
            <w:r w:rsidRPr="00477AC8">
              <w:rPr>
                <w:rFonts w:eastAsia="Calibri"/>
                <w:kern w:val="0"/>
                <w:sz w:val="24"/>
                <w:szCs w:val="24"/>
                <w:lang w:eastAsia="en-CA"/>
              </w:rPr>
              <w:t>AI and the Assessment of Risk in Bail, Sentencing, and Recidivism</w:t>
            </w:r>
          </w:p>
        </w:tc>
      </w:tr>
      <w:tr w:rsidR="00D651FB" w14:paraId="5A76308A" w14:textId="77777777" w:rsidTr="006419AB">
        <w:tc>
          <w:tcPr>
            <w:tcW w:w="1353" w:type="dxa"/>
          </w:tcPr>
          <w:p w14:paraId="17FC7DB3" w14:textId="77777777" w:rsidR="00D651FB" w:rsidRPr="007A29D1" w:rsidRDefault="00D651FB" w:rsidP="00FB074B">
            <w:pPr>
              <w:rPr>
                <w:rFonts w:eastAsia="Calibri"/>
                <w:bCs/>
                <w:kern w:val="0"/>
                <w:sz w:val="24"/>
                <w:szCs w:val="24"/>
                <w:lang w:eastAsia="en-CA"/>
              </w:rPr>
            </w:pPr>
          </w:p>
        </w:tc>
        <w:tc>
          <w:tcPr>
            <w:tcW w:w="7287" w:type="dxa"/>
          </w:tcPr>
          <w:p w14:paraId="4C6F0741" w14:textId="77777777" w:rsidR="00D651FB" w:rsidRPr="007A29D1" w:rsidRDefault="00D651FB" w:rsidP="00FB074B">
            <w:pPr>
              <w:rPr>
                <w:rFonts w:eastAsia="Calibri"/>
                <w:kern w:val="0"/>
                <w:sz w:val="24"/>
                <w:szCs w:val="24"/>
                <w:lang w:eastAsia="en-CA"/>
              </w:rPr>
            </w:pPr>
            <w:r>
              <w:t>Armando D’Andrea, Staff Lawyer, Provincial Office, Legal Aid Ontario</w:t>
            </w:r>
            <w:r>
              <w:br/>
              <w:t>Gideon Christian, Professor of Law, Faculty of Law, University of Calgary</w:t>
            </w:r>
          </w:p>
        </w:tc>
      </w:tr>
      <w:tr w:rsidR="00D651FB" w14:paraId="270D6DFD" w14:textId="77777777" w:rsidTr="006419AB">
        <w:tc>
          <w:tcPr>
            <w:tcW w:w="1353" w:type="dxa"/>
          </w:tcPr>
          <w:p w14:paraId="0330F581" w14:textId="77777777" w:rsidR="00D651FB" w:rsidRPr="007A29D1" w:rsidRDefault="00D651FB" w:rsidP="00FB074B">
            <w:pPr>
              <w:rPr>
                <w:rFonts w:eastAsia="Calibri"/>
                <w:bCs/>
                <w:kern w:val="0"/>
                <w:sz w:val="24"/>
                <w:szCs w:val="24"/>
                <w:lang w:eastAsia="en-CA"/>
              </w:rPr>
            </w:pPr>
          </w:p>
        </w:tc>
        <w:tc>
          <w:tcPr>
            <w:tcW w:w="7287" w:type="dxa"/>
          </w:tcPr>
          <w:p w14:paraId="08470166" w14:textId="77777777" w:rsidR="00D651FB" w:rsidRPr="007A29D1" w:rsidRDefault="00D651FB" w:rsidP="00FB074B">
            <w:pPr>
              <w:rPr>
                <w:rFonts w:eastAsia="Calibri"/>
                <w:kern w:val="0"/>
                <w:sz w:val="24"/>
                <w:szCs w:val="24"/>
                <w:lang w:eastAsia="en-CA"/>
              </w:rPr>
            </w:pPr>
          </w:p>
        </w:tc>
      </w:tr>
      <w:tr w:rsidR="00D651FB" w14:paraId="67844DD4" w14:textId="77777777" w:rsidTr="006419AB">
        <w:tc>
          <w:tcPr>
            <w:tcW w:w="1353" w:type="dxa"/>
          </w:tcPr>
          <w:p w14:paraId="49415BC4" w14:textId="77777777" w:rsidR="00D651FB" w:rsidRPr="007A29D1" w:rsidRDefault="00D651FB" w:rsidP="00FB074B">
            <w:pPr>
              <w:rPr>
                <w:rFonts w:eastAsia="Calibri"/>
                <w:bCs/>
                <w:kern w:val="0"/>
                <w:sz w:val="24"/>
                <w:szCs w:val="24"/>
                <w:lang w:eastAsia="en-CA"/>
              </w:rPr>
            </w:pPr>
            <w:r>
              <w:rPr>
                <w:rFonts w:eastAsia="Calibri"/>
                <w:bCs/>
                <w:kern w:val="0"/>
                <w:sz w:val="24"/>
                <w:szCs w:val="24"/>
                <w:lang w:eastAsia="en-CA"/>
              </w:rPr>
              <w:t>Paper 4</w:t>
            </w:r>
          </w:p>
        </w:tc>
        <w:tc>
          <w:tcPr>
            <w:tcW w:w="7287" w:type="dxa"/>
          </w:tcPr>
          <w:p w14:paraId="6B6A4920" w14:textId="77777777" w:rsidR="00D651FB" w:rsidRPr="007A29D1" w:rsidRDefault="00D651FB" w:rsidP="00FB074B">
            <w:pPr>
              <w:rPr>
                <w:rFonts w:eastAsia="Calibri"/>
                <w:kern w:val="0"/>
                <w:sz w:val="24"/>
                <w:szCs w:val="24"/>
                <w:lang w:eastAsia="en-CA"/>
              </w:rPr>
            </w:pPr>
            <w:r w:rsidRPr="00477AC8">
              <w:rPr>
                <w:rFonts w:eastAsia="Calibri"/>
                <w:kern w:val="0"/>
                <w:sz w:val="24"/>
                <w:szCs w:val="24"/>
                <w:lang w:eastAsia="en-CA"/>
              </w:rPr>
              <w:t>AI at Trial and on Appeal</w:t>
            </w:r>
          </w:p>
        </w:tc>
      </w:tr>
      <w:tr w:rsidR="00D651FB" w14:paraId="33FE5186" w14:textId="77777777" w:rsidTr="006419AB">
        <w:tc>
          <w:tcPr>
            <w:tcW w:w="1353" w:type="dxa"/>
          </w:tcPr>
          <w:p w14:paraId="59AAABEF" w14:textId="77777777" w:rsidR="00D651FB" w:rsidRPr="007A29D1" w:rsidRDefault="00D651FB" w:rsidP="00FB074B">
            <w:pPr>
              <w:rPr>
                <w:rFonts w:eastAsia="Calibri"/>
                <w:bCs/>
                <w:kern w:val="0"/>
                <w:sz w:val="24"/>
                <w:szCs w:val="24"/>
                <w:lang w:eastAsia="en-CA"/>
              </w:rPr>
            </w:pPr>
          </w:p>
        </w:tc>
        <w:tc>
          <w:tcPr>
            <w:tcW w:w="7287" w:type="dxa"/>
          </w:tcPr>
          <w:p w14:paraId="0392DB93" w14:textId="77777777" w:rsidR="00D651FB" w:rsidRPr="007A29D1" w:rsidRDefault="00D651FB" w:rsidP="00FB074B">
            <w:pPr>
              <w:rPr>
                <w:rFonts w:eastAsia="Calibri"/>
                <w:kern w:val="0"/>
                <w:sz w:val="24"/>
                <w:szCs w:val="24"/>
                <w:lang w:eastAsia="en-CA"/>
              </w:rPr>
            </w:pPr>
            <w:r w:rsidRPr="007A29D1">
              <w:rPr>
                <w:rFonts w:eastAsia="Calibri"/>
                <w:kern w:val="0"/>
                <w:sz w:val="24"/>
                <w:szCs w:val="24"/>
                <w:lang w:eastAsia="en-CA"/>
              </w:rPr>
              <w:t>Paula Thompson, Strategic Initiatives, Ministry of the Attorney General</w:t>
            </w:r>
            <w:r>
              <w:rPr>
                <w:rFonts w:eastAsia="Calibri"/>
                <w:kern w:val="0"/>
                <w:sz w:val="24"/>
                <w:szCs w:val="24"/>
                <w:lang w:eastAsia="en-CA"/>
              </w:rPr>
              <w:br/>
            </w:r>
            <w:r>
              <w:t>Eric Neubauer, Defense Counsel, Neubauer Law, and Co-Chair, Criminal Lawyers Association Technology Committee</w:t>
            </w:r>
          </w:p>
        </w:tc>
      </w:tr>
      <w:tr w:rsidR="00D651FB" w14:paraId="44B769AD" w14:textId="77777777" w:rsidTr="006419AB">
        <w:tc>
          <w:tcPr>
            <w:tcW w:w="1353" w:type="dxa"/>
          </w:tcPr>
          <w:p w14:paraId="3E8A4138" w14:textId="77777777" w:rsidR="00D651FB" w:rsidRPr="007A29D1" w:rsidRDefault="00D651FB" w:rsidP="00FB074B">
            <w:pPr>
              <w:rPr>
                <w:rFonts w:eastAsia="Calibri"/>
                <w:bCs/>
                <w:kern w:val="0"/>
                <w:sz w:val="24"/>
                <w:szCs w:val="24"/>
                <w:lang w:eastAsia="en-CA"/>
              </w:rPr>
            </w:pPr>
          </w:p>
        </w:tc>
        <w:tc>
          <w:tcPr>
            <w:tcW w:w="7287" w:type="dxa"/>
          </w:tcPr>
          <w:p w14:paraId="58F4DC61" w14:textId="77777777" w:rsidR="00D651FB" w:rsidRPr="007A29D1" w:rsidRDefault="00D651FB" w:rsidP="00FB074B">
            <w:pPr>
              <w:rPr>
                <w:rFonts w:eastAsia="Calibri"/>
                <w:kern w:val="0"/>
                <w:sz w:val="24"/>
                <w:szCs w:val="24"/>
                <w:lang w:eastAsia="en-CA"/>
              </w:rPr>
            </w:pPr>
          </w:p>
        </w:tc>
      </w:tr>
      <w:tr w:rsidR="00D651FB" w14:paraId="13D89EFA" w14:textId="77777777" w:rsidTr="006419AB">
        <w:tc>
          <w:tcPr>
            <w:tcW w:w="1353" w:type="dxa"/>
          </w:tcPr>
          <w:p w14:paraId="4B5DF607" w14:textId="77777777" w:rsidR="00D651FB" w:rsidRPr="007A29D1" w:rsidRDefault="00D651FB" w:rsidP="00FB074B">
            <w:pPr>
              <w:rPr>
                <w:rFonts w:eastAsia="Calibri"/>
                <w:bCs/>
                <w:kern w:val="0"/>
                <w:sz w:val="24"/>
                <w:szCs w:val="24"/>
                <w:lang w:eastAsia="en-CA"/>
              </w:rPr>
            </w:pPr>
            <w:r>
              <w:rPr>
                <w:rFonts w:eastAsia="Calibri"/>
                <w:bCs/>
                <w:kern w:val="0"/>
                <w:sz w:val="24"/>
                <w:szCs w:val="24"/>
                <w:lang w:eastAsia="en-CA"/>
              </w:rPr>
              <w:t>Paper 5</w:t>
            </w:r>
          </w:p>
        </w:tc>
        <w:tc>
          <w:tcPr>
            <w:tcW w:w="7287" w:type="dxa"/>
          </w:tcPr>
          <w:p w14:paraId="6EB43EC3" w14:textId="77777777" w:rsidR="00D651FB" w:rsidRPr="007A29D1" w:rsidRDefault="00D651FB" w:rsidP="00FB074B">
            <w:pPr>
              <w:rPr>
                <w:rFonts w:eastAsia="Calibri"/>
                <w:kern w:val="0"/>
                <w:sz w:val="24"/>
                <w:szCs w:val="24"/>
                <w:lang w:eastAsia="en-CA"/>
              </w:rPr>
            </w:pPr>
            <w:r w:rsidRPr="00477AC8">
              <w:rPr>
                <w:rFonts w:eastAsia="Calibri"/>
                <w:kern w:val="0"/>
                <w:sz w:val="24"/>
                <w:szCs w:val="24"/>
                <w:lang w:eastAsia="en-CA"/>
              </w:rPr>
              <w:t>AI and Systemic Oversight Mechanisms in Criminal Justice</w:t>
            </w:r>
          </w:p>
        </w:tc>
      </w:tr>
      <w:tr w:rsidR="00D651FB" w14:paraId="6669F1F3" w14:textId="77777777" w:rsidTr="006419AB">
        <w:tc>
          <w:tcPr>
            <w:tcW w:w="1353" w:type="dxa"/>
          </w:tcPr>
          <w:p w14:paraId="78579217" w14:textId="77777777" w:rsidR="00D651FB" w:rsidRPr="007A29D1" w:rsidRDefault="00D651FB" w:rsidP="00FB074B">
            <w:pPr>
              <w:rPr>
                <w:rFonts w:eastAsia="Calibri"/>
                <w:bCs/>
                <w:kern w:val="0"/>
                <w:sz w:val="24"/>
                <w:szCs w:val="24"/>
                <w:lang w:eastAsia="en-CA"/>
              </w:rPr>
            </w:pPr>
          </w:p>
        </w:tc>
        <w:tc>
          <w:tcPr>
            <w:tcW w:w="7287" w:type="dxa"/>
          </w:tcPr>
          <w:p w14:paraId="528C822D" w14:textId="77777777" w:rsidR="00D651FB" w:rsidRDefault="00D651FB" w:rsidP="00FB074B">
            <w:pPr>
              <w:rPr>
                <w:rFonts w:eastAsia="Calibri"/>
                <w:kern w:val="0"/>
                <w:sz w:val="24"/>
                <w:szCs w:val="24"/>
                <w:lang w:eastAsia="en-CA"/>
              </w:rPr>
            </w:pPr>
            <w:r w:rsidRPr="007A29D1">
              <w:rPr>
                <w:rFonts w:eastAsia="Calibri"/>
                <w:kern w:val="0"/>
                <w:sz w:val="24"/>
                <w:szCs w:val="24"/>
                <w:lang w:eastAsia="en-CA"/>
              </w:rPr>
              <w:t>Brenda McPhail, Senior Technology &amp; Policy Advisor, Information and Privacy Commissioner of Ontario</w:t>
            </w:r>
            <w:r>
              <w:rPr>
                <w:rFonts w:eastAsia="Calibri"/>
                <w:kern w:val="0"/>
                <w:sz w:val="24"/>
                <w:szCs w:val="24"/>
                <w:lang w:eastAsia="en-CA"/>
              </w:rPr>
              <w:br/>
            </w:r>
            <w:r w:rsidRPr="007A29D1">
              <w:rPr>
                <w:rFonts w:eastAsia="Calibri"/>
                <w:kern w:val="0"/>
                <w:sz w:val="24"/>
                <w:szCs w:val="24"/>
                <w:lang w:eastAsia="en-CA"/>
              </w:rPr>
              <w:t>Marcus Pratt, Senior Advisor, Policy Department, Legal Aid Ontario, and Chair of the LAO Test Case Committee</w:t>
            </w:r>
          </w:p>
          <w:p w14:paraId="736AE1EB" w14:textId="77777777" w:rsidR="00D651FB" w:rsidRPr="007A29D1" w:rsidRDefault="00D651FB" w:rsidP="00FB074B">
            <w:pPr>
              <w:rPr>
                <w:rFonts w:eastAsia="Calibri"/>
                <w:kern w:val="0"/>
                <w:sz w:val="24"/>
                <w:szCs w:val="24"/>
                <w:lang w:eastAsia="en-CA"/>
              </w:rPr>
            </w:pPr>
            <w:r w:rsidRPr="007A29D1">
              <w:rPr>
                <w:rFonts w:eastAsia="Calibri"/>
                <w:kern w:val="0"/>
                <w:sz w:val="24"/>
                <w:szCs w:val="24"/>
                <w:lang w:eastAsia="en-CA"/>
              </w:rPr>
              <w:t>Jagtaran Singh, Legal Counsel Ontario Human Rights Commission</w:t>
            </w:r>
          </w:p>
        </w:tc>
      </w:tr>
      <w:tr w:rsidR="00D651FB" w14:paraId="230BE360" w14:textId="77777777" w:rsidTr="006419AB">
        <w:tc>
          <w:tcPr>
            <w:tcW w:w="1353" w:type="dxa"/>
          </w:tcPr>
          <w:p w14:paraId="0973E19B" w14:textId="77777777" w:rsidR="00D651FB" w:rsidRPr="007A29D1" w:rsidRDefault="00D651FB" w:rsidP="00FB074B">
            <w:pPr>
              <w:rPr>
                <w:rFonts w:eastAsia="Calibri"/>
                <w:bCs/>
                <w:kern w:val="0"/>
                <w:sz w:val="24"/>
                <w:szCs w:val="24"/>
                <w:lang w:eastAsia="en-CA"/>
              </w:rPr>
            </w:pPr>
          </w:p>
        </w:tc>
        <w:tc>
          <w:tcPr>
            <w:tcW w:w="7287" w:type="dxa"/>
          </w:tcPr>
          <w:p w14:paraId="3DA2A11E" w14:textId="77777777" w:rsidR="00D651FB" w:rsidRPr="007A29D1" w:rsidRDefault="00D651FB" w:rsidP="00FB074B">
            <w:pPr>
              <w:rPr>
                <w:rFonts w:eastAsia="Calibri"/>
                <w:kern w:val="0"/>
                <w:sz w:val="24"/>
                <w:szCs w:val="24"/>
                <w:lang w:eastAsia="en-CA"/>
              </w:rPr>
            </w:pPr>
          </w:p>
        </w:tc>
      </w:tr>
      <w:tr w:rsidR="00D651FB" w14:paraId="236C1532" w14:textId="77777777" w:rsidTr="006419AB">
        <w:tc>
          <w:tcPr>
            <w:tcW w:w="1353" w:type="dxa"/>
          </w:tcPr>
          <w:p w14:paraId="1A1EADCC" w14:textId="77777777" w:rsidR="00D651FB" w:rsidRPr="007A29D1" w:rsidRDefault="00D651FB" w:rsidP="00FB074B">
            <w:pPr>
              <w:rPr>
                <w:rFonts w:eastAsia="Calibri"/>
                <w:bCs/>
                <w:kern w:val="0"/>
                <w:sz w:val="24"/>
                <w:szCs w:val="24"/>
                <w:lang w:eastAsia="en-CA"/>
              </w:rPr>
            </w:pPr>
            <w:r>
              <w:rPr>
                <w:rFonts w:eastAsia="Calibri"/>
                <w:bCs/>
                <w:kern w:val="0"/>
                <w:sz w:val="24"/>
                <w:szCs w:val="24"/>
                <w:lang w:eastAsia="en-CA"/>
              </w:rPr>
              <w:t>Annex A</w:t>
            </w:r>
          </w:p>
        </w:tc>
        <w:tc>
          <w:tcPr>
            <w:tcW w:w="7287" w:type="dxa"/>
          </w:tcPr>
          <w:p w14:paraId="25FE2F5F" w14:textId="5798D32C" w:rsidR="00D651FB" w:rsidRPr="007A29D1" w:rsidRDefault="006419AB" w:rsidP="00FB074B">
            <w:pPr>
              <w:rPr>
                <w:rFonts w:eastAsia="Calibri"/>
                <w:kern w:val="0"/>
                <w:sz w:val="24"/>
                <w:szCs w:val="24"/>
                <w:lang w:eastAsia="en-CA"/>
              </w:rPr>
            </w:pPr>
            <w:r>
              <w:rPr>
                <w:rFonts w:eastAsia="Calibri"/>
                <w:kern w:val="0"/>
                <w:sz w:val="24"/>
                <w:szCs w:val="24"/>
                <w:lang w:eastAsia="en-CA"/>
              </w:rPr>
              <w:t>Executive Summary and Consultation Questions</w:t>
            </w:r>
          </w:p>
        </w:tc>
      </w:tr>
      <w:tr w:rsidR="00D651FB" w14:paraId="5D9613D0" w14:textId="77777777" w:rsidTr="006419AB">
        <w:tc>
          <w:tcPr>
            <w:tcW w:w="1353" w:type="dxa"/>
          </w:tcPr>
          <w:p w14:paraId="0475F629" w14:textId="77777777" w:rsidR="00D651FB" w:rsidRPr="007A29D1" w:rsidRDefault="00D651FB" w:rsidP="00FB074B">
            <w:pPr>
              <w:rPr>
                <w:rFonts w:eastAsia="Calibri"/>
                <w:bCs/>
                <w:kern w:val="0"/>
                <w:sz w:val="24"/>
                <w:szCs w:val="24"/>
                <w:lang w:eastAsia="en-CA"/>
              </w:rPr>
            </w:pPr>
            <w:r>
              <w:rPr>
                <w:rFonts w:eastAsia="Calibri"/>
                <w:bCs/>
                <w:kern w:val="0"/>
                <w:sz w:val="24"/>
                <w:szCs w:val="24"/>
                <w:lang w:eastAsia="en-CA"/>
              </w:rPr>
              <w:t>Annex B</w:t>
            </w:r>
          </w:p>
        </w:tc>
        <w:tc>
          <w:tcPr>
            <w:tcW w:w="7287" w:type="dxa"/>
          </w:tcPr>
          <w:p w14:paraId="3C7131F3" w14:textId="0F925405" w:rsidR="00D651FB" w:rsidRPr="007A29D1" w:rsidRDefault="00D651FB" w:rsidP="00FB074B">
            <w:pPr>
              <w:rPr>
                <w:rFonts w:eastAsia="Calibri"/>
                <w:kern w:val="0"/>
                <w:sz w:val="24"/>
                <w:szCs w:val="24"/>
                <w:lang w:eastAsia="en-CA"/>
              </w:rPr>
            </w:pPr>
            <w:r>
              <w:rPr>
                <w:rFonts w:eastAsia="Calibri"/>
                <w:kern w:val="0"/>
                <w:sz w:val="24"/>
                <w:szCs w:val="24"/>
                <w:lang w:eastAsia="en-CA"/>
              </w:rPr>
              <w:t xml:space="preserve">Project </w:t>
            </w:r>
            <w:r w:rsidR="006419AB">
              <w:rPr>
                <w:rFonts w:eastAsia="Calibri"/>
                <w:kern w:val="0"/>
                <w:sz w:val="24"/>
                <w:szCs w:val="24"/>
                <w:lang w:eastAsia="en-CA"/>
              </w:rPr>
              <w:t>Case Studies</w:t>
            </w:r>
          </w:p>
        </w:tc>
      </w:tr>
      <w:tr w:rsidR="006419AB" w14:paraId="58E419BC" w14:textId="77777777" w:rsidTr="00576709">
        <w:tc>
          <w:tcPr>
            <w:tcW w:w="1353" w:type="dxa"/>
          </w:tcPr>
          <w:p w14:paraId="5A19A379" w14:textId="77777777" w:rsidR="006419AB" w:rsidRDefault="006419AB" w:rsidP="00FB074B">
            <w:pPr>
              <w:rPr>
                <w:rFonts w:eastAsia="Calibri"/>
                <w:bCs/>
                <w:kern w:val="0"/>
                <w:sz w:val="24"/>
                <w:szCs w:val="24"/>
                <w:lang w:eastAsia="en-CA"/>
              </w:rPr>
            </w:pPr>
          </w:p>
        </w:tc>
        <w:tc>
          <w:tcPr>
            <w:tcW w:w="7287" w:type="dxa"/>
          </w:tcPr>
          <w:p w14:paraId="24A13E69" w14:textId="77777777" w:rsidR="006419AB" w:rsidRDefault="006419AB" w:rsidP="00FB074B">
            <w:pPr>
              <w:rPr>
                <w:rFonts w:eastAsia="Calibri"/>
                <w:kern w:val="0"/>
                <w:sz w:val="24"/>
                <w:szCs w:val="24"/>
                <w:lang w:eastAsia="en-CA"/>
              </w:rPr>
            </w:pPr>
          </w:p>
        </w:tc>
      </w:tr>
      <w:tr w:rsidR="006419AB" w14:paraId="6A5B2903" w14:textId="77777777" w:rsidTr="00576709">
        <w:tc>
          <w:tcPr>
            <w:tcW w:w="8640" w:type="dxa"/>
            <w:gridSpan w:val="2"/>
          </w:tcPr>
          <w:p w14:paraId="41BC2819" w14:textId="6A84B947" w:rsidR="006419AB" w:rsidRDefault="006419AB" w:rsidP="00FB074B">
            <w:pPr>
              <w:rPr>
                <w:rFonts w:eastAsia="Calibri"/>
                <w:kern w:val="0"/>
                <w:sz w:val="24"/>
                <w:szCs w:val="24"/>
                <w:lang w:eastAsia="en-CA"/>
              </w:rPr>
            </w:pPr>
          </w:p>
        </w:tc>
      </w:tr>
    </w:tbl>
    <w:p w14:paraId="11C05CDA" w14:textId="419CEA03" w:rsidR="006B091D" w:rsidRPr="006B091D" w:rsidRDefault="006B091D" w:rsidP="006B091D">
      <w:pPr>
        <w:spacing w:after="160" w:line="259" w:lineRule="auto"/>
        <w:rPr>
          <w:rFonts w:ascii="Calibri" w:eastAsia="Calibri" w:hAnsi="Calibri" w:cs="Calibri"/>
          <w:lang w:eastAsia="en-CA"/>
        </w:rPr>
      </w:pPr>
      <w:r w:rsidRPr="006B091D">
        <w:rPr>
          <w:rFonts w:ascii="Calibri" w:eastAsia="Calibri" w:hAnsi="Calibri" w:cs="Calibri"/>
          <w:lang w:eastAsia="en-CA"/>
        </w:rPr>
        <w:t xml:space="preserve">Project materials are available online: </w:t>
      </w:r>
      <w:hyperlink r:id="rId18" w:history="1">
        <w:r w:rsidRPr="006B091D">
          <w:rPr>
            <w:rFonts w:ascii="Calibri" w:eastAsia="Calibri" w:hAnsi="Calibri" w:cs="Calibri"/>
            <w:color w:val="0563C1"/>
            <w:u w:val="single"/>
            <w:lang w:eastAsia="en-CA"/>
          </w:rPr>
          <w:t>https://www.lco-cdo.org/CrimAI</w:t>
        </w:r>
      </w:hyperlink>
      <w:r w:rsidR="005636BD">
        <w:t>.</w:t>
      </w:r>
    </w:p>
    <w:p w14:paraId="1BB6E4C0" w14:textId="77777777" w:rsidR="006B091D" w:rsidRPr="006B091D" w:rsidRDefault="006B091D" w:rsidP="006B091D">
      <w:pPr>
        <w:spacing w:after="160" w:line="259" w:lineRule="auto"/>
        <w:rPr>
          <w:rFonts w:ascii="Calibri" w:eastAsia="Calibri" w:hAnsi="Calibri" w:cs="Calibri"/>
          <w:b/>
          <w:lang w:eastAsia="en-CA"/>
        </w:rPr>
      </w:pPr>
    </w:p>
    <w:p w14:paraId="52724D26" w14:textId="77777777" w:rsidR="006B091D" w:rsidRPr="006B091D" w:rsidRDefault="006B091D" w:rsidP="006B091D">
      <w:pPr>
        <w:spacing w:after="160" w:line="259" w:lineRule="auto"/>
        <w:rPr>
          <w:rFonts w:ascii="Calibri" w:eastAsia="Calibri" w:hAnsi="Calibri" w:cs="Calibri"/>
          <w:b/>
          <w:lang w:eastAsia="en-CA"/>
        </w:rPr>
      </w:pPr>
      <w:r w:rsidRPr="006B091D">
        <w:rPr>
          <w:rFonts w:ascii="Calibri" w:eastAsia="Calibri" w:hAnsi="Calibri" w:cs="Calibri"/>
          <w:b/>
          <w:lang w:eastAsia="en-CA"/>
        </w:rPr>
        <w:lastRenderedPageBreak/>
        <w:t>STUDENT RESEARCHERS</w:t>
      </w:r>
    </w:p>
    <w:tbl>
      <w:tblPr>
        <w:tblW w:w="9420" w:type="dxa"/>
        <w:tblInd w:w="-70" w:type="dxa"/>
        <w:tblBorders>
          <w:top w:val="nil"/>
          <w:left w:val="nil"/>
          <w:bottom w:val="nil"/>
          <w:right w:val="nil"/>
          <w:insideH w:val="nil"/>
          <w:insideV w:val="nil"/>
        </w:tblBorders>
        <w:tblLayout w:type="fixed"/>
        <w:tblLook w:val="0400" w:firstRow="0" w:lastRow="0" w:firstColumn="0" w:lastColumn="0" w:noHBand="0" w:noVBand="1"/>
      </w:tblPr>
      <w:tblGrid>
        <w:gridCol w:w="3186"/>
        <w:gridCol w:w="3117"/>
        <w:gridCol w:w="3117"/>
      </w:tblGrid>
      <w:tr w:rsidR="006B091D" w:rsidRPr="006B091D" w14:paraId="1A56D9AF" w14:textId="77777777" w:rsidTr="002C1C84">
        <w:tc>
          <w:tcPr>
            <w:tcW w:w="3186" w:type="dxa"/>
          </w:tcPr>
          <w:p w14:paraId="06069BE0" w14:textId="77777777" w:rsidR="006B091D" w:rsidRPr="006B091D" w:rsidRDefault="006B091D" w:rsidP="006B091D">
            <w:pPr>
              <w:rPr>
                <w:rFonts w:ascii="Calibri" w:eastAsia="Calibri" w:hAnsi="Calibri" w:cs="Calibri"/>
                <w:lang w:eastAsia="en-CA"/>
              </w:rPr>
            </w:pPr>
            <w:r w:rsidRPr="006B091D">
              <w:rPr>
                <w:rFonts w:ascii="Calibri" w:eastAsia="Calibri" w:hAnsi="Calibri" w:cs="Calibri"/>
                <w:lang w:eastAsia="en-CA"/>
              </w:rPr>
              <w:t xml:space="preserve">Thurka Brabaharan </w:t>
            </w:r>
          </w:p>
        </w:tc>
        <w:tc>
          <w:tcPr>
            <w:tcW w:w="3117" w:type="dxa"/>
          </w:tcPr>
          <w:p w14:paraId="46969786" w14:textId="77777777" w:rsidR="006B091D" w:rsidRPr="006B091D" w:rsidRDefault="006B091D" w:rsidP="006B091D">
            <w:pPr>
              <w:rPr>
                <w:rFonts w:ascii="Calibri" w:eastAsia="Calibri" w:hAnsi="Calibri" w:cs="Calibri"/>
                <w:highlight w:val="yellow"/>
                <w:lang w:eastAsia="en-CA"/>
              </w:rPr>
            </w:pPr>
            <w:r w:rsidRPr="006B091D">
              <w:rPr>
                <w:rFonts w:ascii="Calibri" w:eastAsia="Calibri" w:hAnsi="Calibri" w:cs="Calibri"/>
                <w:lang w:eastAsia="en-CA"/>
              </w:rPr>
              <w:t>Shahmurad Lodhi</w:t>
            </w:r>
          </w:p>
        </w:tc>
        <w:tc>
          <w:tcPr>
            <w:tcW w:w="3117" w:type="dxa"/>
          </w:tcPr>
          <w:p w14:paraId="1A3FBD88" w14:textId="77777777" w:rsidR="006B091D" w:rsidRPr="006B091D" w:rsidRDefault="006B091D" w:rsidP="006B091D">
            <w:pPr>
              <w:rPr>
                <w:rFonts w:ascii="Calibri" w:eastAsia="Calibri" w:hAnsi="Calibri" w:cs="Calibri"/>
                <w:lang w:eastAsia="en-CA"/>
              </w:rPr>
            </w:pPr>
            <w:r w:rsidRPr="006B091D">
              <w:rPr>
                <w:rFonts w:ascii="Calibri" w:eastAsia="Calibri" w:hAnsi="Calibri" w:cs="Calibri"/>
                <w:lang w:eastAsia="en-CA"/>
              </w:rPr>
              <w:t>John Nyman</w:t>
            </w:r>
          </w:p>
        </w:tc>
      </w:tr>
      <w:tr w:rsidR="006B091D" w:rsidRPr="006B091D" w14:paraId="50ED8D77" w14:textId="77777777" w:rsidTr="002C1C84">
        <w:tc>
          <w:tcPr>
            <w:tcW w:w="3186" w:type="dxa"/>
          </w:tcPr>
          <w:p w14:paraId="10E9C8CC" w14:textId="77777777" w:rsidR="006B091D" w:rsidRPr="006B091D" w:rsidRDefault="006B091D" w:rsidP="006B091D">
            <w:pPr>
              <w:rPr>
                <w:rFonts w:ascii="Calibri" w:eastAsia="Calibri" w:hAnsi="Calibri" w:cs="Calibri"/>
                <w:lang w:eastAsia="en-CA"/>
              </w:rPr>
            </w:pPr>
            <w:r w:rsidRPr="006B091D">
              <w:rPr>
                <w:rFonts w:ascii="Calibri" w:eastAsia="Calibri" w:hAnsi="Calibri" w:cs="Calibri"/>
                <w:lang w:eastAsia="en-CA"/>
              </w:rPr>
              <w:t>Dixon Emanuel</w:t>
            </w:r>
          </w:p>
          <w:p w14:paraId="73C8F2C1" w14:textId="77777777" w:rsidR="006B091D" w:rsidRPr="006B091D" w:rsidRDefault="006B091D" w:rsidP="006B091D">
            <w:pPr>
              <w:rPr>
                <w:rFonts w:ascii="Calibri" w:eastAsia="Calibri" w:hAnsi="Calibri" w:cs="Calibri"/>
                <w:lang w:eastAsia="en-CA"/>
              </w:rPr>
            </w:pPr>
            <w:r w:rsidRPr="006B091D">
              <w:rPr>
                <w:rFonts w:ascii="Calibri" w:eastAsia="Calibri" w:hAnsi="Calibri" w:cs="Calibri"/>
                <w:lang w:eastAsia="en-CA"/>
              </w:rPr>
              <w:t xml:space="preserve">Nouran Hamzeh </w:t>
            </w:r>
          </w:p>
        </w:tc>
        <w:tc>
          <w:tcPr>
            <w:tcW w:w="3117" w:type="dxa"/>
          </w:tcPr>
          <w:p w14:paraId="7F15BC3D" w14:textId="77777777" w:rsidR="006B091D" w:rsidRPr="006B091D" w:rsidRDefault="006B091D" w:rsidP="006B091D">
            <w:pPr>
              <w:rPr>
                <w:rFonts w:ascii="Calibri" w:eastAsia="Calibri" w:hAnsi="Calibri" w:cs="Calibri"/>
                <w:highlight w:val="yellow"/>
                <w:lang w:eastAsia="en-CA"/>
              </w:rPr>
            </w:pPr>
            <w:r w:rsidRPr="006B091D">
              <w:rPr>
                <w:rFonts w:ascii="Calibri" w:eastAsia="Calibri" w:hAnsi="Calibri" w:cs="Calibri"/>
                <w:lang w:eastAsia="en-CA"/>
              </w:rPr>
              <w:t>Masha Michouris</w:t>
            </w:r>
          </w:p>
        </w:tc>
        <w:tc>
          <w:tcPr>
            <w:tcW w:w="3117" w:type="dxa"/>
          </w:tcPr>
          <w:p w14:paraId="7FE3602D" w14:textId="77777777" w:rsidR="006B091D" w:rsidRPr="006B091D" w:rsidRDefault="006B091D" w:rsidP="006B091D">
            <w:pPr>
              <w:rPr>
                <w:rFonts w:ascii="Calibri" w:eastAsia="Calibri" w:hAnsi="Calibri" w:cs="Calibri"/>
                <w:lang w:eastAsia="en-CA"/>
              </w:rPr>
            </w:pPr>
            <w:r w:rsidRPr="006B091D">
              <w:rPr>
                <w:rFonts w:ascii="Calibri" w:eastAsia="Calibri" w:hAnsi="Calibri" w:cs="Calibri"/>
                <w:lang w:eastAsia="en-CA"/>
              </w:rPr>
              <w:t>Ani Semanjaku</w:t>
            </w:r>
          </w:p>
        </w:tc>
      </w:tr>
    </w:tbl>
    <w:p w14:paraId="4458F675" w14:textId="77777777" w:rsidR="006B091D" w:rsidRPr="006B091D" w:rsidRDefault="006B091D" w:rsidP="006B091D">
      <w:pPr>
        <w:spacing w:after="160" w:line="259" w:lineRule="auto"/>
        <w:rPr>
          <w:rFonts w:ascii="Calibri" w:eastAsia="Calibri" w:hAnsi="Calibri" w:cs="Calibri"/>
          <w:b/>
          <w:bCs/>
          <w:lang w:eastAsia="en-CA"/>
        </w:rPr>
      </w:pPr>
    </w:p>
    <w:p w14:paraId="23F3B362" w14:textId="77777777" w:rsidR="006B091D" w:rsidRPr="006B091D" w:rsidRDefault="006B091D" w:rsidP="006B091D">
      <w:pPr>
        <w:spacing w:after="160" w:line="259" w:lineRule="auto"/>
        <w:rPr>
          <w:rFonts w:ascii="Calibri" w:eastAsia="Calibri" w:hAnsi="Calibri" w:cs="Calibri"/>
          <w:b/>
          <w:bCs/>
          <w:lang w:eastAsia="en-CA"/>
        </w:rPr>
      </w:pPr>
      <w:r w:rsidRPr="006B091D">
        <w:rPr>
          <w:rFonts w:ascii="Calibri" w:eastAsia="Calibri" w:hAnsi="Calibri" w:cs="Calibri"/>
          <w:b/>
          <w:bCs/>
          <w:lang w:eastAsia="en-CA"/>
        </w:rPr>
        <w:t>EXTERNAL ADVISORY COMMITTEE</w:t>
      </w:r>
    </w:p>
    <w:tbl>
      <w:tblPr>
        <w:tblStyle w:val="TableGrid12"/>
        <w:tblW w:w="10030"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4"/>
        <w:gridCol w:w="222"/>
      </w:tblGrid>
      <w:tr w:rsidR="006B091D" w:rsidRPr="006B091D" w14:paraId="5F6AF940" w14:textId="77777777" w:rsidTr="002C1C84">
        <w:tc>
          <w:tcPr>
            <w:tcW w:w="4932" w:type="dxa"/>
          </w:tcPr>
          <w:tbl>
            <w:tblPr>
              <w:tblStyle w:val="TableGrid1"/>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6"/>
              <w:gridCol w:w="222"/>
            </w:tblGrid>
            <w:tr w:rsidR="00D651FB" w:rsidRPr="00DB3C0D" w14:paraId="37353729" w14:textId="77777777" w:rsidTr="00FB074B">
              <w:tc>
                <w:tcPr>
                  <w:tcW w:w="4932" w:type="dxa"/>
                </w:tcPr>
                <w:tbl>
                  <w:tblPr>
                    <w:tblStyle w:val="TableGrid1"/>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5098"/>
                  </w:tblGrid>
                  <w:tr w:rsidR="0017607C" w:rsidRPr="00DB3C0D" w14:paraId="2F4A9698" w14:textId="77777777" w:rsidTr="006F5AA8">
                    <w:tc>
                      <w:tcPr>
                        <w:tcW w:w="4932" w:type="dxa"/>
                      </w:tcPr>
                      <w:p w14:paraId="2B85BD19" w14:textId="77777777" w:rsidR="0017607C" w:rsidRDefault="0017607C" w:rsidP="0017607C">
                        <w:pPr>
                          <w:rPr>
                            <w:sz w:val="24"/>
                            <w:szCs w:val="24"/>
                          </w:rPr>
                        </w:pPr>
                        <w:r>
                          <w:rPr>
                            <w:sz w:val="24"/>
                            <w:szCs w:val="24"/>
                          </w:rPr>
                          <w:t xml:space="preserve">Alpha Chan, </w:t>
                        </w:r>
                        <w:r w:rsidRPr="007C68FA">
                          <w:rPr>
                            <w:sz w:val="24"/>
                            <w:szCs w:val="24"/>
                          </w:rPr>
                          <w:t>Chief Information Security Officer</w:t>
                        </w:r>
                        <w:r>
                          <w:rPr>
                            <w:sz w:val="24"/>
                            <w:szCs w:val="24"/>
                          </w:rPr>
                          <w:t>,</w:t>
                        </w:r>
                        <w:r>
                          <w:rPr>
                            <w:sz w:val="24"/>
                            <w:szCs w:val="24"/>
                          </w:rPr>
                          <w:br/>
                          <w:t>Toronto Police Services</w:t>
                        </w:r>
                      </w:p>
                      <w:p w14:paraId="44B42513" w14:textId="77777777" w:rsidR="0017607C" w:rsidRDefault="0017607C" w:rsidP="0017607C">
                        <w:pPr>
                          <w:rPr>
                            <w:sz w:val="24"/>
                            <w:szCs w:val="24"/>
                          </w:rPr>
                        </w:pPr>
                      </w:p>
                      <w:p w14:paraId="4DFF1E32" w14:textId="77777777" w:rsidR="0017607C" w:rsidRDefault="0017607C" w:rsidP="0017607C">
                        <w:pPr>
                          <w:rPr>
                            <w:sz w:val="24"/>
                            <w:szCs w:val="24"/>
                          </w:rPr>
                        </w:pPr>
                        <w:r w:rsidRPr="00DB3C0D">
                          <w:rPr>
                            <w:sz w:val="24"/>
                            <w:szCs w:val="24"/>
                          </w:rPr>
                          <w:t xml:space="preserve">Marco Galluzzo, Office of the Chief Justice, Ontario Superior Court of Justice </w:t>
                        </w:r>
                      </w:p>
                      <w:p w14:paraId="4F364B44" w14:textId="77777777" w:rsidR="0017607C" w:rsidRDefault="0017607C" w:rsidP="0017607C">
                        <w:pPr>
                          <w:rPr>
                            <w:sz w:val="24"/>
                            <w:szCs w:val="24"/>
                          </w:rPr>
                        </w:pPr>
                      </w:p>
                      <w:p w14:paraId="70F24724" w14:textId="77777777" w:rsidR="0017607C" w:rsidRDefault="0017607C" w:rsidP="0017607C">
                        <w:pPr>
                          <w:rPr>
                            <w:sz w:val="24"/>
                            <w:szCs w:val="24"/>
                          </w:rPr>
                        </w:pPr>
                        <w:r w:rsidRPr="00DB3C0D">
                          <w:rPr>
                            <w:sz w:val="24"/>
                            <w:szCs w:val="24"/>
                          </w:rPr>
                          <w:t xml:space="preserve">Rosanna Giancristiano, Director, Court Operations, Ministry of the Attorney General </w:t>
                        </w:r>
                      </w:p>
                      <w:p w14:paraId="19A02F4F" w14:textId="77777777" w:rsidR="0017607C" w:rsidRDefault="0017607C" w:rsidP="0017607C">
                        <w:pPr>
                          <w:rPr>
                            <w:sz w:val="24"/>
                            <w:szCs w:val="24"/>
                          </w:rPr>
                        </w:pPr>
                      </w:p>
                      <w:p w14:paraId="3143ADA9" w14:textId="77777777" w:rsidR="0017607C" w:rsidRPr="00DB3C0D" w:rsidRDefault="0017607C" w:rsidP="0017607C">
                        <w:pPr>
                          <w:rPr>
                            <w:sz w:val="24"/>
                            <w:szCs w:val="24"/>
                          </w:rPr>
                        </w:pPr>
                        <w:r w:rsidRPr="00DB3C0D">
                          <w:rPr>
                            <w:sz w:val="24"/>
                            <w:szCs w:val="24"/>
                          </w:rPr>
                          <w:t>Rosemarie Juginovic, Office of the Chief Justice, Ontario Superior Court of Justice</w:t>
                        </w:r>
                      </w:p>
                      <w:p w14:paraId="0C69FC92" w14:textId="77777777" w:rsidR="0017607C" w:rsidRDefault="0017607C" w:rsidP="0017607C">
                        <w:pPr>
                          <w:rPr>
                            <w:sz w:val="24"/>
                            <w:szCs w:val="24"/>
                          </w:rPr>
                        </w:pPr>
                      </w:p>
                      <w:p w14:paraId="590B2E27" w14:textId="77777777" w:rsidR="0017607C" w:rsidRDefault="0017607C" w:rsidP="0017607C">
                        <w:pPr>
                          <w:rPr>
                            <w:sz w:val="24"/>
                            <w:szCs w:val="24"/>
                          </w:rPr>
                        </w:pPr>
                        <w:r w:rsidRPr="00DB3C0D">
                          <w:rPr>
                            <w:sz w:val="24"/>
                            <w:szCs w:val="24"/>
                          </w:rPr>
                          <w:t xml:space="preserve">Associate Professor Daniel Konikoff, Department of Sociology, University of Alberta </w:t>
                        </w:r>
                      </w:p>
                      <w:p w14:paraId="1CF66217" w14:textId="77777777" w:rsidR="0017607C" w:rsidRDefault="0017607C" w:rsidP="0017607C">
                        <w:pPr>
                          <w:rPr>
                            <w:sz w:val="24"/>
                            <w:szCs w:val="24"/>
                          </w:rPr>
                        </w:pPr>
                      </w:p>
                      <w:p w14:paraId="331DD09E" w14:textId="77777777" w:rsidR="0017607C" w:rsidRPr="00DB3C0D" w:rsidRDefault="0017607C" w:rsidP="0017607C">
                        <w:pPr>
                          <w:rPr>
                            <w:sz w:val="24"/>
                            <w:szCs w:val="24"/>
                          </w:rPr>
                        </w:pPr>
                        <w:r w:rsidRPr="00DB3C0D">
                          <w:rPr>
                            <w:sz w:val="24"/>
                            <w:szCs w:val="24"/>
                          </w:rPr>
                          <w:t>Michelina Longo, Director, External Relations, Ministry of the Solicitor General</w:t>
                        </w:r>
                      </w:p>
                      <w:p w14:paraId="19D90316" w14:textId="77777777" w:rsidR="0017607C" w:rsidRDefault="0017607C" w:rsidP="0017607C">
                        <w:pPr>
                          <w:rPr>
                            <w:sz w:val="24"/>
                            <w:szCs w:val="24"/>
                          </w:rPr>
                        </w:pPr>
                      </w:p>
                      <w:p w14:paraId="3558139F" w14:textId="77777777" w:rsidR="0017607C" w:rsidRPr="00DB3C0D" w:rsidRDefault="0017607C" w:rsidP="0017607C">
                        <w:pPr>
                          <w:rPr>
                            <w:sz w:val="24"/>
                            <w:szCs w:val="24"/>
                          </w:rPr>
                        </w:pPr>
                        <w:r w:rsidRPr="00DB3C0D">
                          <w:rPr>
                            <w:sz w:val="24"/>
                            <w:szCs w:val="24"/>
                          </w:rPr>
                          <w:t xml:space="preserve">Jessica Mahon, </w:t>
                        </w:r>
                        <w:r w:rsidRPr="00A028BE">
                          <w:rPr>
                            <w:sz w:val="24"/>
                            <w:szCs w:val="24"/>
                          </w:rPr>
                          <w:t xml:space="preserve">Policing Standards Section, </w:t>
                        </w:r>
                        <w:r w:rsidRPr="00DB3C0D">
                          <w:rPr>
                            <w:sz w:val="24"/>
                            <w:szCs w:val="24"/>
                          </w:rPr>
                          <w:t>Ministry of the Solicitor General</w:t>
                        </w:r>
                        <w:r w:rsidRPr="00DB3C0D">
                          <w:rPr>
                            <w:sz w:val="24"/>
                            <w:szCs w:val="24"/>
                          </w:rPr>
                          <w:br/>
                        </w:r>
                      </w:p>
                    </w:tc>
                    <w:tc>
                      <w:tcPr>
                        <w:tcW w:w="5098" w:type="dxa"/>
                      </w:tcPr>
                      <w:p w14:paraId="0EF5902F" w14:textId="77777777" w:rsidR="0017607C" w:rsidRPr="00DB3C0D" w:rsidRDefault="0017607C" w:rsidP="0017607C">
                        <w:pPr>
                          <w:rPr>
                            <w:sz w:val="24"/>
                            <w:szCs w:val="24"/>
                          </w:rPr>
                        </w:pPr>
                        <w:r w:rsidRPr="00DB3C0D">
                          <w:rPr>
                            <w:sz w:val="24"/>
                            <w:szCs w:val="24"/>
                          </w:rPr>
                          <w:t>Jane Mallen, Ministry of the Attorney General and LCO Board of Governors</w:t>
                        </w:r>
                      </w:p>
                      <w:p w14:paraId="7DA9113E" w14:textId="77777777" w:rsidR="0017607C" w:rsidRDefault="0017607C" w:rsidP="0017607C">
                        <w:pPr>
                          <w:rPr>
                            <w:sz w:val="24"/>
                            <w:szCs w:val="24"/>
                          </w:rPr>
                        </w:pPr>
                      </w:p>
                      <w:p w14:paraId="5A07843D" w14:textId="77777777" w:rsidR="0017607C" w:rsidRDefault="0017607C" w:rsidP="0017607C">
                        <w:pPr>
                          <w:rPr>
                            <w:sz w:val="24"/>
                            <w:szCs w:val="24"/>
                          </w:rPr>
                        </w:pPr>
                        <w:r>
                          <w:rPr>
                            <w:sz w:val="24"/>
                            <w:szCs w:val="24"/>
                          </w:rPr>
                          <w:t>Elena Middelkamp, Crown Law Office Criminal,</w:t>
                        </w:r>
                        <w:r>
                          <w:rPr>
                            <w:sz w:val="24"/>
                            <w:szCs w:val="24"/>
                          </w:rPr>
                          <w:br/>
                          <w:t>Ministry of the Attorney General</w:t>
                        </w:r>
                      </w:p>
                      <w:p w14:paraId="6D68F6CB" w14:textId="77777777" w:rsidR="0017607C" w:rsidRDefault="0017607C" w:rsidP="0017607C">
                        <w:pPr>
                          <w:rPr>
                            <w:sz w:val="24"/>
                            <w:szCs w:val="24"/>
                          </w:rPr>
                        </w:pPr>
                      </w:p>
                      <w:p w14:paraId="6ED0B364" w14:textId="77777777" w:rsidR="0017607C" w:rsidRPr="00DB3C0D" w:rsidRDefault="0017607C" w:rsidP="0017607C">
                        <w:pPr>
                          <w:rPr>
                            <w:sz w:val="24"/>
                            <w:szCs w:val="24"/>
                          </w:rPr>
                        </w:pPr>
                        <w:r w:rsidRPr="00DB3C0D">
                          <w:rPr>
                            <w:sz w:val="24"/>
                            <w:szCs w:val="24"/>
                          </w:rPr>
                          <w:t xml:space="preserve">Savio Pereira, </w:t>
                        </w:r>
                        <w:r>
                          <w:rPr>
                            <w:sz w:val="24"/>
                            <w:szCs w:val="24"/>
                          </w:rPr>
                          <w:t xml:space="preserve">Policing Standards Section, </w:t>
                        </w:r>
                        <w:r w:rsidRPr="00DB3C0D">
                          <w:rPr>
                            <w:sz w:val="24"/>
                            <w:szCs w:val="24"/>
                          </w:rPr>
                          <w:t>Ministry of the Solicitor General</w:t>
                        </w:r>
                      </w:p>
                      <w:p w14:paraId="577F0806" w14:textId="77777777" w:rsidR="0017607C" w:rsidRPr="00DB3C0D" w:rsidRDefault="0017607C" w:rsidP="0017607C">
                        <w:pPr>
                          <w:rPr>
                            <w:sz w:val="24"/>
                            <w:szCs w:val="24"/>
                          </w:rPr>
                        </w:pPr>
                      </w:p>
                      <w:p w14:paraId="3F63C265" w14:textId="77777777" w:rsidR="0017607C" w:rsidRDefault="0017607C" w:rsidP="0017607C">
                        <w:pPr>
                          <w:rPr>
                            <w:sz w:val="24"/>
                            <w:szCs w:val="24"/>
                          </w:rPr>
                        </w:pPr>
                        <w:r w:rsidRPr="0068436E">
                          <w:rPr>
                            <w:sz w:val="24"/>
                            <w:szCs w:val="24"/>
                          </w:rPr>
                          <w:t>Professor Ben Perrin, Faculty of Law, University of British Columbia</w:t>
                        </w:r>
                      </w:p>
                      <w:p w14:paraId="71256BF6" w14:textId="77777777" w:rsidR="0017607C" w:rsidRDefault="0017607C" w:rsidP="0017607C">
                        <w:pPr>
                          <w:rPr>
                            <w:sz w:val="24"/>
                            <w:szCs w:val="24"/>
                          </w:rPr>
                        </w:pPr>
                      </w:p>
                      <w:p w14:paraId="43ABC350" w14:textId="77777777" w:rsidR="0017607C" w:rsidRPr="00DB3C0D" w:rsidRDefault="0017607C" w:rsidP="0017607C">
                        <w:pPr>
                          <w:rPr>
                            <w:sz w:val="24"/>
                            <w:szCs w:val="24"/>
                          </w:rPr>
                        </w:pPr>
                        <w:r w:rsidRPr="00DB3C0D">
                          <w:rPr>
                            <w:sz w:val="24"/>
                            <w:szCs w:val="24"/>
                          </w:rPr>
                          <w:t>Michael Swinburne</w:t>
                        </w:r>
                        <w:r>
                          <w:rPr>
                            <w:sz w:val="24"/>
                            <w:szCs w:val="24"/>
                          </w:rPr>
                          <w:t xml:space="preserve">, </w:t>
                        </w:r>
                        <w:r w:rsidRPr="00DB3C0D">
                          <w:rPr>
                            <w:sz w:val="24"/>
                            <w:szCs w:val="24"/>
                          </w:rPr>
                          <w:t>Senior Policy Advisor, Canadian Human Rights Commission</w:t>
                        </w:r>
                      </w:p>
                      <w:p w14:paraId="2F70B326" w14:textId="77777777" w:rsidR="0017607C" w:rsidRDefault="0017607C" w:rsidP="0017607C">
                        <w:pPr>
                          <w:rPr>
                            <w:sz w:val="24"/>
                            <w:szCs w:val="24"/>
                          </w:rPr>
                        </w:pPr>
                      </w:p>
                      <w:p w14:paraId="11957F8A" w14:textId="77777777" w:rsidR="0017607C" w:rsidRPr="00DB3C0D" w:rsidRDefault="0017607C" w:rsidP="0017607C">
                        <w:pPr>
                          <w:rPr>
                            <w:sz w:val="24"/>
                            <w:szCs w:val="24"/>
                          </w:rPr>
                        </w:pPr>
                        <w:r w:rsidRPr="00DB3C0D">
                          <w:rPr>
                            <w:sz w:val="24"/>
                            <w:szCs w:val="24"/>
                          </w:rPr>
                          <w:t>Professor David Murakami Wood, Department of Criminology, University of Ottawa</w:t>
                        </w:r>
                      </w:p>
                    </w:tc>
                  </w:tr>
                </w:tbl>
                <w:p w14:paraId="32733AA6" w14:textId="192BCE99" w:rsidR="00D651FB" w:rsidRPr="00DB3C0D" w:rsidRDefault="00D651FB" w:rsidP="00D651FB">
                  <w:pPr>
                    <w:rPr>
                      <w:sz w:val="24"/>
                      <w:szCs w:val="24"/>
                    </w:rPr>
                  </w:pPr>
                </w:p>
              </w:tc>
              <w:tc>
                <w:tcPr>
                  <w:tcW w:w="5098" w:type="dxa"/>
                </w:tcPr>
                <w:p w14:paraId="0840C0E8" w14:textId="5B02E584" w:rsidR="00D651FB" w:rsidRPr="00DB3C0D" w:rsidRDefault="00D651FB" w:rsidP="00D651FB">
                  <w:pPr>
                    <w:rPr>
                      <w:sz w:val="24"/>
                      <w:szCs w:val="24"/>
                    </w:rPr>
                  </w:pPr>
                </w:p>
              </w:tc>
            </w:tr>
          </w:tbl>
          <w:p w14:paraId="58965166" w14:textId="24EB4DE4" w:rsidR="006B091D" w:rsidRPr="006B091D" w:rsidRDefault="006B091D" w:rsidP="006B091D">
            <w:pPr>
              <w:rPr>
                <w:rFonts w:ascii="Calibri" w:hAnsi="Calibri" w:cs="Calibri"/>
              </w:rPr>
            </w:pPr>
          </w:p>
        </w:tc>
        <w:tc>
          <w:tcPr>
            <w:tcW w:w="5098" w:type="dxa"/>
          </w:tcPr>
          <w:p w14:paraId="392F1CA7" w14:textId="3F290D2D" w:rsidR="006B091D" w:rsidRPr="006B091D" w:rsidRDefault="006B091D" w:rsidP="006B091D">
            <w:pPr>
              <w:rPr>
                <w:rFonts w:ascii="Calibri" w:hAnsi="Calibri" w:cs="Calibri"/>
              </w:rPr>
            </w:pPr>
          </w:p>
        </w:tc>
      </w:tr>
    </w:tbl>
    <w:p w14:paraId="17E776F1" w14:textId="77777777" w:rsidR="006B091D" w:rsidRPr="006B091D" w:rsidRDefault="00214AFA" w:rsidP="006B091D">
      <w:pPr>
        <w:rPr>
          <w:rFonts w:ascii="Calibri" w:eastAsia="Calibri" w:hAnsi="Calibri" w:cs="Calibri"/>
          <w:b/>
          <w:bCs/>
          <w:lang w:eastAsia="en-CA"/>
        </w:rPr>
      </w:pPr>
      <w:r w:rsidRPr="00214AFA">
        <w:rPr>
          <w:rFonts w:ascii="Calibri" w:eastAsia="Calibri" w:hAnsi="Calibri" w:cs="Calibri"/>
          <w:b/>
          <w:bCs/>
          <w:lang w:eastAsia="en-CA"/>
        </w:rPr>
        <w:br/>
      </w:r>
      <w:r w:rsidR="006B091D" w:rsidRPr="006B091D">
        <w:rPr>
          <w:rFonts w:ascii="Calibri" w:eastAsia="Calibri" w:hAnsi="Calibri" w:cs="Calibri"/>
          <w:b/>
          <w:bCs/>
          <w:lang w:eastAsia="en-CA"/>
        </w:rPr>
        <w:t>DISCLAIMER</w:t>
      </w:r>
    </w:p>
    <w:p w14:paraId="4F1975B4" w14:textId="77777777" w:rsidR="00D651FB" w:rsidRDefault="00D651FB" w:rsidP="00D651FB">
      <w:pPr>
        <w:rPr>
          <w:rFonts w:eastAsia="Calibri"/>
          <w:lang w:eastAsia="en-CA"/>
        </w:rPr>
      </w:pPr>
    </w:p>
    <w:p w14:paraId="4A674AA9" w14:textId="125CF732" w:rsidR="00D651FB" w:rsidRPr="00477AC8" w:rsidRDefault="00D651FB" w:rsidP="00D651FB">
      <w:pPr>
        <w:rPr>
          <w:rFonts w:eastAsia="Calibri"/>
          <w:lang w:eastAsia="en-CA"/>
        </w:rPr>
      </w:pPr>
      <w:r w:rsidRPr="00477AC8">
        <w:rPr>
          <w:rFonts w:eastAsia="Calibri"/>
          <w:lang w:eastAsia="en-CA"/>
        </w:rPr>
        <w:t>The analysis, findings, and recommendations in this paper do not necessarily represent the views of the LCO’s funders, supporters, Advisory Committee members, or Issue Paper authors.</w:t>
      </w:r>
      <w:r>
        <w:rPr>
          <w:rFonts w:eastAsia="Calibri"/>
          <w:lang w:eastAsia="en-CA"/>
        </w:rPr>
        <w:t xml:space="preserve"> </w:t>
      </w:r>
    </w:p>
    <w:p w14:paraId="493688F0" w14:textId="77777777" w:rsidR="00D651FB" w:rsidRDefault="00D651FB" w:rsidP="00D651FB">
      <w:pPr>
        <w:rPr>
          <w:rFonts w:eastAsia="Calibri"/>
          <w:lang w:eastAsia="en-CA"/>
        </w:rPr>
      </w:pPr>
    </w:p>
    <w:p w14:paraId="77A813F3" w14:textId="1383FABB" w:rsidR="00D651FB" w:rsidRPr="00477AC8" w:rsidRDefault="00D651FB" w:rsidP="00D651FB">
      <w:pPr>
        <w:rPr>
          <w:rFonts w:eastAsia="Calibri"/>
          <w:lang w:eastAsia="en-CA"/>
        </w:rPr>
      </w:pPr>
      <w:r w:rsidRPr="00477AC8">
        <w:rPr>
          <w:rFonts w:eastAsia="Calibri"/>
          <w:lang w:eastAsia="en-CA"/>
        </w:rPr>
        <w:t>The analysis, findings, and recommendations in the project Issue Papers do not necessarily represent the views of the LCO, its funders, supporters, or Advisory Committee members.</w:t>
      </w:r>
    </w:p>
    <w:p w14:paraId="1FAF08C5" w14:textId="77777777" w:rsidR="00D651FB" w:rsidRDefault="00D651FB" w:rsidP="00214AFA">
      <w:pPr>
        <w:spacing w:after="160" w:line="259" w:lineRule="auto"/>
        <w:rPr>
          <w:rFonts w:ascii="Calibri" w:eastAsia="Calibri" w:hAnsi="Calibri" w:cs="Calibri"/>
          <w:b/>
          <w:bCs/>
          <w:lang w:eastAsia="en-CA"/>
        </w:rPr>
      </w:pPr>
    </w:p>
    <w:p w14:paraId="60A616CF" w14:textId="66929019" w:rsidR="00214AFA" w:rsidRPr="00214AFA" w:rsidRDefault="00214AFA" w:rsidP="00214AFA">
      <w:pPr>
        <w:spacing w:after="160" w:line="259" w:lineRule="auto"/>
        <w:rPr>
          <w:rFonts w:ascii="Calibri" w:eastAsia="Calibri" w:hAnsi="Calibri" w:cs="Calibri"/>
          <w:b/>
          <w:bCs/>
          <w:lang w:eastAsia="en-CA"/>
        </w:rPr>
      </w:pPr>
      <w:r w:rsidRPr="00214AFA">
        <w:rPr>
          <w:rFonts w:ascii="Calibri" w:eastAsia="Calibri" w:hAnsi="Calibri" w:cs="Calibri"/>
          <w:b/>
          <w:bCs/>
          <w:lang w:eastAsia="en-CA"/>
        </w:rPr>
        <w:t>CITATION</w:t>
      </w:r>
    </w:p>
    <w:p w14:paraId="5EC5DD56" w14:textId="64A115CA" w:rsidR="00214AFA" w:rsidRPr="00214AFA" w:rsidRDefault="00214AFA" w:rsidP="00214AFA">
      <w:pPr>
        <w:spacing w:after="160" w:line="259" w:lineRule="auto"/>
        <w:rPr>
          <w:rFonts w:ascii="Calibri" w:eastAsia="Calibri" w:hAnsi="Calibri" w:cs="Calibri"/>
          <w:lang w:eastAsia="en-CA"/>
        </w:rPr>
      </w:pPr>
      <w:r w:rsidRPr="00214AFA">
        <w:rPr>
          <w:rFonts w:ascii="Calibri" w:eastAsia="Calibri" w:hAnsi="Calibri" w:cs="Calibri"/>
          <w:lang w:eastAsia="en-CA"/>
        </w:rPr>
        <w:t xml:space="preserve">Law Commission of Ontario, </w:t>
      </w:r>
      <w:r>
        <w:rPr>
          <w:rFonts w:ascii="Calibri" w:eastAsia="Calibri" w:hAnsi="Calibri" w:cs="Calibri"/>
          <w:b/>
          <w:i/>
          <w:iCs/>
          <w:lang w:eastAsia="en-CA"/>
        </w:rPr>
        <w:t>A</w:t>
      </w:r>
      <w:r w:rsidR="00E00F9D">
        <w:rPr>
          <w:rFonts w:ascii="Calibri" w:eastAsia="Calibri" w:hAnsi="Calibri" w:cs="Calibri"/>
          <w:b/>
          <w:i/>
          <w:iCs/>
          <w:lang w:eastAsia="en-CA"/>
        </w:rPr>
        <w:t>I</w:t>
      </w:r>
      <w:r>
        <w:rPr>
          <w:rFonts w:ascii="Calibri" w:eastAsia="Calibri" w:hAnsi="Calibri" w:cs="Calibri"/>
          <w:b/>
          <w:i/>
          <w:iCs/>
          <w:lang w:eastAsia="en-CA"/>
        </w:rPr>
        <w:t xml:space="preserve"> at Trial and On Appeal</w:t>
      </w:r>
      <w:r w:rsidRPr="00214AFA">
        <w:rPr>
          <w:rFonts w:ascii="Calibri" w:eastAsia="Calibri" w:hAnsi="Calibri" w:cs="Calibri"/>
          <w:b/>
          <w:i/>
          <w:iCs/>
          <w:lang w:eastAsia="en-CA"/>
        </w:rPr>
        <w:t xml:space="preserve">: Paper </w:t>
      </w:r>
      <w:r>
        <w:rPr>
          <w:rFonts w:ascii="Calibri" w:eastAsia="Calibri" w:hAnsi="Calibri" w:cs="Calibri"/>
          <w:b/>
          <w:i/>
          <w:iCs/>
          <w:lang w:eastAsia="en-CA"/>
        </w:rPr>
        <w:t>4</w:t>
      </w:r>
      <w:r w:rsidRPr="00214AFA">
        <w:rPr>
          <w:rFonts w:ascii="Calibri" w:eastAsia="Calibri" w:hAnsi="Calibri" w:cs="Calibri"/>
          <w:b/>
          <w:i/>
          <w:iCs/>
          <w:lang w:eastAsia="en-CA"/>
        </w:rPr>
        <w:t xml:space="preserve"> in the LCO AI in Criminal Justice Project </w:t>
      </w:r>
      <w:r w:rsidRPr="00214AFA">
        <w:rPr>
          <w:rFonts w:ascii="Calibri" w:eastAsia="Calibri" w:hAnsi="Calibri" w:cs="Calibri"/>
          <w:lang w:eastAsia="en-CA"/>
        </w:rPr>
        <w:t xml:space="preserve">(Toronto: </w:t>
      </w:r>
      <w:r w:rsidR="00CA471F">
        <w:rPr>
          <w:rFonts w:ascii="Calibri" w:eastAsia="Calibri" w:hAnsi="Calibri" w:cs="Calibri"/>
          <w:lang w:eastAsia="en-CA"/>
        </w:rPr>
        <w:t>April</w:t>
      </w:r>
      <w:r w:rsidRPr="00214AFA">
        <w:rPr>
          <w:rFonts w:ascii="Calibri" w:eastAsia="Calibri" w:hAnsi="Calibri" w:cs="Calibri"/>
          <w:lang w:eastAsia="en-CA"/>
        </w:rPr>
        <w:t xml:space="preserve"> 2025).</w:t>
      </w:r>
    </w:p>
    <w:p w14:paraId="454A3B9A" w14:textId="77777777" w:rsidR="005D2DBA" w:rsidRPr="005D2DBA" w:rsidRDefault="005D2DBA" w:rsidP="005D2DBA">
      <w:pPr>
        <w:spacing w:after="160" w:line="259" w:lineRule="auto"/>
        <w:rPr>
          <w:rFonts w:ascii="Calibri" w:eastAsia="Calibri" w:hAnsi="Calibri" w:cs="Calibri"/>
          <w:b/>
          <w:bCs/>
          <w:lang w:eastAsia="en-CA"/>
        </w:rPr>
      </w:pPr>
      <w:r w:rsidRPr="005D2DBA">
        <w:rPr>
          <w:rFonts w:ascii="Calibri" w:eastAsia="Calibri" w:hAnsi="Calibri" w:cs="Calibri"/>
          <w:b/>
          <w:bCs/>
          <w:lang w:eastAsia="en-CA"/>
        </w:rPr>
        <w:lastRenderedPageBreak/>
        <w:t>CONTACT</w:t>
      </w:r>
    </w:p>
    <w:p w14:paraId="4BDD57B0" w14:textId="77777777" w:rsidR="005D2DBA" w:rsidRPr="005D2DBA" w:rsidRDefault="005D2DBA" w:rsidP="005D2DBA">
      <w:pPr>
        <w:spacing w:after="160" w:line="259" w:lineRule="auto"/>
        <w:rPr>
          <w:rFonts w:ascii="Calibri" w:eastAsia="Calibri" w:hAnsi="Calibri" w:cs="Calibri"/>
          <w:lang w:eastAsia="en-CA"/>
        </w:rPr>
      </w:pPr>
      <w:r w:rsidRPr="005D2DBA">
        <w:rPr>
          <w:rFonts w:ascii="Calibri" w:eastAsia="Calibri" w:hAnsi="Calibri" w:cs="Calibri"/>
          <w:lang w:eastAsia="en-CA"/>
        </w:rPr>
        <w:t>Law Commission of Ontario</w:t>
      </w:r>
      <w:r w:rsidRPr="005D2DBA">
        <w:rPr>
          <w:rFonts w:ascii="Calibri" w:eastAsia="Calibri" w:hAnsi="Calibri" w:cs="Calibri"/>
          <w:lang w:eastAsia="en-CA"/>
        </w:rPr>
        <w:br/>
        <w:t>2032 Ignat Kaneff Building</w:t>
      </w:r>
      <w:r w:rsidRPr="005D2DBA">
        <w:rPr>
          <w:rFonts w:ascii="Calibri" w:eastAsia="Calibri" w:hAnsi="Calibri" w:cs="Calibri"/>
          <w:lang w:eastAsia="en-CA"/>
        </w:rPr>
        <w:br/>
        <w:t>Osgoode Hall Law School, York University</w:t>
      </w:r>
      <w:r w:rsidRPr="005D2DBA">
        <w:rPr>
          <w:rFonts w:ascii="Calibri" w:eastAsia="Calibri" w:hAnsi="Calibri" w:cs="Calibri"/>
          <w:lang w:eastAsia="en-CA"/>
        </w:rPr>
        <w:br/>
        <w:t>4700 Keele Street, Toronto, ON, M3J 1P3</w:t>
      </w:r>
    </w:p>
    <w:p w14:paraId="0579E57D" w14:textId="77777777" w:rsidR="005D2DBA" w:rsidRPr="005D2DBA" w:rsidRDefault="005D2DBA" w:rsidP="005D2DBA">
      <w:pPr>
        <w:spacing w:after="160" w:line="259" w:lineRule="auto"/>
        <w:rPr>
          <w:rFonts w:ascii="Calibri" w:eastAsia="Calibri" w:hAnsi="Calibri" w:cs="Calibri"/>
          <w:lang w:eastAsia="en-CA"/>
        </w:rPr>
      </w:pPr>
      <w:r w:rsidRPr="005D2DBA">
        <w:rPr>
          <w:rFonts w:ascii="Calibri" w:eastAsia="Calibri" w:hAnsi="Calibri" w:cs="Calibri"/>
          <w:lang w:eastAsia="en-CA"/>
        </w:rPr>
        <w:t xml:space="preserve">Tel: (416) 650-8406 </w:t>
      </w:r>
      <w:r w:rsidRPr="005D2DBA">
        <w:rPr>
          <w:rFonts w:ascii="Calibri" w:eastAsia="Calibri" w:hAnsi="Calibri" w:cs="Calibri"/>
          <w:lang w:eastAsia="en-CA"/>
        </w:rPr>
        <w:br/>
        <w:t xml:space="preserve">E-mail: </w:t>
      </w:r>
      <w:hyperlink r:id="rId19" w:history="1">
        <w:r w:rsidRPr="005D2DBA">
          <w:rPr>
            <w:rFonts w:ascii="Calibri" w:eastAsia="Calibri" w:hAnsi="Calibri" w:cs="Calibri"/>
            <w:color w:val="0563C1"/>
            <w:u w:val="single"/>
            <w:lang w:eastAsia="en-CA"/>
          </w:rPr>
          <w:t>LawCommission@lco-cdo.org</w:t>
        </w:r>
      </w:hyperlink>
      <w:r w:rsidRPr="005D2DBA">
        <w:rPr>
          <w:rFonts w:ascii="Calibri" w:eastAsia="Calibri" w:hAnsi="Calibri" w:cs="Calibri"/>
          <w:lang w:eastAsia="en-CA"/>
        </w:rPr>
        <w:t xml:space="preserve"> </w:t>
      </w:r>
      <w:r w:rsidRPr="005D2DBA">
        <w:rPr>
          <w:rFonts w:ascii="Calibri" w:eastAsia="Calibri" w:hAnsi="Calibri" w:cs="Calibri"/>
          <w:lang w:eastAsia="en-CA"/>
        </w:rPr>
        <w:br/>
        <w:t xml:space="preserve">Web: </w:t>
      </w:r>
      <w:hyperlink r:id="rId20" w:history="1">
        <w:r w:rsidRPr="005D2DBA">
          <w:rPr>
            <w:rFonts w:ascii="Calibri" w:eastAsia="Calibri" w:hAnsi="Calibri" w:cs="Calibri"/>
            <w:color w:val="0563C1"/>
            <w:u w:val="single"/>
            <w:lang w:eastAsia="en-CA"/>
          </w:rPr>
          <w:t>https://www.lco-cdo.org</w:t>
        </w:r>
      </w:hyperlink>
      <w:r w:rsidRPr="005D2DBA">
        <w:rPr>
          <w:rFonts w:ascii="Calibri" w:eastAsia="Calibri" w:hAnsi="Calibri" w:cs="Calibri"/>
          <w:lang w:eastAsia="en-CA"/>
        </w:rPr>
        <w:t xml:space="preserve"> </w:t>
      </w:r>
      <w:r w:rsidRPr="005D2DBA">
        <w:rPr>
          <w:rFonts w:ascii="Calibri" w:eastAsia="Calibri" w:hAnsi="Calibri" w:cs="Calibri"/>
          <w:lang w:eastAsia="en-CA"/>
        </w:rPr>
        <w:br/>
        <w:t xml:space="preserve">LinkedIn: </w:t>
      </w:r>
      <w:hyperlink r:id="rId21" w:history="1">
        <w:r w:rsidRPr="005D2DBA">
          <w:rPr>
            <w:rFonts w:ascii="Calibri" w:eastAsia="Calibri" w:hAnsi="Calibri" w:cs="Calibri"/>
            <w:color w:val="0563C1"/>
            <w:u w:val="single"/>
            <w:lang w:eastAsia="en-CA"/>
          </w:rPr>
          <w:t>https://linkedin.com/company/lco-cdo</w:t>
        </w:r>
      </w:hyperlink>
      <w:r w:rsidRPr="005D2DBA">
        <w:rPr>
          <w:rFonts w:ascii="Calibri" w:eastAsia="Calibri" w:hAnsi="Calibri" w:cs="Calibri"/>
          <w:lang w:eastAsia="en-CA"/>
        </w:rPr>
        <w:t xml:space="preserve">  </w:t>
      </w:r>
      <w:r w:rsidRPr="005D2DBA">
        <w:rPr>
          <w:rFonts w:ascii="Calibri" w:eastAsia="Calibri" w:hAnsi="Calibri" w:cs="Calibri"/>
          <w:lang w:eastAsia="en-CA"/>
        </w:rPr>
        <w:br/>
        <w:t xml:space="preserve">Bluesky: </w:t>
      </w:r>
      <w:hyperlink r:id="rId22" w:history="1">
        <w:r w:rsidRPr="005D2DBA">
          <w:rPr>
            <w:rFonts w:ascii="Calibri" w:eastAsia="Calibri" w:hAnsi="Calibri" w:cs="Calibri"/>
            <w:color w:val="0563C1"/>
            <w:u w:val="single"/>
            <w:lang w:eastAsia="en-CA"/>
          </w:rPr>
          <w:t>@lco-cdo.bsky.social</w:t>
        </w:r>
      </w:hyperlink>
      <w:r w:rsidRPr="005D2DBA">
        <w:rPr>
          <w:rFonts w:ascii="Calibri" w:eastAsia="Calibri" w:hAnsi="Calibri" w:cs="Calibri"/>
          <w:lang w:eastAsia="en-CA"/>
        </w:rPr>
        <w:br/>
        <w:t xml:space="preserve">Twitter: </w:t>
      </w:r>
      <w:hyperlink r:id="rId23" w:history="1">
        <w:r w:rsidRPr="005D2DBA">
          <w:rPr>
            <w:rFonts w:ascii="Calibri" w:eastAsia="Calibri" w:hAnsi="Calibri" w:cs="Calibri"/>
            <w:color w:val="0563C1"/>
            <w:u w:val="single"/>
            <w:lang w:eastAsia="en-CA"/>
          </w:rPr>
          <w:t>@LCO_CDO</w:t>
        </w:r>
      </w:hyperlink>
      <w:r w:rsidRPr="005D2DBA">
        <w:rPr>
          <w:rFonts w:ascii="Calibri" w:eastAsia="Calibri" w:hAnsi="Calibri" w:cs="Calibri"/>
          <w:lang w:eastAsia="en-CA"/>
        </w:rPr>
        <w:br/>
        <w:t xml:space="preserve">YouTube: </w:t>
      </w:r>
      <w:hyperlink r:id="rId24" w:history="1">
        <w:r w:rsidRPr="005D2DBA">
          <w:rPr>
            <w:rFonts w:ascii="Calibri" w:eastAsia="Calibri" w:hAnsi="Calibri" w:cs="Calibri"/>
            <w:color w:val="0563C1"/>
            <w:u w:val="single"/>
            <w:lang w:eastAsia="en-CA"/>
          </w:rPr>
          <w:t>@lawcommissionofontario8724</w:t>
        </w:r>
      </w:hyperlink>
      <w:r w:rsidRPr="005D2DBA">
        <w:rPr>
          <w:rFonts w:ascii="Calibri" w:eastAsia="Calibri" w:hAnsi="Calibri" w:cs="Calibri"/>
          <w:lang w:eastAsia="en-CA"/>
        </w:rPr>
        <w:t xml:space="preserve"> </w:t>
      </w:r>
    </w:p>
    <w:p w14:paraId="3065AB20" w14:textId="77777777" w:rsidR="005D2DBA" w:rsidRPr="005D2DBA" w:rsidRDefault="005D2DBA" w:rsidP="005D2DBA">
      <w:pPr>
        <w:spacing w:after="160" w:line="259" w:lineRule="auto"/>
        <w:rPr>
          <w:rFonts w:ascii="Calibri" w:eastAsia="Calibri" w:hAnsi="Calibri" w:cs="Calibri"/>
          <w:b/>
          <w:bCs/>
          <w:lang w:eastAsia="en-CA"/>
        </w:rPr>
      </w:pPr>
    </w:p>
    <w:p w14:paraId="4762C5BD" w14:textId="77777777" w:rsidR="005D2DBA" w:rsidRPr="005D2DBA" w:rsidRDefault="005D2DBA" w:rsidP="005D2DBA">
      <w:pPr>
        <w:spacing w:after="160" w:line="259" w:lineRule="auto"/>
        <w:rPr>
          <w:rFonts w:ascii="Calibri" w:eastAsia="Calibri" w:hAnsi="Calibri" w:cs="Calibri"/>
          <w:b/>
          <w:bCs/>
          <w:lang w:eastAsia="en-CA"/>
        </w:rPr>
      </w:pPr>
      <w:r w:rsidRPr="005D2DBA">
        <w:rPr>
          <w:rFonts w:ascii="Calibri" w:eastAsia="Calibri" w:hAnsi="Calibri" w:cs="Calibri"/>
          <w:b/>
          <w:bCs/>
          <w:lang w:eastAsia="en-CA"/>
        </w:rPr>
        <w:t>FUNDERS</w:t>
      </w:r>
    </w:p>
    <w:p w14:paraId="3348B8B4" w14:textId="77777777" w:rsidR="005D2DBA" w:rsidRPr="005D2DBA" w:rsidRDefault="005D2DBA" w:rsidP="005D2DBA">
      <w:pPr>
        <w:spacing w:after="160" w:line="259" w:lineRule="auto"/>
        <w:rPr>
          <w:rFonts w:ascii="Calibri" w:eastAsia="Calibri" w:hAnsi="Calibri" w:cs="Calibri"/>
          <w:lang w:eastAsia="en-CA"/>
        </w:rPr>
      </w:pPr>
      <w:r w:rsidRPr="005D2DBA">
        <w:rPr>
          <w:rFonts w:ascii="Calibri" w:eastAsia="Calibri" w:hAnsi="Calibri" w:cs="Calibri"/>
          <w:lang w:eastAsia="en-CA"/>
        </w:rPr>
        <w:t>Financial support is provided by the Law Foundation of Ontario, the Law Society of Ontario, and Osgoode Hall Law School. The LCO is located at Osgoode Hall Law School in Toronto.</w:t>
      </w:r>
    </w:p>
    <w:p w14:paraId="07E2B174" w14:textId="77777777" w:rsidR="005D2DBA" w:rsidRPr="005D2DBA" w:rsidRDefault="005D2DBA" w:rsidP="005D2DBA">
      <w:pPr>
        <w:spacing w:after="160" w:line="259" w:lineRule="auto"/>
        <w:rPr>
          <w:rFonts w:ascii="Calibri" w:eastAsia="Calibri" w:hAnsi="Calibri" w:cs="Calibri"/>
          <w:lang w:eastAsia="en-CA"/>
        </w:rPr>
      </w:pPr>
      <w:r w:rsidRPr="005D2DBA">
        <w:rPr>
          <w:rFonts w:ascii="Calibri" w:eastAsia="Calibri" w:hAnsi="Calibri" w:cs="Calibri"/>
          <w:lang w:eastAsia="en-CA"/>
        </w:rPr>
        <w:t> </w:t>
      </w:r>
    </w:p>
    <w:p w14:paraId="1EBE5D60" w14:textId="77777777" w:rsidR="005D2DBA" w:rsidRPr="005D2DBA" w:rsidRDefault="005D2DBA" w:rsidP="005D2DBA">
      <w:pPr>
        <w:spacing w:after="160" w:line="259" w:lineRule="auto"/>
        <w:rPr>
          <w:rFonts w:ascii="Calibri" w:eastAsia="Calibri" w:hAnsi="Calibri" w:cs="Calibri"/>
          <w:lang w:eastAsia="en-CA"/>
        </w:rPr>
      </w:pPr>
      <w:r w:rsidRPr="005D2DBA">
        <w:rPr>
          <w:rFonts w:ascii="Calibri" w:eastAsia="Calibri" w:hAnsi="Calibri" w:cs="Calibri"/>
          <w:noProof/>
          <w:lang w:eastAsia="en-CA"/>
        </w:rPr>
        <w:drawing>
          <wp:inline distT="0" distB="0" distL="0" distR="0" wp14:anchorId="764CAA7D" wp14:editId="76357FDB">
            <wp:extent cx="5943600" cy="2228850"/>
            <wp:effectExtent l="0" t="0" r="0" b="6350"/>
            <wp:docPr id="780152041" name="Picture 1" descr="Several logos of various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2041" name="Picture 1" descr="Several logos of various states&#10;&#10;AI-generated content may be incorrect."/>
                    <pic:cNvPicPr/>
                  </pic:nvPicPr>
                  <pic:blipFill>
                    <a:blip r:embed="rId25"/>
                    <a:stretch>
                      <a:fillRect/>
                    </a:stretch>
                  </pic:blipFill>
                  <pic:spPr>
                    <a:xfrm>
                      <a:off x="0" y="0"/>
                      <a:ext cx="5943600" cy="2228850"/>
                    </a:xfrm>
                    <a:prstGeom prst="rect">
                      <a:avLst/>
                    </a:prstGeom>
                  </pic:spPr>
                </pic:pic>
              </a:graphicData>
            </a:graphic>
          </wp:inline>
        </w:drawing>
      </w:r>
    </w:p>
    <w:p w14:paraId="0810E220" w14:textId="77777777" w:rsidR="005D2DBA" w:rsidRPr="005D2DBA" w:rsidRDefault="005D2DBA" w:rsidP="005D2DBA">
      <w:pPr>
        <w:spacing w:after="160" w:line="259" w:lineRule="auto"/>
        <w:rPr>
          <w:rFonts w:ascii="Calibri" w:eastAsia="Calibri" w:hAnsi="Calibri" w:cs="Calibri"/>
          <w:lang w:eastAsia="en-CA"/>
        </w:rPr>
      </w:pPr>
      <w:r w:rsidRPr="005D2DBA">
        <w:rPr>
          <w:rFonts w:ascii="Calibri" w:eastAsia="Calibri" w:hAnsi="Calibri" w:cs="Calibri"/>
          <w:lang w:eastAsia="en-CA"/>
        </w:rPr>
        <w:t xml:space="preserve">  </w:t>
      </w:r>
    </w:p>
    <w:p w14:paraId="0ABFAC96" w14:textId="77777777" w:rsidR="005D2DBA" w:rsidRPr="005D2DBA" w:rsidRDefault="005D2DBA" w:rsidP="005D2DBA">
      <w:pPr>
        <w:spacing w:after="160" w:line="259" w:lineRule="auto"/>
        <w:rPr>
          <w:rFonts w:ascii="Calibri" w:eastAsia="Calibri" w:hAnsi="Calibri" w:cs="Calibri"/>
          <w:b/>
          <w:lang w:eastAsia="en-CA"/>
        </w:rPr>
      </w:pPr>
      <w:r w:rsidRPr="005D2DBA">
        <w:rPr>
          <w:rFonts w:ascii="Calibri" w:eastAsia="Calibri" w:hAnsi="Calibri" w:cs="Calibri"/>
          <w:b/>
          <w:lang w:eastAsia="en-CA"/>
        </w:rPr>
        <w:br w:type="page"/>
      </w:r>
    </w:p>
    <w:p w14:paraId="476FB890" w14:textId="77777777" w:rsidR="00564FA0" w:rsidRPr="00D6562E" w:rsidRDefault="0073316A" w:rsidP="0069073E">
      <w:pPr>
        <w:rPr>
          <w:b/>
          <w:bCs/>
        </w:rPr>
      </w:pPr>
      <w:r w:rsidRPr="00D6562E">
        <w:rPr>
          <w:b/>
          <w:bCs/>
        </w:rPr>
        <w:lastRenderedPageBreak/>
        <w:t>TABLE OF CONTENTS</w:t>
      </w:r>
    </w:p>
    <w:sdt>
      <w:sdtPr>
        <w:rPr>
          <w:rFonts w:asciiTheme="minorHAnsi" w:eastAsia="Arial" w:hAnsiTheme="minorHAnsi" w:cstheme="minorHAnsi"/>
          <w:color w:val="auto"/>
          <w:sz w:val="24"/>
          <w:szCs w:val="24"/>
          <w:lang w:val="en-CA"/>
        </w:rPr>
        <w:id w:val="-529254287"/>
        <w:docPartObj>
          <w:docPartGallery w:val="Table of Contents"/>
          <w:docPartUnique/>
        </w:docPartObj>
      </w:sdtPr>
      <w:sdtEndPr>
        <w:rPr>
          <w:b/>
          <w:bCs/>
          <w:noProof/>
        </w:rPr>
      </w:sdtEndPr>
      <w:sdtContent>
        <w:p w14:paraId="24084867" w14:textId="77777777" w:rsidR="00DC373F" w:rsidRPr="00D6562E" w:rsidRDefault="00DC373F">
          <w:pPr>
            <w:pStyle w:val="TOCHeading"/>
            <w:rPr>
              <w:rFonts w:asciiTheme="minorHAnsi" w:hAnsiTheme="minorHAnsi" w:cstheme="minorHAnsi"/>
            </w:rPr>
          </w:pPr>
          <w:r w:rsidRPr="00D6562E">
            <w:rPr>
              <w:rFonts w:asciiTheme="minorHAnsi" w:hAnsiTheme="minorHAnsi" w:cstheme="minorHAnsi"/>
            </w:rPr>
            <w:t>Contents</w:t>
          </w:r>
        </w:p>
        <w:p w14:paraId="3D416611" w14:textId="06C8692C" w:rsidR="000B5505" w:rsidRDefault="00DC373F">
          <w:pPr>
            <w:pStyle w:val="TOC1"/>
            <w:rPr>
              <w:rFonts w:eastAsiaTheme="minorEastAsia" w:cstheme="minorBidi"/>
              <w:noProof/>
              <w:kern w:val="2"/>
              <w:lang w:eastAsia="en-CA"/>
              <w14:ligatures w14:val="standardContextual"/>
            </w:rPr>
          </w:pPr>
          <w:r w:rsidRPr="00D6562E">
            <w:fldChar w:fldCharType="begin"/>
          </w:r>
          <w:r w:rsidRPr="00D6562E">
            <w:instrText xml:space="preserve"> TOC \o "1-3" \h \z \u </w:instrText>
          </w:r>
          <w:r w:rsidRPr="00D6562E">
            <w:fldChar w:fldCharType="separate"/>
          </w:r>
          <w:hyperlink w:anchor="_Toc195597970" w:history="1">
            <w:r w:rsidR="000B5505" w:rsidRPr="00D77A6D">
              <w:rPr>
                <w:rStyle w:val="Hyperlink"/>
                <w:noProof/>
              </w:rPr>
              <w:t>1.</w:t>
            </w:r>
            <w:r w:rsidR="000B5505">
              <w:rPr>
                <w:rFonts w:eastAsiaTheme="minorEastAsia" w:cstheme="minorBidi"/>
                <w:noProof/>
                <w:kern w:val="2"/>
                <w:lang w:eastAsia="en-CA"/>
                <w14:ligatures w14:val="standardContextual"/>
              </w:rPr>
              <w:tab/>
            </w:r>
            <w:r w:rsidR="000B5505" w:rsidRPr="00D77A6D">
              <w:rPr>
                <w:rStyle w:val="Hyperlink"/>
                <w:noProof/>
              </w:rPr>
              <w:t>Introduction</w:t>
            </w:r>
            <w:r w:rsidR="000B5505">
              <w:rPr>
                <w:noProof/>
                <w:webHidden/>
              </w:rPr>
              <w:tab/>
            </w:r>
            <w:r w:rsidR="000B5505">
              <w:rPr>
                <w:noProof/>
                <w:webHidden/>
              </w:rPr>
              <w:fldChar w:fldCharType="begin"/>
            </w:r>
            <w:r w:rsidR="000B5505">
              <w:rPr>
                <w:noProof/>
                <w:webHidden/>
              </w:rPr>
              <w:instrText xml:space="preserve"> PAGEREF _Toc195597970 \h </w:instrText>
            </w:r>
            <w:r w:rsidR="000B5505">
              <w:rPr>
                <w:noProof/>
                <w:webHidden/>
              </w:rPr>
            </w:r>
            <w:r w:rsidR="000B5505">
              <w:rPr>
                <w:noProof/>
                <w:webHidden/>
              </w:rPr>
              <w:fldChar w:fldCharType="separate"/>
            </w:r>
            <w:r w:rsidR="000B5505">
              <w:rPr>
                <w:noProof/>
                <w:webHidden/>
              </w:rPr>
              <w:t>8</w:t>
            </w:r>
            <w:r w:rsidR="000B5505">
              <w:rPr>
                <w:noProof/>
                <w:webHidden/>
              </w:rPr>
              <w:fldChar w:fldCharType="end"/>
            </w:r>
          </w:hyperlink>
        </w:p>
        <w:p w14:paraId="10F5760B" w14:textId="130D949B" w:rsidR="000B5505" w:rsidRDefault="000B5505">
          <w:pPr>
            <w:pStyle w:val="TOC2"/>
            <w:tabs>
              <w:tab w:val="left" w:pos="960"/>
              <w:tab w:val="right" w:leader="dot" w:pos="8630"/>
            </w:tabs>
            <w:rPr>
              <w:rFonts w:cstheme="minorBidi"/>
              <w:noProof/>
              <w:kern w:val="2"/>
              <w:sz w:val="24"/>
              <w:szCs w:val="24"/>
              <w:lang w:val="en-CA" w:eastAsia="en-CA"/>
              <w14:ligatures w14:val="standardContextual"/>
            </w:rPr>
          </w:pPr>
          <w:hyperlink w:anchor="_Toc195597971" w:history="1">
            <w:r w:rsidRPr="00D77A6D">
              <w:rPr>
                <w:rStyle w:val="Hyperlink"/>
                <w:noProof/>
              </w:rPr>
              <w:t>1.1</w:t>
            </w:r>
            <w:r>
              <w:rPr>
                <w:rFonts w:cstheme="minorBidi"/>
                <w:noProof/>
                <w:kern w:val="2"/>
                <w:sz w:val="24"/>
                <w:szCs w:val="24"/>
                <w:lang w:val="en-CA" w:eastAsia="en-CA"/>
                <w14:ligatures w14:val="standardContextual"/>
              </w:rPr>
              <w:tab/>
            </w:r>
            <w:r w:rsidRPr="00D77A6D">
              <w:rPr>
                <w:rStyle w:val="Hyperlink"/>
                <w:noProof/>
              </w:rPr>
              <w:t>The LCO AI in Criminal Justice Project</w:t>
            </w:r>
            <w:r>
              <w:rPr>
                <w:noProof/>
                <w:webHidden/>
              </w:rPr>
              <w:tab/>
            </w:r>
            <w:r>
              <w:rPr>
                <w:noProof/>
                <w:webHidden/>
              </w:rPr>
              <w:fldChar w:fldCharType="begin"/>
            </w:r>
            <w:r>
              <w:rPr>
                <w:noProof/>
                <w:webHidden/>
              </w:rPr>
              <w:instrText xml:space="preserve"> PAGEREF _Toc195597971 \h </w:instrText>
            </w:r>
            <w:r>
              <w:rPr>
                <w:noProof/>
                <w:webHidden/>
              </w:rPr>
            </w:r>
            <w:r>
              <w:rPr>
                <w:noProof/>
                <w:webHidden/>
              </w:rPr>
              <w:fldChar w:fldCharType="separate"/>
            </w:r>
            <w:r>
              <w:rPr>
                <w:noProof/>
                <w:webHidden/>
              </w:rPr>
              <w:t>8</w:t>
            </w:r>
            <w:r>
              <w:rPr>
                <w:noProof/>
                <w:webHidden/>
              </w:rPr>
              <w:fldChar w:fldCharType="end"/>
            </w:r>
          </w:hyperlink>
        </w:p>
        <w:p w14:paraId="33BE2BA2" w14:textId="7C4050D1" w:rsidR="000B5505" w:rsidRDefault="000B5505">
          <w:pPr>
            <w:pStyle w:val="TOC2"/>
            <w:tabs>
              <w:tab w:val="left" w:pos="960"/>
              <w:tab w:val="right" w:leader="dot" w:pos="8630"/>
            </w:tabs>
            <w:rPr>
              <w:rFonts w:cstheme="minorBidi"/>
              <w:noProof/>
              <w:kern w:val="2"/>
              <w:sz w:val="24"/>
              <w:szCs w:val="24"/>
              <w:lang w:val="en-CA" w:eastAsia="en-CA"/>
              <w14:ligatures w14:val="standardContextual"/>
            </w:rPr>
          </w:pPr>
          <w:hyperlink w:anchor="_Toc195597972" w:history="1">
            <w:r w:rsidRPr="00D77A6D">
              <w:rPr>
                <w:rStyle w:val="Hyperlink"/>
                <w:noProof/>
              </w:rPr>
              <w:t>1.2</w:t>
            </w:r>
            <w:r>
              <w:rPr>
                <w:rFonts w:cstheme="minorBidi"/>
                <w:noProof/>
                <w:kern w:val="2"/>
                <w:sz w:val="24"/>
                <w:szCs w:val="24"/>
                <w:lang w:val="en-CA" w:eastAsia="en-CA"/>
                <w14:ligatures w14:val="standardContextual"/>
              </w:rPr>
              <w:tab/>
            </w:r>
            <w:r w:rsidRPr="00D77A6D">
              <w:rPr>
                <w:rStyle w:val="Hyperlink"/>
                <w:noProof/>
              </w:rPr>
              <w:t>Executive Summary: AI in Criminal Trials and Appeals</w:t>
            </w:r>
            <w:r>
              <w:rPr>
                <w:noProof/>
                <w:webHidden/>
              </w:rPr>
              <w:tab/>
            </w:r>
            <w:r>
              <w:rPr>
                <w:noProof/>
                <w:webHidden/>
              </w:rPr>
              <w:fldChar w:fldCharType="begin"/>
            </w:r>
            <w:r>
              <w:rPr>
                <w:noProof/>
                <w:webHidden/>
              </w:rPr>
              <w:instrText xml:space="preserve"> PAGEREF _Toc195597972 \h </w:instrText>
            </w:r>
            <w:r>
              <w:rPr>
                <w:noProof/>
                <w:webHidden/>
              </w:rPr>
            </w:r>
            <w:r>
              <w:rPr>
                <w:noProof/>
                <w:webHidden/>
              </w:rPr>
              <w:fldChar w:fldCharType="separate"/>
            </w:r>
            <w:r>
              <w:rPr>
                <w:noProof/>
                <w:webHidden/>
              </w:rPr>
              <w:t>10</w:t>
            </w:r>
            <w:r>
              <w:rPr>
                <w:noProof/>
                <w:webHidden/>
              </w:rPr>
              <w:fldChar w:fldCharType="end"/>
            </w:r>
          </w:hyperlink>
        </w:p>
        <w:p w14:paraId="219CC311" w14:textId="2D32F95A" w:rsidR="000B5505" w:rsidRDefault="000B5505">
          <w:pPr>
            <w:pStyle w:val="TOC2"/>
            <w:tabs>
              <w:tab w:val="left" w:pos="960"/>
              <w:tab w:val="right" w:leader="dot" w:pos="8630"/>
            </w:tabs>
            <w:rPr>
              <w:rFonts w:cstheme="minorBidi"/>
              <w:noProof/>
              <w:kern w:val="2"/>
              <w:sz w:val="24"/>
              <w:szCs w:val="24"/>
              <w:lang w:val="en-CA" w:eastAsia="en-CA"/>
              <w14:ligatures w14:val="standardContextual"/>
            </w:rPr>
          </w:pPr>
          <w:hyperlink w:anchor="_Toc195597973" w:history="1">
            <w:r w:rsidRPr="00D77A6D">
              <w:rPr>
                <w:rStyle w:val="Hyperlink"/>
                <w:rFonts w:eastAsia="Times New Roman"/>
                <w:noProof/>
                <w:lang w:eastAsia="en-CA"/>
              </w:rPr>
              <w:t>1.3</w:t>
            </w:r>
            <w:r>
              <w:rPr>
                <w:rFonts w:cstheme="minorBidi"/>
                <w:noProof/>
                <w:kern w:val="2"/>
                <w:sz w:val="24"/>
                <w:szCs w:val="24"/>
                <w:lang w:val="en-CA" w:eastAsia="en-CA"/>
                <w14:ligatures w14:val="standardContextual"/>
              </w:rPr>
              <w:tab/>
            </w:r>
            <w:r w:rsidRPr="00D77A6D">
              <w:rPr>
                <w:rStyle w:val="Hyperlink"/>
                <w:noProof/>
                <w:lang w:eastAsia="en-CA"/>
              </w:rPr>
              <w:t>Consultations, Contacts and Project Support</w:t>
            </w:r>
            <w:r>
              <w:rPr>
                <w:noProof/>
                <w:webHidden/>
              </w:rPr>
              <w:tab/>
            </w:r>
            <w:r>
              <w:rPr>
                <w:noProof/>
                <w:webHidden/>
              </w:rPr>
              <w:fldChar w:fldCharType="begin"/>
            </w:r>
            <w:r>
              <w:rPr>
                <w:noProof/>
                <w:webHidden/>
              </w:rPr>
              <w:instrText xml:space="preserve"> PAGEREF _Toc195597973 \h </w:instrText>
            </w:r>
            <w:r>
              <w:rPr>
                <w:noProof/>
                <w:webHidden/>
              </w:rPr>
            </w:r>
            <w:r>
              <w:rPr>
                <w:noProof/>
                <w:webHidden/>
              </w:rPr>
              <w:fldChar w:fldCharType="separate"/>
            </w:r>
            <w:r>
              <w:rPr>
                <w:noProof/>
                <w:webHidden/>
              </w:rPr>
              <w:t>16</w:t>
            </w:r>
            <w:r>
              <w:rPr>
                <w:noProof/>
                <w:webHidden/>
              </w:rPr>
              <w:fldChar w:fldCharType="end"/>
            </w:r>
          </w:hyperlink>
        </w:p>
        <w:p w14:paraId="15F41528" w14:textId="65C7CD47" w:rsidR="000B5505" w:rsidRDefault="000B5505">
          <w:pPr>
            <w:pStyle w:val="TOC1"/>
            <w:rPr>
              <w:rFonts w:eastAsiaTheme="minorEastAsia" w:cstheme="minorBidi"/>
              <w:noProof/>
              <w:kern w:val="2"/>
              <w:lang w:eastAsia="en-CA"/>
              <w14:ligatures w14:val="standardContextual"/>
            </w:rPr>
          </w:pPr>
          <w:hyperlink w:anchor="_Toc195597974" w:history="1">
            <w:r w:rsidRPr="00D77A6D">
              <w:rPr>
                <w:rStyle w:val="Hyperlink"/>
                <w:noProof/>
              </w:rPr>
              <w:t>2.</w:t>
            </w:r>
            <w:r>
              <w:rPr>
                <w:rFonts w:eastAsiaTheme="minorEastAsia" w:cstheme="minorBidi"/>
                <w:noProof/>
                <w:kern w:val="2"/>
                <w:lang w:eastAsia="en-CA"/>
                <w14:ligatures w14:val="standardContextual"/>
              </w:rPr>
              <w:tab/>
            </w:r>
            <w:r w:rsidRPr="00D77A6D">
              <w:rPr>
                <w:rStyle w:val="Hyperlink"/>
                <w:noProof/>
              </w:rPr>
              <w:t>AI in Criminal Trials and on Appeal</w:t>
            </w:r>
            <w:r>
              <w:rPr>
                <w:noProof/>
                <w:webHidden/>
              </w:rPr>
              <w:tab/>
            </w:r>
            <w:r>
              <w:rPr>
                <w:noProof/>
                <w:webHidden/>
              </w:rPr>
              <w:fldChar w:fldCharType="begin"/>
            </w:r>
            <w:r>
              <w:rPr>
                <w:noProof/>
                <w:webHidden/>
              </w:rPr>
              <w:instrText xml:space="preserve"> PAGEREF _Toc195597974 \h </w:instrText>
            </w:r>
            <w:r>
              <w:rPr>
                <w:noProof/>
                <w:webHidden/>
              </w:rPr>
            </w:r>
            <w:r>
              <w:rPr>
                <w:noProof/>
                <w:webHidden/>
              </w:rPr>
              <w:fldChar w:fldCharType="separate"/>
            </w:r>
            <w:r>
              <w:rPr>
                <w:noProof/>
                <w:webHidden/>
              </w:rPr>
              <w:t>18</w:t>
            </w:r>
            <w:r>
              <w:rPr>
                <w:noProof/>
                <w:webHidden/>
              </w:rPr>
              <w:fldChar w:fldCharType="end"/>
            </w:r>
          </w:hyperlink>
        </w:p>
        <w:p w14:paraId="4FDC58ED" w14:textId="0A2EBF40" w:rsidR="000B5505" w:rsidRDefault="000B5505">
          <w:pPr>
            <w:pStyle w:val="TOC2"/>
            <w:tabs>
              <w:tab w:val="left" w:pos="960"/>
              <w:tab w:val="right" w:leader="dot" w:pos="8630"/>
            </w:tabs>
            <w:rPr>
              <w:rFonts w:cstheme="minorBidi"/>
              <w:noProof/>
              <w:kern w:val="2"/>
              <w:sz w:val="24"/>
              <w:szCs w:val="24"/>
              <w:lang w:val="en-CA" w:eastAsia="en-CA"/>
              <w14:ligatures w14:val="standardContextual"/>
            </w:rPr>
          </w:pPr>
          <w:hyperlink w:anchor="_Toc195597975" w:history="1">
            <w:r w:rsidRPr="00D77A6D">
              <w:rPr>
                <w:rStyle w:val="Hyperlink"/>
                <w:noProof/>
              </w:rPr>
              <w:t>2.1</w:t>
            </w:r>
            <w:r>
              <w:rPr>
                <w:rFonts w:cstheme="minorBidi"/>
                <w:noProof/>
                <w:kern w:val="2"/>
                <w:sz w:val="24"/>
                <w:szCs w:val="24"/>
                <w:lang w:val="en-CA" w:eastAsia="en-CA"/>
                <w14:ligatures w14:val="standardContextual"/>
              </w:rPr>
              <w:tab/>
            </w:r>
            <w:r w:rsidRPr="00D77A6D">
              <w:rPr>
                <w:rStyle w:val="Hyperlink"/>
                <w:noProof/>
              </w:rPr>
              <w:t>How does complex or controversial technology generally figure in criminal trails and appeals?</w:t>
            </w:r>
            <w:r>
              <w:rPr>
                <w:noProof/>
                <w:webHidden/>
              </w:rPr>
              <w:tab/>
            </w:r>
            <w:r>
              <w:rPr>
                <w:noProof/>
                <w:webHidden/>
              </w:rPr>
              <w:fldChar w:fldCharType="begin"/>
            </w:r>
            <w:r>
              <w:rPr>
                <w:noProof/>
                <w:webHidden/>
              </w:rPr>
              <w:instrText xml:space="preserve"> PAGEREF _Toc195597975 \h </w:instrText>
            </w:r>
            <w:r>
              <w:rPr>
                <w:noProof/>
                <w:webHidden/>
              </w:rPr>
            </w:r>
            <w:r>
              <w:rPr>
                <w:noProof/>
                <w:webHidden/>
              </w:rPr>
              <w:fldChar w:fldCharType="separate"/>
            </w:r>
            <w:r>
              <w:rPr>
                <w:noProof/>
                <w:webHidden/>
              </w:rPr>
              <w:t>18</w:t>
            </w:r>
            <w:r>
              <w:rPr>
                <w:noProof/>
                <w:webHidden/>
              </w:rPr>
              <w:fldChar w:fldCharType="end"/>
            </w:r>
          </w:hyperlink>
        </w:p>
        <w:p w14:paraId="534C5B2E" w14:textId="001920B9"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7976" w:history="1">
            <w:r w:rsidRPr="00D77A6D">
              <w:rPr>
                <w:rStyle w:val="Hyperlink"/>
                <w:noProof/>
              </w:rPr>
              <w:t>2.1.1</w:t>
            </w:r>
            <w:r>
              <w:rPr>
                <w:rFonts w:cstheme="minorBidi"/>
                <w:noProof/>
                <w:kern w:val="2"/>
                <w:sz w:val="24"/>
                <w:szCs w:val="24"/>
                <w:lang w:val="en-CA" w:eastAsia="en-CA"/>
                <w14:ligatures w14:val="standardContextual"/>
              </w:rPr>
              <w:tab/>
            </w:r>
            <w:r w:rsidRPr="00D77A6D">
              <w:rPr>
                <w:rStyle w:val="Hyperlink"/>
                <w:noProof/>
              </w:rPr>
              <w:t>Procedural Fairness in Common Law</w:t>
            </w:r>
            <w:r>
              <w:rPr>
                <w:noProof/>
                <w:webHidden/>
              </w:rPr>
              <w:tab/>
            </w:r>
            <w:r>
              <w:rPr>
                <w:noProof/>
                <w:webHidden/>
              </w:rPr>
              <w:fldChar w:fldCharType="begin"/>
            </w:r>
            <w:r>
              <w:rPr>
                <w:noProof/>
                <w:webHidden/>
              </w:rPr>
              <w:instrText xml:space="preserve"> PAGEREF _Toc195597976 \h </w:instrText>
            </w:r>
            <w:r>
              <w:rPr>
                <w:noProof/>
                <w:webHidden/>
              </w:rPr>
            </w:r>
            <w:r>
              <w:rPr>
                <w:noProof/>
                <w:webHidden/>
              </w:rPr>
              <w:fldChar w:fldCharType="separate"/>
            </w:r>
            <w:r>
              <w:rPr>
                <w:noProof/>
                <w:webHidden/>
              </w:rPr>
              <w:t>19</w:t>
            </w:r>
            <w:r>
              <w:rPr>
                <w:noProof/>
                <w:webHidden/>
              </w:rPr>
              <w:fldChar w:fldCharType="end"/>
            </w:r>
          </w:hyperlink>
        </w:p>
        <w:p w14:paraId="3352E0CF" w14:textId="64577BED"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7977" w:history="1">
            <w:r w:rsidRPr="00D77A6D">
              <w:rPr>
                <w:rStyle w:val="Hyperlink"/>
                <w:noProof/>
              </w:rPr>
              <w:t>2.1.2</w:t>
            </w:r>
            <w:r>
              <w:rPr>
                <w:rFonts w:cstheme="minorBidi"/>
                <w:noProof/>
                <w:kern w:val="2"/>
                <w:sz w:val="24"/>
                <w:szCs w:val="24"/>
                <w:lang w:val="en-CA" w:eastAsia="en-CA"/>
                <w14:ligatures w14:val="standardContextual"/>
              </w:rPr>
              <w:tab/>
            </w:r>
            <w:r w:rsidRPr="00D77A6D">
              <w:rPr>
                <w:rStyle w:val="Hyperlink"/>
                <w:noProof/>
              </w:rPr>
              <w:t>The Charter of Rights and Freedoms</w:t>
            </w:r>
            <w:r>
              <w:rPr>
                <w:noProof/>
                <w:webHidden/>
              </w:rPr>
              <w:tab/>
            </w:r>
            <w:r>
              <w:rPr>
                <w:noProof/>
                <w:webHidden/>
              </w:rPr>
              <w:fldChar w:fldCharType="begin"/>
            </w:r>
            <w:r>
              <w:rPr>
                <w:noProof/>
                <w:webHidden/>
              </w:rPr>
              <w:instrText xml:space="preserve"> PAGEREF _Toc195597977 \h </w:instrText>
            </w:r>
            <w:r>
              <w:rPr>
                <w:noProof/>
                <w:webHidden/>
              </w:rPr>
            </w:r>
            <w:r>
              <w:rPr>
                <w:noProof/>
                <w:webHidden/>
              </w:rPr>
              <w:fldChar w:fldCharType="separate"/>
            </w:r>
            <w:r>
              <w:rPr>
                <w:noProof/>
                <w:webHidden/>
              </w:rPr>
              <w:t>21</w:t>
            </w:r>
            <w:r>
              <w:rPr>
                <w:noProof/>
                <w:webHidden/>
              </w:rPr>
              <w:fldChar w:fldCharType="end"/>
            </w:r>
          </w:hyperlink>
        </w:p>
        <w:p w14:paraId="0D872AA9" w14:textId="6FD89613"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7978" w:history="1">
            <w:r w:rsidRPr="00D77A6D">
              <w:rPr>
                <w:rStyle w:val="Hyperlink"/>
                <w:noProof/>
              </w:rPr>
              <w:t>2.1.3</w:t>
            </w:r>
            <w:r>
              <w:rPr>
                <w:rFonts w:cstheme="minorBidi"/>
                <w:noProof/>
                <w:kern w:val="2"/>
                <w:sz w:val="24"/>
                <w:szCs w:val="24"/>
                <w:lang w:val="en-CA" w:eastAsia="en-CA"/>
                <w14:ligatures w14:val="standardContextual"/>
              </w:rPr>
              <w:tab/>
            </w:r>
            <w:r w:rsidRPr="00D77A6D">
              <w:rPr>
                <w:rStyle w:val="Hyperlink"/>
                <w:noProof/>
              </w:rPr>
              <w:t>The Canada Evidence Act</w:t>
            </w:r>
            <w:r>
              <w:rPr>
                <w:noProof/>
                <w:webHidden/>
              </w:rPr>
              <w:tab/>
            </w:r>
            <w:r>
              <w:rPr>
                <w:noProof/>
                <w:webHidden/>
              </w:rPr>
              <w:fldChar w:fldCharType="begin"/>
            </w:r>
            <w:r>
              <w:rPr>
                <w:noProof/>
                <w:webHidden/>
              </w:rPr>
              <w:instrText xml:space="preserve"> PAGEREF _Toc195597978 \h </w:instrText>
            </w:r>
            <w:r>
              <w:rPr>
                <w:noProof/>
                <w:webHidden/>
              </w:rPr>
            </w:r>
            <w:r>
              <w:rPr>
                <w:noProof/>
                <w:webHidden/>
              </w:rPr>
              <w:fldChar w:fldCharType="separate"/>
            </w:r>
            <w:r>
              <w:rPr>
                <w:noProof/>
                <w:webHidden/>
              </w:rPr>
              <w:t>24</w:t>
            </w:r>
            <w:r>
              <w:rPr>
                <w:noProof/>
                <w:webHidden/>
              </w:rPr>
              <w:fldChar w:fldCharType="end"/>
            </w:r>
          </w:hyperlink>
        </w:p>
        <w:p w14:paraId="157C577C" w14:textId="4B4B16C6"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7979" w:history="1">
            <w:r w:rsidRPr="00D77A6D">
              <w:rPr>
                <w:rStyle w:val="Hyperlink"/>
                <w:noProof/>
              </w:rPr>
              <w:t>2.1.4</w:t>
            </w:r>
            <w:r>
              <w:rPr>
                <w:rFonts w:cstheme="minorBidi"/>
                <w:noProof/>
                <w:kern w:val="2"/>
                <w:sz w:val="24"/>
                <w:szCs w:val="24"/>
                <w:lang w:val="en-CA" w:eastAsia="en-CA"/>
                <w14:ligatures w14:val="standardContextual"/>
              </w:rPr>
              <w:tab/>
            </w:r>
            <w:r w:rsidRPr="00D77A6D">
              <w:rPr>
                <w:rStyle w:val="Hyperlink"/>
                <w:noProof/>
              </w:rPr>
              <w:t>The Courts of Justice Act, Court AI Directives, and Law Society Practice Directions</w:t>
            </w:r>
            <w:r>
              <w:rPr>
                <w:noProof/>
                <w:webHidden/>
              </w:rPr>
              <w:tab/>
            </w:r>
            <w:r>
              <w:rPr>
                <w:noProof/>
                <w:webHidden/>
              </w:rPr>
              <w:fldChar w:fldCharType="begin"/>
            </w:r>
            <w:r>
              <w:rPr>
                <w:noProof/>
                <w:webHidden/>
              </w:rPr>
              <w:instrText xml:space="preserve"> PAGEREF _Toc195597979 \h </w:instrText>
            </w:r>
            <w:r>
              <w:rPr>
                <w:noProof/>
                <w:webHidden/>
              </w:rPr>
            </w:r>
            <w:r>
              <w:rPr>
                <w:noProof/>
                <w:webHidden/>
              </w:rPr>
              <w:fldChar w:fldCharType="separate"/>
            </w:r>
            <w:r>
              <w:rPr>
                <w:noProof/>
                <w:webHidden/>
              </w:rPr>
              <w:t>27</w:t>
            </w:r>
            <w:r>
              <w:rPr>
                <w:noProof/>
                <w:webHidden/>
              </w:rPr>
              <w:fldChar w:fldCharType="end"/>
            </w:r>
          </w:hyperlink>
        </w:p>
        <w:p w14:paraId="5E34EB77" w14:textId="013803CF"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7980" w:history="1">
            <w:r w:rsidRPr="00D77A6D">
              <w:rPr>
                <w:rStyle w:val="Hyperlink"/>
                <w:rFonts w:eastAsia="Arial"/>
                <w:noProof/>
              </w:rPr>
              <w:t>2.1.5</w:t>
            </w:r>
            <w:r>
              <w:rPr>
                <w:rFonts w:cstheme="minorBidi"/>
                <w:noProof/>
                <w:kern w:val="2"/>
                <w:sz w:val="24"/>
                <w:szCs w:val="24"/>
                <w:lang w:val="en-CA" w:eastAsia="en-CA"/>
                <w14:ligatures w14:val="standardContextual"/>
              </w:rPr>
              <w:tab/>
            </w:r>
            <w:r w:rsidRPr="00D77A6D">
              <w:rPr>
                <w:rStyle w:val="Hyperlink"/>
                <w:noProof/>
              </w:rPr>
              <w:t>The Crown Attorneys Act</w:t>
            </w:r>
            <w:r>
              <w:rPr>
                <w:noProof/>
                <w:webHidden/>
              </w:rPr>
              <w:tab/>
            </w:r>
            <w:r>
              <w:rPr>
                <w:noProof/>
                <w:webHidden/>
              </w:rPr>
              <w:fldChar w:fldCharType="begin"/>
            </w:r>
            <w:r>
              <w:rPr>
                <w:noProof/>
                <w:webHidden/>
              </w:rPr>
              <w:instrText xml:space="preserve"> PAGEREF _Toc195597980 \h </w:instrText>
            </w:r>
            <w:r>
              <w:rPr>
                <w:noProof/>
                <w:webHidden/>
              </w:rPr>
            </w:r>
            <w:r>
              <w:rPr>
                <w:noProof/>
                <w:webHidden/>
              </w:rPr>
              <w:fldChar w:fldCharType="separate"/>
            </w:r>
            <w:r>
              <w:rPr>
                <w:noProof/>
                <w:webHidden/>
              </w:rPr>
              <w:t>35</w:t>
            </w:r>
            <w:r>
              <w:rPr>
                <w:noProof/>
                <w:webHidden/>
              </w:rPr>
              <w:fldChar w:fldCharType="end"/>
            </w:r>
          </w:hyperlink>
        </w:p>
        <w:p w14:paraId="2F3A0FA5" w14:textId="32974C60"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7981" w:history="1">
            <w:r w:rsidRPr="00D77A6D">
              <w:rPr>
                <w:rStyle w:val="Hyperlink"/>
                <w:noProof/>
              </w:rPr>
              <w:t>2.1.6</w:t>
            </w:r>
            <w:r>
              <w:rPr>
                <w:rFonts w:cstheme="minorBidi"/>
                <w:noProof/>
                <w:kern w:val="2"/>
                <w:sz w:val="24"/>
                <w:szCs w:val="24"/>
                <w:lang w:val="en-CA" w:eastAsia="en-CA"/>
                <w14:ligatures w14:val="standardContextual"/>
              </w:rPr>
              <w:tab/>
            </w:r>
            <w:r w:rsidRPr="00D77A6D">
              <w:rPr>
                <w:rStyle w:val="Hyperlink"/>
                <w:noProof/>
              </w:rPr>
              <w:t>Victims’ Bill of Rights</w:t>
            </w:r>
            <w:r>
              <w:rPr>
                <w:noProof/>
                <w:webHidden/>
              </w:rPr>
              <w:tab/>
            </w:r>
            <w:r>
              <w:rPr>
                <w:noProof/>
                <w:webHidden/>
              </w:rPr>
              <w:fldChar w:fldCharType="begin"/>
            </w:r>
            <w:r>
              <w:rPr>
                <w:noProof/>
                <w:webHidden/>
              </w:rPr>
              <w:instrText xml:space="preserve"> PAGEREF _Toc195597981 \h </w:instrText>
            </w:r>
            <w:r>
              <w:rPr>
                <w:noProof/>
                <w:webHidden/>
              </w:rPr>
            </w:r>
            <w:r>
              <w:rPr>
                <w:noProof/>
                <w:webHidden/>
              </w:rPr>
              <w:fldChar w:fldCharType="separate"/>
            </w:r>
            <w:r>
              <w:rPr>
                <w:noProof/>
                <w:webHidden/>
              </w:rPr>
              <w:t>37</w:t>
            </w:r>
            <w:r>
              <w:rPr>
                <w:noProof/>
                <w:webHidden/>
              </w:rPr>
              <w:fldChar w:fldCharType="end"/>
            </w:r>
          </w:hyperlink>
        </w:p>
        <w:p w14:paraId="6176F77E" w14:textId="38BB0D4E" w:rsidR="000B5505" w:rsidRDefault="000B5505">
          <w:pPr>
            <w:pStyle w:val="TOC2"/>
            <w:tabs>
              <w:tab w:val="left" w:pos="960"/>
              <w:tab w:val="right" w:leader="dot" w:pos="8630"/>
            </w:tabs>
            <w:rPr>
              <w:rFonts w:cstheme="minorBidi"/>
              <w:noProof/>
              <w:kern w:val="2"/>
              <w:sz w:val="24"/>
              <w:szCs w:val="24"/>
              <w:lang w:val="en-CA" w:eastAsia="en-CA"/>
              <w14:ligatures w14:val="standardContextual"/>
            </w:rPr>
          </w:pPr>
          <w:hyperlink w:anchor="_Toc195597982" w:history="1">
            <w:r w:rsidRPr="00D77A6D">
              <w:rPr>
                <w:rStyle w:val="Hyperlink"/>
                <w:noProof/>
              </w:rPr>
              <w:t>2.2</w:t>
            </w:r>
            <w:r>
              <w:rPr>
                <w:rFonts w:cstheme="minorBidi"/>
                <w:noProof/>
                <w:kern w:val="2"/>
                <w:sz w:val="24"/>
                <w:szCs w:val="24"/>
                <w:lang w:val="en-CA" w:eastAsia="en-CA"/>
                <w14:ligatures w14:val="standardContextual"/>
              </w:rPr>
              <w:tab/>
            </w:r>
            <w:r w:rsidRPr="00D77A6D">
              <w:rPr>
                <w:rStyle w:val="Hyperlink"/>
                <w:noProof/>
              </w:rPr>
              <w:t>Court Jurisdiction over Trials and Appeals, and Indirect Jurisdiction over Justice-Involved Institutions</w:t>
            </w:r>
            <w:r>
              <w:rPr>
                <w:noProof/>
                <w:webHidden/>
              </w:rPr>
              <w:tab/>
            </w:r>
            <w:r>
              <w:rPr>
                <w:noProof/>
                <w:webHidden/>
              </w:rPr>
              <w:fldChar w:fldCharType="begin"/>
            </w:r>
            <w:r>
              <w:rPr>
                <w:noProof/>
                <w:webHidden/>
              </w:rPr>
              <w:instrText xml:space="preserve"> PAGEREF _Toc195597982 \h </w:instrText>
            </w:r>
            <w:r>
              <w:rPr>
                <w:noProof/>
                <w:webHidden/>
              </w:rPr>
            </w:r>
            <w:r>
              <w:rPr>
                <w:noProof/>
                <w:webHidden/>
              </w:rPr>
              <w:fldChar w:fldCharType="separate"/>
            </w:r>
            <w:r>
              <w:rPr>
                <w:noProof/>
                <w:webHidden/>
              </w:rPr>
              <w:t>38</w:t>
            </w:r>
            <w:r>
              <w:rPr>
                <w:noProof/>
                <w:webHidden/>
              </w:rPr>
              <w:fldChar w:fldCharType="end"/>
            </w:r>
          </w:hyperlink>
        </w:p>
        <w:p w14:paraId="2C0192B6" w14:textId="6891136B"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7983" w:history="1">
            <w:r w:rsidRPr="00D77A6D">
              <w:rPr>
                <w:rStyle w:val="Hyperlink"/>
                <w:noProof/>
              </w:rPr>
              <w:t>2.2.1</w:t>
            </w:r>
            <w:r>
              <w:rPr>
                <w:rFonts w:cstheme="minorBidi"/>
                <w:noProof/>
                <w:kern w:val="2"/>
                <w:sz w:val="24"/>
                <w:szCs w:val="24"/>
                <w:lang w:val="en-CA" w:eastAsia="en-CA"/>
                <w14:ligatures w14:val="standardContextual"/>
              </w:rPr>
              <w:tab/>
            </w:r>
            <w:r w:rsidRPr="00D77A6D">
              <w:rPr>
                <w:rStyle w:val="Hyperlink"/>
                <w:noProof/>
              </w:rPr>
              <w:t>Courts and Internal Jurisdiction over Trials and Appeals, and the Challenge of Regional and Local Distinctions</w:t>
            </w:r>
            <w:r>
              <w:rPr>
                <w:noProof/>
                <w:webHidden/>
              </w:rPr>
              <w:tab/>
            </w:r>
            <w:r>
              <w:rPr>
                <w:noProof/>
                <w:webHidden/>
              </w:rPr>
              <w:fldChar w:fldCharType="begin"/>
            </w:r>
            <w:r>
              <w:rPr>
                <w:noProof/>
                <w:webHidden/>
              </w:rPr>
              <w:instrText xml:space="preserve"> PAGEREF _Toc195597983 \h </w:instrText>
            </w:r>
            <w:r>
              <w:rPr>
                <w:noProof/>
                <w:webHidden/>
              </w:rPr>
            </w:r>
            <w:r>
              <w:rPr>
                <w:noProof/>
                <w:webHidden/>
              </w:rPr>
              <w:fldChar w:fldCharType="separate"/>
            </w:r>
            <w:r>
              <w:rPr>
                <w:noProof/>
                <w:webHidden/>
              </w:rPr>
              <w:t>39</w:t>
            </w:r>
            <w:r>
              <w:rPr>
                <w:noProof/>
                <w:webHidden/>
              </w:rPr>
              <w:fldChar w:fldCharType="end"/>
            </w:r>
          </w:hyperlink>
        </w:p>
        <w:p w14:paraId="53662635" w14:textId="3CC3A328"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7984" w:history="1">
            <w:r w:rsidRPr="00D77A6D">
              <w:rPr>
                <w:rStyle w:val="Hyperlink"/>
                <w:noProof/>
              </w:rPr>
              <w:t>2.2.2</w:t>
            </w:r>
            <w:r>
              <w:rPr>
                <w:rFonts w:cstheme="minorBidi"/>
                <w:noProof/>
                <w:kern w:val="2"/>
                <w:sz w:val="24"/>
                <w:szCs w:val="24"/>
                <w:lang w:val="en-CA" w:eastAsia="en-CA"/>
                <w14:ligatures w14:val="standardContextual"/>
              </w:rPr>
              <w:tab/>
            </w:r>
            <w:r w:rsidRPr="00D77A6D">
              <w:rPr>
                <w:rStyle w:val="Hyperlink"/>
                <w:noProof/>
              </w:rPr>
              <w:t>Courts Exercise Indirect Jurisdiction Over Justice-Involved Institutions Including Law Enforcement, Corrections, Hospitals and Community Programs</w:t>
            </w:r>
            <w:r>
              <w:rPr>
                <w:noProof/>
                <w:webHidden/>
              </w:rPr>
              <w:tab/>
            </w:r>
            <w:r>
              <w:rPr>
                <w:noProof/>
                <w:webHidden/>
              </w:rPr>
              <w:fldChar w:fldCharType="begin"/>
            </w:r>
            <w:r>
              <w:rPr>
                <w:noProof/>
                <w:webHidden/>
              </w:rPr>
              <w:instrText xml:space="preserve"> PAGEREF _Toc195597984 \h </w:instrText>
            </w:r>
            <w:r>
              <w:rPr>
                <w:noProof/>
                <w:webHidden/>
              </w:rPr>
            </w:r>
            <w:r>
              <w:rPr>
                <w:noProof/>
                <w:webHidden/>
              </w:rPr>
              <w:fldChar w:fldCharType="separate"/>
            </w:r>
            <w:r>
              <w:rPr>
                <w:noProof/>
                <w:webHidden/>
              </w:rPr>
              <w:t>41</w:t>
            </w:r>
            <w:r>
              <w:rPr>
                <w:noProof/>
                <w:webHidden/>
              </w:rPr>
              <w:fldChar w:fldCharType="end"/>
            </w:r>
          </w:hyperlink>
        </w:p>
        <w:p w14:paraId="10D4B425" w14:textId="062ECE4B"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7985" w:history="1">
            <w:r w:rsidRPr="00D77A6D">
              <w:rPr>
                <w:rStyle w:val="Hyperlink"/>
                <w:noProof/>
              </w:rPr>
              <w:t>2.2.3</w:t>
            </w:r>
            <w:r>
              <w:rPr>
                <w:rFonts w:cstheme="minorBidi"/>
                <w:noProof/>
                <w:kern w:val="2"/>
                <w:sz w:val="24"/>
                <w:szCs w:val="24"/>
                <w:lang w:val="en-CA" w:eastAsia="en-CA"/>
                <w14:ligatures w14:val="standardContextual"/>
              </w:rPr>
              <w:tab/>
            </w:r>
            <w:r w:rsidRPr="00D77A6D">
              <w:rPr>
                <w:rStyle w:val="Hyperlink"/>
                <w:noProof/>
              </w:rPr>
              <w:t>Criminal Courts Rely On – But May Challenge – The Internal Practices, Policies, And Standards of Justice-Involved Institutions</w:t>
            </w:r>
            <w:r>
              <w:rPr>
                <w:noProof/>
                <w:webHidden/>
              </w:rPr>
              <w:tab/>
            </w:r>
            <w:r>
              <w:rPr>
                <w:noProof/>
                <w:webHidden/>
              </w:rPr>
              <w:fldChar w:fldCharType="begin"/>
            </w:r>
            <w:r>
              <w:rPr>
                <w:noProof/>
                <w:webHidden/>
              </w:rPr>
              <w:instrText xml:space="preserve"> PAGEREF _Toc195597985 \h </w:instrText>
            </w:r>
            <w:r>
              <w:rPr>
                <w:noProof/>
                <w:webHidden/>
              </w:rPr>
            </w:r>
            <w:r>
              <w:rPr>
                <w:noProof/>
                <w:webHidden/>
              </w:rPr>
              <w:fldChar w:fldCharType="separate"/>
            </w:r>
            <w:r>
              <w:rPr>
                <w:noProof/>
                <w:webHidden/>
              </w:rPr>
              <w:t>45</w:t>
            </w:r>
            <w:r>
              <w:rPr>
                <w:noProof/>
                <w:webHidden/>
              </w:rPr>
              <w:fldChar w:fldCharType="end"/>
            </w:r>
          </w:hyperlink>
        </w:p>
        <w:p w14:paraId="4B0FB0B4" w14:textId="63D1E7FF"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7986" w:history="1">
            <w:r w:rsidRPr="00D77A6D">
              <w:rPr>
                <w:rStyle w:val="Hyperlink"/>
                <w:rFonts w:eastAsia="Calibri"/>
                <w:noProof/>
              </w:rPr>
              <w:t>2.2.4</w:t>
            </w:r>
            <w:r>
              <w:rPr>
                <w:rFonts w:cstheme="minorBidi"/>
                <w:noProof/>
                <w:kern w:val="2"/>
                <w:sz w:val="24"/>
                <w:szCs w:val="24"/>
                <w:lang w:val="en-CA" w:eastAsia="en-CA"/>
                <w14:ligatures w14:val="standardContextual"/>
              </w:rPr>
              <w:tab/>
            </w:r>
            <w:r w:rsidRPr="00D77A6D">
              <w:rPr>
                <w:rStyle w:val="Hyperlink"/>
                <w:rFonts w:eastAsia="Calibri"/>
                <w:noProof/>
              </w:rPr>
              <w:t>Case Study: How Courts Might Take Issue with Use of AI Policies Developed by Law Enforcement</w:t>
            </w:r>
            <w:r>
              <w:rPr>
                <w:noProof/>
                <w:webHidden/>
              </w:rPr>
              <w:tab/>
            </w:r>
            <w:r>
              <w:rPr>
                <w:noProof/>
                <w:webHidden/>
              </w:rPr>
              <w:fldChar w:fldCharType="begin"/>
            </w:r>
            <w:r>
              <w:rPr>
                <w:noProof/>
                <w:webHidden/>
              </w:rPr>
              <w:instrText xml:space="preserve"> PAGEREF _Toc195597986 \h </w:instrText>
            </w:r>
            <w:r>
              <w:rPr>
                <w:noProof/>
                <w:webHidden/>
              </w:rPr>
            </w:r>
            <w:r>
              <w:rPr>
                <w:noProof/>
                <w:webHidden/>
              </w:rPr>
              <w:fldChar w:fldCharType="separate"/>
            </w:r>
            <w:r>
              <w:rPr>
                <w:noProof/>
                <w:webHidden/>
              </w:rPr>
              <w:t>47</w:t>
            </w:r>
            <w:r>
              <w:rPr>
                <w:noProof/>
                <w:webHidden/>
              </w:rPr>
              <w:fldChar w:fldCharType="end"/>
            </w:r>
          </w:hyperlink>
        </w:p>
        <w:p w14:paraId="33FACB3F" w14:textId="4FAA3EFF" w:rsidR="000B5505" w:rsidRDefault="000B5505">
          <w:pPr>
            <w:pStyle w:val="TOC2"/>
            <w:tabs>
              <w:tab w:val="left" w:pos="960"/>
              <w:tab w:val="right" w:leader="dot" w:pos="8630"/>
            </w:tabs>
            <w:rPr>
              <w:rFonts w:cstheme="minorBidi"/>
              <w:noProof/>
              <w:kern w:val="2"/>
              <w:sz w:val="24"/>
              <w:szCs w:val="24"/>
              <w:lang w:val="en-CA" w:eastAsia="en-CA"/>
              <w14:ligatures w14:val="standardContextual"/>
            </w:rPr>
          </w:pPr>
          <w:hyperlink w:anchor="_Toc195597987" w:history="1">
            <w:r w:rsidRPr="00D77A6D">
              <w:rPr>
                <w:rStyle w:val="Hyperlink"/>
                <w:noProof/>
              </w:rPr>
              <w:t>2.3</w:t>
            </w:r>
            <w:r>
              <w:rPr>
                <w:rFonts w:cstheme="minorBidi"/>
                <w:noProof/>
                <w:kern w:val="2"/>
                <w:sz w:val="24"/>
                <w:szCs w:val="24"/>
                <w:lang w:val="en-CA" w:eastAsia="en-CA"/>
                <w14:ligatures w14:val="standardContextual"/>
              </w:rPr>
              <w:tab/>
            </w:r>
            <w:r w:rsidRPr="00D77A6D">
              <w:rPr>
                <w:rStyle w:val="Hyperlink"/>
                <w:noProof/>
              </w:rPr>
              <w:t>How is AI Being Introduced into Criminal Proceedings?</w:t>
            </w:r>
            <w:r>
              <w:rPr>
                <w:noProof/>
                <w:webHidden/>
              </w:rPr>
              <w:tab/>
            </w:r>
            <w:r>
              <w:rPr>
                <w:noProof/>
                <w:webHidden/>
              </w:rPr>
              <w:fldChar w:fldCharType="begin"/>
            </w:r>
            <w:r>
              <w:rPr>
                <w:noProof/>
                <w:webHidden/>
              </w:rPr>
              <w:instrText xml:space="preserve"> PAGEREF _Toc195597987 \h </w:instrText>
            </w:r>
            <w:r>
              <w:rPr>
                <w:noProof/>
                <w:webHidden/>
              </w:rPr>
            </w:r>
            <w:r>
              <w:rPr>
                <w:noProof/>
                <w:webHidden/>
              </w:rPr>
              <w:fldChar w:fldCharType="separate"/>
            </w:r>
            <w:r>
              <w:rPr>
                <w:noProof/>
                <w:webHidden/>
              </w:rPr>
              <w:t>50</w:t>
            </w:r>
            <w:r>
              <w:rPr>
                <w:noProof/>
                <w:webHidden/>
              </w:rPr>
              <w:fldChar w:fldCharType="end"/>
            </w:r>
          </w:hyperlink>
        </w:p>
        <w:p w14:paraId="37541245" w14:textId="7A56C244"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7988" w:history="1">
            <w:r w:rsidRPr="00D77A6D">
              <w:rPr>
                <w:rStyle w:val="Hyperlink"/>
                <w:noProof/>
              </w:rPr>
              <w:t>2.3.1</w:t>
            </w:r>
            <w:r>
              <w:rPr>
                <w:rFonts w:cstheme="minorBidi"/>
                <w:noProof/>
                <w:kern w:val="2"/>
                <w:sz w:val="24"/>
                <w:szCs w:val="24"/>
                <w:lang w:val="en-CA" w:eastAsia="en-CA"/>
                <w14:ligatures w14:val="standardContextual"/>
              </w:rPr>
              <w:tab/>
            </w:r>
            <w:r w:rsidRPr="00D77A6D">
              <w:rPr>
                <w:rStyle w:val="Hyperlink"/>
                <w:noProof/>
              </w:rPr>
              <w:t>Different AI Systems Are Already Appearing in Court</w:t>
            </w:r>
            <w:r>
              <w:rPr>
                <w:noProof/>
                <w:webHidden/>
              </w:rPr>
              <w:tab/>
            </w:r>
            <w:r>
              <w:rPr>
                <w:noProof/>
                <w:webHidden/>
              </w:rPr>
              <w:fldChar w:fldCharType="begin"/>
            </w:r>
            <w:r>
              <w:rPr>
                <w:noProof/>
                <w:webHidden/>
              </w:rPr>
              <w:instrText xml:space="preserve"> PAGEREF _Toc195597988 \h </w:instrText>
            </w:r>
            <w:r>
              <w:rPr>
                <w:noProof/>
                <w:webHidden/>
              </w:rPr>
            </w:r>
            <w:r>
              <w:rPr>
                <w:noProof/>
                <w:webHidden/>
              </w:rPr>
              <w:fldChar w:fldCharType="separate"/>
            </w:r>
            <w:r>
              <w:rPr>
                <w:noProof/>
                <w:webHidden/>
              </w:rPr>
              <w:t>50</w:t>
            </w:r>
            <w:r>
              <w:rPr>
                <w:noProof/>
                <w:webHidden/>
              </w:rPr>
              <w:fldChar w:fldCharType="end"/>
            </w:r>
          </w:hyperlink>
        </w:p>
        <w:p w14:paraId="2F4DA780" w14:textId="27BA43C2" w:rsidR="000B5505" w:rsidRDefault="000B5505">
          <w:pPr>
            <w:pStyle w:val="TOC2"/>
            <w:tabs>
              <w:tab w:val="left" w:pos="960"/>
              <w:tab w:val="right" w:leader="dot" w:pos="8630"/>
            </w:tabs>
            <w:rPr>
              <w:rFonts w:cstheme="minorBidi"/>
              <w:noProof/>
              <w:kern w:val="2"/>
              <w:sz w:val="24"/>
              <w:szCs w:val="24"/>
              <w:lang w:val="en-CA" w:eastAsia="en-CA"/>
              <w14:ligatures w14:val="standardContextual"/>
            </w:rPr>
          </w:pPr>
          <w:hyperlink w:anchor="_Toc195597989" w:history="1">
            <w:r w:rsidRPr="00D77A6D">
              <w:rPr>
                <w:rStyle w:val="Hyperlink"/>
                <w:noProof/>
              </w:rPr>
              <w:t>2.4</w:t>
            </w:r>
            <w:r>
              <w:rPr>
                <w:rFonts w:cstheme="minorBidi"/>
                <w:noProof/>
                <w:kern w:val="2"/>
                <w:sz w:val="24"/>
                <w:szCs w:val="24"/>
                <w:lang w:val="en-CA" w:eastAsia="en-CA"/>
                <w14:ligatures w14:val="standardContextual"/>
              </w:rPr>
              <w:tab/>
            </w:r>
            <w:r w:rsidRPr="00D77A6D">
              <w:rPr>
                <w:rStyle w:val="Hyperlink"/>
                <w:noProof/>
              </w:rPr>
              <w:t>AI and Improved Access to Justice in Criminal Law</w:t>
            </w:r>
            <w:r>
              <w:rPr>
                <w:noProof/>
                <w:webHidden/>
              </w:rPr>
              <w:tab/>
            </w:r>
            <w:r>
              <w:rPr>
                <w:noProof/>
                <w:webHidden/>
              </w:rPr>
              <w:fldChar w:fldCharType="begin"/>
            </w:r>
            <w:r>
              <w:rPr>
                <w:noProof/>
                <w:webHidden/>
              </w:rPr>
              <w:instrText xml:space="preserve"> PAGEREF _Toc195597989 \h </w:instrText>
            </w:r>
            <w:r>
              <w:rPr>
                <w:noProof/>
                <w:webHidden/>
              </w:rPr>
            </w:r>
            <w:r>
              <w:rPr>
                <w:noProof/>
                <w:webHidden/>
              </w:rPr>
              <w:fldChar w:fldCharType="separate"/>
            </w:r>
            <w:r>
              <w:rPr>
                <w:noProof/>
                <w:webHidden/>
              </w:rPr>
              <w:t>52</w:t>
            </w:r>
            <w:r>
              <w:rPr>
                <w:noProof/>
                <w:webHidden/>
              </w:rPr>
              <w:fldChar w:fldCharType="end"/>
            </w:r>
          </w:hyperlink>
        </w:p>
        <w:p w14:paraId="511FA973" w14:textId="49D8E1E3"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7990" w:history="1">
            <w:r w:rsidRPr="00D77A6D">
              <w:rPr>
                <w:rStyle w:val="Hyperlink"/>
                <w:rFonts w:eastAsia="Times New Roman"/>
                <w:noProof/>
              </w:rPr>
              <w:t>2.4.1</w:t>
            </w:r>
            <w:r>
              <w:rPr>
                <w:rFonts w:cstheme="minorBidi"/>
                <w:noProof/>
                <w:kern w:val="2"/>
                <w:sz w:val="24"/>
                <w:szCs w:val="24"/>
                <w:lang w:val="en-CA" w:eastAsia="en-CA"/>
                <w14:ligatures w14:val="standardContextual"/>
              </w:rPr>
              <w:tab/>
            </w:r>
            <w:r w:rsidRPr="00D77A6D">
              <w:rPr>
                <w:rStyle w:val="Hyperlink"/>
                <w:rFonts w:eastAsia="Times New Roman"/>
                <w:noProof/>
              </w:rPr>
              <w:t>Concerns For Bias and Discrimination in Court Proceedings is Already Widely Seen Even Without AI</w:t>
            </w:r>
            <w:r>
              <w:rPr>
                <w:noProof/>
                <w:webHidden/>
              </w:rPr>
              <w:tab/>
            </w:r>
            <w:r>
              <w:rPr>
                <w:noProof/>
                <w:webHidden/>
              </w:rPr>
              <w:fldChar w:fldCharType="begin"/>
            </w:r>
            <w:r>
              <w:rPr>
                <w:noProof/>
                <w:webHidden/>
              </w:rPr>
              <w:instrText xml:space="preserve"> PAGEREF _Toc195597990 \h </w:instrText>
            </w:r>
            <w:r>
              <w:rPr>
                <w:noProof/>
                <w:webHidden/>
              </w:rPr>
            </w:r>
            <w:r>
              <w:rPr>
                <w:noProof/>
                <w:webHidden/>
              </w:rPr>
              <w:fldChar w:fldCharType="separate"/>
            </w:r>
            <w:r>
              <w:rPr>
                <w:noProof/>
                <w:webHidden/>
              </w:rPr>
              <w:t>52</w:t>
            </w:r>
            <w:r>
              <w:rPr>
                <w:noProof/>
                <w:webHidden/>
              </w:rPr>
              <w:fldChar w:fldCharType="end"/>
            </w:r>
          </w:hyperlink>
        </w:p>
        <w:p w14:paraId="46B47359" w14:textId="2312E930"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7991" w:history="1">
            <w:r w:rsidRPr="00D77A6D">
              <w:rPr>
                <w:rStyle w:val="Hyperlink"/>
                <w:rFonts w:eastAsia="Times New Roman"/>
                <w:noProof/>
              </w:rPr>
              <w:t>2.4.2</w:t>
            </w:r>
            <w:r>
              <w:rPr>
                <w:rFonts w:cstheme="minorBidi"/>
                <w:noProof/>
                <w:kern w:val="2"/>
                <w:sz w:val="24"/>
                <w:szCs w:val="24"/>
                <w:lang w:val="en-CA" w:eastAsia="en-CA"/>
                <w14:ligatures w14:val="standardContextual"/>
              </w:rPr>
              <w:tab/>
            </w:r>
            <w:r w:rsidRPr="00D77A6D">
              <w:rPr>
                <w:rStyle w:val="Hyperlink"/>
                <w:rFonts w:eastAsia="Times New Roman"/>
                <w:noProof/>
              </w:rPr>
              <w:t>Access To Justice and Inequity in Challenging Non-AI Technology is Already a General Concern</w:t>
            </w:r>
            <w:r>
              <w:rPr>
                <w:noProof/>
                <w:webHidden/>
              </w:rPr>
              <w:tab/>
            </w:r>
            <w:r>
              <w:rPr>
                <w:noProof/>
                <w:webHidden/>
              </w:rPr>
              <w:fldChar w:fldCharType="begin"/>
            </w:r>
            <w:r>
              <w:rPr>
                <w:noProof/>
                <w:webHidden/>
              </w:rPr>
              <w:instrText xml:space="preserve"> PAGEREF _Toc195597991 \h </w:instrText>
            </w:r>
            <w:r>
              <w:rPr>
                <w:noProof/>
                <w:webHidden/>
              </w:rPr>
            </w:r>
            <w:r>
              <w:rPr>
                <w:noProof/>
                <w:webHidden/>
              </w:rPr>
              <w:fldChar w:fldCharType="separate"/>
            </w:r>
            <w:r>
              <w:rPr>
                <w:noProof/>
                <w:webHidden/>
              </w:rPr>
              <w:t>53</w:t>
            </w:r>
            <w:r>
              <w:rPr>
                <w:noProof/>
                <w:webHidden/>
              </w:rPr>
              <w:fldChar w:fldCharType="end"/>
            </w:r>
          </w:hyperlink>
        </w:p>
        <w:p w14:paraId="13B9FD9E" w14:textId="0D85E0E0"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7992" w:history="1">
            <w:r w:rsidRPr="00D77A6D">
              <w:rPr>
                <w:rStyle w:val="Hyperlink"/>
                <w:rFonts w:eastAsia="Times New Roman"/>
                <w:noProof/>
              </w:rPr>
              <w:t>2.4.3</w:t>
            </w:r>
            <w:r>
              <w:rPr>
                <w:rFonts w:cstheme="minorBidi"/>
                <w:noProof/>
                <w:kern w:val="2"/>
                <w:sz w:val="24"/>
                <w:szCs w:val="24"/>
                <w:lang w:val="en-CA" w:eastAsia="en-CA"/>
                <w14:ligatures w14:val="standardContextual"/>
              </w:rPr>
              <w:tab/>
            </w:r>
            <w:r w:rsidRPr="00D77A6D">
              <w:rPr>
                <w:rStyle w:val="Hyperlink"/>
                <w:rFonts w:eastAsia="Times New Roman"/>
                <w:noProof/>
              </w:rPr>
              <w:t>The Impacts and Challenges of New AI-Enabled Technologies is Foreseeable</w:t>
            </w:r>
            <w:r>
              <w:rPr>
                <w:noProof/>
                <w:webHidden/>
              </w:rPr>
              <w:tab/>
            </w:r>
            <w:r>
              <w:rPr>
                <w:noProof/>
                <w:webHidden/>
              </w:rPr>
              <w:fldChar w:fldCharType="begin"/>
            </w:r>
            <w:r>
              <w:rPr>
                <w:noProof/>
                <w:webHidden/>
              </w:rPr>
              <w:instrText xml:space="preserve"> PAGEREF _Toc195597992 \h </w:instrText>
            </w:r>
            <w:r>
              <w:rPr>
                <w:noProof/>
                <w:webHidden/>
              </w:rPr>
            </w:r>
            <w:r>
              <w:rPr>
                <w:noProof/>
                <w:webHidden/>
              </w:rPr>
              <w:fldChar w:fldCharType="separate"/>
            </w:r>
            <w:r>
              <w:rPr>
                <w:noProof/>
                <w:webHidden/>
              </w:rPr>
              <w:t>54</w:t>
            </w:r>
            <w:r>
              <w:rPr>
                <w:noProof/>
                <w:webHidden/>
              </w:rPr>
              <w:fldChar w:fldCharType="end"/>
            </w:r>
          </w:hyperlink>
        </w:p>
        <w:p w14:paraId="61435988" w14:textId="28357753" w:rsidR="000B5505" w:rsidRDefault="000B5505">
          <w:pPr>
            <w:pStyle w:val="TOC1"/>
            <w:rPr>
              <w:rFonts w:eastAsiaTheme="minorEastAsia" w:cstheme="minorBidi"/>
              <w:noProof/>
              <w:kern w:val="2"/>
              <w:lang w:eastAsia="en-CA"/>
              <w14:ligatures w14:val="standardContextual"/>
            </w:rPr>
          </w:pPr>
          <w:hyperlink w:anchor="_Toc195597993" w:history="1">
            <w:r w:rsidRPr="00D77A6D">
              <w:rPr>
                <w:rStyle w:val="Hyperlink"/>
                <w:rFonts w:eastAsia="Times New Roman"/>
                <w:noProof/>
              </w:rPr>
              <w:t>3.</w:t>
            </w:r>
            <w:r>
              <w:rPr>
                <w:rFonts w:eastAsiaTheme="minorEastAsia" w:cstheme="minorBidi"/>
                <w:noProof/>
                <w:kern w:val="2"/>
                <w:lang w:eastAsia="en-CA"/>
                <w14:ligatures w14:val="standardContextual"/>
              </w:rPr>
              <w:tab/>
            </w:r>
            <w:r w:rsidRPr="00D77A6D">
              <w:rPr>
                <w:rStyle w:val="Hyperlink"/>
                <w:rFonts w:eastAsia="Times New Roman"/>
                <w:noProof/>
              </w:rPr>
              <w:t>Key Concerns, Issues, and Questions: Reliability and Procedural Fairness Concerns Raised by AI in the Criminal Trial</w:t>
            </w:r>
            <w:r>
              <w:rPr>
                <w:noProof/>
                <w:webHidden/>
              </w:rPr>
              <w:tab/>
            </w:r>
            <w:r>
              <w:rPr>
                <w:noProof/>
                <w:webHidden/>
              </w:rPr>
              <w:fldChar w:fldCharType="begin"/>
            </w:r>
            <w:r>
              <w:rPr>
                <w:noProof/>
                <w:webHidden/>
              </w:rPr>
              <w:instrText xml:space="preserve"> PAGEREF _Toc195597993 \h </w:instrText>
            </w:r>
            <w:r>
              <w:rPr>
                <w:noProof/>
                <w:webHidden/>
              </w:rPr>
            </w:r>
            <w:r>
              <w:rPr>
                <w:noProof/>
                <w:webHidden/>
              </w:rPr>
              <w:fldChar w:fldCharType="separate"/>
            </w:r>
            <w:r>
              <w:rPr>
                <w:noProof/>
                <w:webHidden/>
              </w:rPr>
              <w:t>55</w:t>
            </w:r>
            <w:r>
              <w:rPr>
                <w:noProof/>
                <w:webHidden/>
              </w:rPr>
              <w:fldChar w:fldCharType="end"/>
            </w:r>
          </w:hyperlink>
        </w:p>
        <w:p w14:paraId="6FCEAD04" w14:textId="456CB18C" w:rsidR="000B5505" w:rsidRDefault="000B5505">
          <w:pPr>
            <w:pStyle w:val="TOC2"/>
            <w:tabs>
              <w:tab w:val="right" w:leader="dot" w:pos="8630"/>
            </w:tabs>
            <w:rPr>
              <w:rFonts w:cstheme="minorBidi"/>
              <w:noProof/>
              <w:kern w:val="2"/>
              <w:sz w:val="24"/>
              <w:szCs w:val="24"/>
              <w:lang w:val="en-CA" w:eastAsia="en-CA"/>
              <w14:ligatures w14:val="standardContextual"/>
            </w:rPr>
          </w:pPr>
          <w:hyperlink w:anchor="_Toc195597994" w:history="1">
            <w:r w:rsidRPr="00D77A6D">
              <w:rPr>
                <w:rStyle w:val="Hyperlink"/>
                <w:noProof/>
              </w:rPr>
              <w:t>3.1 Assessing the Reliability of AI Evidence</w:t>
            </w:r>
            <w:r>
              <w:rPr>
                <w:noProof/>
                <w:webHidden/>
              </w:rPr>
              <w:tab/>
            </w:r>
            <w:r>
              <w:rPr>
                <w:noProof/>
                <w:webHidden/>
              </w:rPr>
              <w:fldChar w:fldCharType="begin"/>
            </w:r>
            <w:r>
              <w:rPr>
                <w:noProof/>
                <w:webHidden/>
              </w:rPr>
              <w:instrText xml:space="preserve"> PAGEREF _Toc195597994 \h </w:instrText>
            </w:r>
            <w:r>
              <w:rPr>
                <w:noProof/>
                <w:webHidden/>
              </w:rPr>
            </w:r>
            <w:r>
              <w:rPr>
                <w:noProof/>
                <w:webHidden/>
              </w:rPr>
              <w:fldChar w:fldCharType="separate"/>
            </w:r>
            <w:r>
              <w:rPr>
                <w:noProof/>
                <w:webHidden/>
              </w:rPr>
              <w:t>55</w:t>
            </w:r>
            <w:r>
              <w:rPr>
                <w:noProof/>
                <w:webHidden/>
              </w:rPr>
              <w:fldChar w:fldCharType="end"/>
            </w:r>
          </w:hyperlink>
        </w:p>
        <w:p w14:paraId="66D060E5" w14:textId="395A9CB2" w:rsidR="000B5505" w:rsidRDefault="000B5505">
          <w:pPr>
            <w:pStyle w:val="TOC3"/>
            <w:tabs>
              <w:tab w:val="right" w:leader="dot" w:pos="8630"/>
            </w:tabs>
            <w:rPr>
              <w:rFonts w:cstheme="minorBidi"/>
              <w:noProof/>
              <w:kern w:val="2"/>
              <w:sz w:val="24"/>
              <w:szCs w:val="24"/>
              <w:lang w:val="en-CA" w:eastAsia="en-CA"/>
              <w14:ligatures w14:val="standardContextual"/>
            </w:rPr>
          </w:pPr>
          <w:hyperlink w:anchor="_Toc195597995" w:history="1">
            <w:r w:rsidRPr="00D77A6D">
              <w:rPr>
                <w:rStyle w:val="Hyperlink"/>
                <w:noProof/>
              </w:rPr>
              <w:t>3.1.1 Bias, Assumptions and Scientific Validity: How AI May Impact the Truth-Seeking Function of Criminal Trials without Adequate Guardrails</w:t>
            </w:r>
            <w:r>
              <w:rPr>
                <w:noProof/>
                <w:webHidden/>
              </w:rPr>
              <w:tab/>
            </w:r>
            <w:r>
              <w:rPr>
                <w:noProof/>
                <w:webHidden/>
              </w:rPr>
              <w:fldChar w:fldCharType="begin"/>
            </w:r>
            <w:r>
              <w:rPr>
                <w:noProof/>
                <w:webHidden/>
              </w:rPr>
              <w:instrText xml:space="preserve"> PAGEREF _Toc195597995 \h </w:instrText>
            </w:r>
            <w:r>
              <w:rPr>
                <w:noProof/>
                <w:webHidden/>
              </w:rPr>
            </w:r>
            <w:r>
              <w:rPr>
                <w:noProof/>
                <w:webHidden/>
              </w:rPr>
              <w:fldChar w:fldCharType="separate"/>
            </w:r>
            <w:r>
              <w:rPr>
                <w:noProof/>
                <w:webHidden/>
              </w:rPr>
              <w:t>55</w:t>
            </w:r>
            <w:r>
              <w:rPr>
                <w:noProof/>
                <w:webHidden/>
              </w:rPr>
              <w:fldChar w:fldCharType="end"/>
            </w:r>
          </w:hyperlink>
        </w:p>
        <w:p w14:paraId="63222780" w14:textId="4BE00BF3" w:rsidR="000B5505" w:rsidRDefault="000B5505">
          <w:pPr>
            <w:pStyle w:val="TOC3"/>
            <w:tabs>
              <w:tab w:val="right" w:leader="dot" w:pos="8630"/>
            </w:tabs>
            <w:rPr>
              <w:rFonts w:cstheme="minorBidi"/>
              <w:noProof/>
              <w:kern w:val="2"/>
              <w:sz w:val="24"/>
              <w:szCs w:val="24"/>
              <w:lang w:val="en-CA" w:eastAsia="en-CA"/>
              <w14:ligatures w14:val="standardContextual"/>
            </w:rPr>
          </w:pPr>
          <w:hyperlink w:anchor="_Toc195597996" w:history="1">
            <w:r w:rsidRPr="00D77A6D">
              <w:rPr>
                <w:rStyle w:val="Hyperlink"/>
                <w:noProof/>
              </w:rPr>
              <w:t>3.1.2 Inherent Reliability</w:t>
            </w:r>
            <w:r>
              <w:rPr>
                <w:noProof/>
                <w:webHidden/>
              </w:rPr>
              <w:tab/>
            </w:r>
            <w:r>
              <w:rPr>
                <w:noProof/>
                <w:webHidden/>
              </w:rPr>
              <w:fldChar w:fldCharType="begin"/>
            </w:r>
            <w:r>
              <w:rPr>
                <w:noProof/>
                <w:webHidden/>
              </w:rPr>
              <w:instrText xml:space="preserve"> PAGEREF _Toc195597996 \h </w:instrText>
            </w:r>
            <w:r>
              <w:rPr>
                <w:noProof/>
                <w:webHidden/>
              </w:rPr>
            </w:r>
            <w:r>
              <w:rPr>
                <w:noProof/>
                <w:webHidden/>
              </w:rPr>
              <w:fldChar w:fldCharType="separate"/>
            </w:r>
            <w:r>
              <w:rPr>
                <w:noProof/>
                <w:webHidden/>
              </w:rPr>
              <w:t>57</w:t>
            </w:r>
            <w:r>
              <w:rPr>
                <w:noProof/>
                <w:webHidden/>
              </w:rPr>
              <w:fldChar w:fldCharType="end"/>
            </w:r>
          </w:hyperlink>
        </w:p>
        <w:p w14:paraId="3052526F" w14:textId="6244DE86" w:rsidR="000B5505" w:rsidRDefault="000B5505">
          <w:pPr>
            <w:pStyle w:val="TOC3"/>
            <w:tabs>
              <w:tab w:val="right" w:leader="dot" w:pos="8630"/>
            </w:tabs>
            <w:rPr>
              <w:rFonts w:cstheme="minorBidi"/>
              <w:noProof/>
              <w:kern w:val="2"/>
              <w:sz w:val="24"/>
              <w:szCs w:val="24"/>
              <w:lang w:val="en-CA" w:eastAsia="en-CA"/>
              <w14:ligatures w14:val="standardContextual"/>
            </w:rPr>
          </w:pPr>
          <w:hyperlink w:anchor="_Toc195597997" w:history="1">
            <w:r w:rsidRPr="00D77A6D">
              <w:rPr>
                <w:rStyle w:val="Hyperlink"/>
                <w:noProof/>
              </w:rPr>
              <w:t>3.1.3 Limitations on Use of AI Evidence</w:t>
            </w:r>
            <w:r>
              <w:rPr>
                <w:noProof/>
                <w:webHidden/>
              </w:rPr>
              <w:tab/>
            </w:r>
            <w:r>
              <w:rPr>
                <w:noProof/>
                <w:webHidden/>
              </w:rPr>
              <w:fldChar w:fldCharType="begin"/>
            </w:r>
            <w:r>
              <w:rPr>
                <w:noProof/>
                <w:webHidden/>
              </w:rPr>
              <w:instrText xml:space="preserve"> PAGEREF _Toc195597997 \h </w:instrText>
            </w:r>
            <w:r>
              <w:rPr>
                <w:noProof/>
                <w:webHidden/>
              </w:rPr>
            </w:r>
            <w:r>
              <w:rPr>
                <w:noProof/>
                <w:webHidden/>
              </w:rPr>
              <w:fldChar w:fldCharType="separate"/>
            </w:r>
            <w:r>
              <w:rPr>
                <w:noProof/>
                <w:webHidden/>
              </w:rPr>
              <w:t>61</w:t>
            </w:r>
            <w:r>
              <w:rPr>
                <w:noProof/>
                <w:webHidden/>
              </w:rPr>
              <w:fldChar w:fldCharType="end"/>
            </w:r>
          </w:hyperlink>
        </w:p>
        <w:p w14:paraId="61314C9B" w14:textId="11846382" w:rsidR="000B5505" w:rsidRDefault="000B5505">
          <w:pPr>
            <w:pStyle w:val="TOC3"/>
            <w:tabs>
              <w:tab w:val="right" w:leader="dot" w:pos="8630"/>
            </w:tabs>
            <w:rPr>
              <w:rFonts w:cstheme="minorBidi"/>
              <w:noProof/>
              <w:kern w:val="2"/>
              <w:sz w:val="24"/>
              <w:szCs w:val="24"/>
              <w:lang w:val="en-CA" w:eastAsia="en-CA"/>
              <w14:ligatures w14:val="standardContextual"/>
            </w:rPr>
          </w:pPr>
          <w:hyperlink w:anchor="_Toc195597998" w:history="1">
            <w:r w:rsidRPr="00D77A6D">
              <w:rPr>
                <w:rStyle w:val="Hyperlink"/>
                <w:noProof/>
              </w:rPr>
              <w:t>3.1.4 The Criminal Trial’s Ability to Ensure Inherent Reliability: AI and Evidentiary Gaps in the Obtaining a search warrant</w:t>
            </w:r>
            <w:r>
              <w:rPr>
                <w:noProof/>
                <w:webHidden/>
              </w:rPr>
              <w:tab/>
            </w:r>
            <w:r>
              <w:rPr>
                <w:noProof/>
                <w:webHidden/>
              </w:rPr>
              <w:fldChar w:fldCharType="begin"/>
            </w:r>
            <w:r>
              <w:rPr>
                <w:noProof/>
                <w:webHidden/>
              </w:rPr>
              <w:instrText xml:space="preserve"> PAGEREF _Toc195597998 \h </w:instrText>
            </w:r>
            <w:r>
              <w:rPr>
                <w:noProof/>
                <w:webHidden/>
              </w:rPr>
            </w:r>
            <w:r>
              <w:rPr>
                <w:noProof/>
                <w:webHidden/>
              </w:rPr>
              <w:fldChar w:fldCharType="separate"/>
            </w:r>
            <w:r>
              <w:rPr>
                <w:noProof/>
                <w:webHidden/>
              </w:rPr>
              <w:t>62</w:t>
            </w:r>
            <w:r>
              <w:rPr>
                <w:noProof/>
                <w:webHidden/>
              </w:rPr>
              <w:fldChar w:fldCharType="end"/>
            </w:r>
          </w:hyperlink>
        </w:p>
        <w:p w14:paraId="3B54BFCF" w14:textId="7DA12B4F" w:rsidR="000B5505" w:rsidRDefault="000B5505">
          <w:pPr>
            <w:pStyle w:val="TOC2"/>
            <w:tabs>
              <w:tab w:val="left" w:pos="960"/>
              <w:tab w:val="right" w:leader="dot" w:pos="8630"/>
            </w:tabs>
            <w:rPr>
              <w:rFonts w:cstheme="minorBidi"/>
              <w:noProof/>
              <w:kern w:val="2"/>
              <w:sz w:val="24"/>
              <w:szCs w:val="24"/>
              <w:lang w:val="en-CA" w:eastAsia="en-CA"/>
              <w14:ligatures w14:val="standardContextual"/>
            </w:rPr>
          </w:pPr>
          <w:hyperlink w:anchor="_Toc195597999" w:history="1">
            <w:r w:rsidRPr="00D77A6D">
              <w:rPr>
                <w:rStyle w:val="Hyperlink"/>
                <w:noProof/>
              </w:rPr>
              <w:t>3.2</w:t>
            </w:r>
            <w:r>
              <w:rPr>
                <w:rFonts w:cstheme="minorBidi"/>
                <w:noProof/>
                <w:kern w:val="2"/>
                <w:sz w:val="24"/>
                <w:szCs w:val="24"/>
                <w:lang w:val="en-CA" w:eastAsia="en-CA"/>
                <w14:ligatures w14:val="standardContextual"/>
              </w:rPr>
              <w:tab/>
            </w:r>
            <w:r w:rsidRPr="00D77A6D">
              <w:rPr>
                <w:rStyle w:val="Hyperlink"/>
                <w:noProof/>
              </w:rPr>
              <w:t>Procedural Fairness Challenges</w:t>
            </w:r>
            <w:r>
              <w:rPr>
                <w:noProof/>
                <w:webHidden/>
              </w:rPr>
              <w:tab/>
            </w:r>
            <w:r>
              <w:rPr>
                <w:noProof/>
                <w:webHidden/>
              </w:rPr>
              <w:fldChar w:fldCharType="begin"/>
            </w:r>
            <w:r>
              <w:rPr>
                <w:noProof/>
                <w:webHidden/>
              </w:rPr>
              <w:instrText xml:space="preserve"> PAGEREF _Toc195597999 \h </w:instrText>
            </w:r>
            <w:r>
              <w:rPr>
                <w:noProof/>
                <w:webHidden/>
              </w:rPr>
            </w:r>
            <w:r>
              <w:rPr>
                <w:noProof/>
                <w:webHidden/>
              </w:rPr>
              <w:fldChar w:fldCharType="separate"/>
            </w:r>
            <w:r>
              <w:rPr>
                <w:noProof/>
                <w:webHidden/>
              </w:rPr>
              <w:t>63</w:t>
            </w:r>
            <w:r>
              <w:rPr>
                <w:noProof/>
                <w:webHidden/>
              </w:rPr>
              <w:fldChar w:fldCharType="end"/>
            </w:r>
          </w:hyperlink>
        </w:p>
        <w:p w14:paraId="3D4F3873" w14:textId="4AD0BA56"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8000" w:history="1">
            <w:r w:rsidRPr="00D77A6D">
              <w:rPr>
                <w:rStyle w:val="Hyperlink"/>
                <w:noProof/>
              </w:rPr>
              <w:t>3.2.1</w:t>
            </w:r>
            <w:r>
              <w:rPr>
                <w:rFonts w:cstheme="minorBidi"/>
                <w:noProof/>
                <w:kern w:val="2"/>
                <w:sz w:val="24"/>
                <w:szCs w:val="24"/>
                <w:lang w:val="en-CA" w:eastAsia="en-CA"/>
                <w14:ligatures w14:val="standardContextual"/>
              </w:rPr>
              <w:tab/>
            </w:r>
            <w:r w:rsidRPr="00D77A6D">
              <w:rPr>
                <w:rStyle w:val="Hyperlink"/>
                <w:noProof/>
              </w:rPr>
              <w:t>Disclosure</w:t>
            </w:r>
            <w:r>
              <w:rPr>
                <w:noProof/>
                <w:webHidden/>
              </w:rPr>
              <w:tab/>
            </w:r>
            <w:r>
              <w:rPr>
                <w:noProof/>
                <w:webHidden/>
              </w:rPr>
              <w:fldChar w:fldCharType="begin"/>
            </w:r>
            <w:r>
              <w:rPr>
                <w:noProof/>
                <w:webHidden/>
              </w:rPr>
              <w:instrText xml:space="preserve"> PAGEREF _Toc195598000 \h </w:instrText>
            </w:r>
            <w:r>
              <w:rPr>
                <w:noProof/>
                <w:webHidden/>
              </w:rPr>
            </w:r>
            <w:r>
              <w:rPr>
                <w:noProof/>
                <w:webHidden/>
              </w:rPr>
              <w:fldChar w:fldCharType="separate"/>
            </w:r>
            <w:r>
              <w:rPr>
                <w:noProof/>
                <w:webHidden/>
              </w:rPr>
              <w:t>63</w:t>
            </w:r>
            <w:r>
              <w:rPr>
                <w:noProof/>
                <w:webHidden/>
              </w:rPr>
              <w:fldChar w:fldCharType="end"/>
            </w:r>
          </w:hyperlink>
        </w:p>
        <w:p w14:paraId="23355BDC" w14:textId="5CD87225"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8001" w:history="1">
            <w:r w:rsidRPr="00D77A6D">
              <w:rPr>
                <w:rStyle w:val="Hyperlink"/>
                <w:noProof/>
              </w:rPr>
              <w:t>3.2.2</w:t>
            </w:r>
            <w:r>
              <w:rPr>
                <w:rFonts w:cstheme="minorBidi"/>
                <w:noProof/>
                <w:kern w:val="2"/>
                <w:sz w:val="24"/>
                <w:szCs w:val="24"/>
                <w:lang w:val="en-CA" w:eastAsia="en-CA"/>
                <w14:ligatures w14:val="standardContextual"/>
              </w:rPr>
              <w:tab/>
            </w:r>
            <w:r w:rsidRPr="00D77A6D">
              <w:rPr>
                <w:rStyle w:val="Hyperlink"/>
                <w:noProof/>
              </w:rPr>
              <w:t>Proper Characterization of AI Evidence</w:t>
            </w:r>
            <w:r>
              <w:rPr>
                <w:noProof/>
                <w:webHidden/>
              </w:rPr>
              <w:tab/>
            </w:r>
            <w:r>
              <w:rPr>
                <w:noProof/>
                <w:webHidden/>
              </w:rPr>
              <w:fldChar w:fldCharType="begin"/>
            </w:r>
            <w:r>
              <w:rPr>
                <w:noProof/>
                <w:webHidden/>
              </w:rPr>
              <w:instrText xml:space="preserve"> PAGEREF _Toc195598001 \h </w:instrText>
            </w:r>
            <w:r>
              <w:rPr>
                <w:noProof/>
                <w:webHidden/>
              </w:rPr>
            </w:r>
            <w:r>
              <w:rPr>
                <w:noProof/>
                <w:webHidden/>
              </w:rPr>
              <w:fldChar w:fldCharType="separate"/>
            </w:r>
            <w:r>
              <w:rPr>
                <w:noProof/>
                <w:webHidden/>
              </w:rPr>
              <w:t>66</w:t>
            </w:r>
            <w:r>
              <w:rPr>
                <w:noProof/>
                <w:webHidden/>
              </w:rPr>
              <w:fldChar w:fldCharType="end"/>
            </w:r>
          </w:hyperlink>
        </w:p>
        <w:p w14:paraId="5111D6B8" w14:textId="6630D758"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8002" w:history="1">
            <w:r w:rsidRPr="00D77A6D">
              <w:rPr>
                <w:rStyle w:val="Hyperlink"/>
                <w:noProof/>
              </w:rPr>
              <w:t>3.2.3</w:t>
            </w:r>
            <w:r>
              <w:rPr>
                <w:rFonts w:cstheme="minorBidi"/>
                <w:noProof/>
                <w:kern w:val="2"/>
                <w:sz w:val="24"/>
                <w:szCs w:val="24"/>
                <w:lang w:val="en-CA" w:eastAsia="en-CA"/>
                <w14:ligatures w14:val="standardContextual"/>
              </w:rPr>
              <w:tab/>
            </w:r>
            <w:r w:rsidRPr="00D77A6D">
              <w:rPr>
                <w:rStyle w:val="Hyperlink"/>
                <w:noProof/>
              </w:rPr>
              <w:t>Hearing Type</w:t>
            </w:r>
            <w:r>
              <w:rPr>
                <w:noProof/>
                <w:webHidden/>
              </w:rPr>
              <w:tab/>
            </w:r>
            <w:r>
              <w:rPr>
                <w:noProof/>
                <w:webHidden/>
              </w:rPr>
              <w:fldChar w:fldCharType="begin"/>
            </w:r>
            <w:r>
              <w:rPr>
                <w:noProof/>
                <w:webHidden/>
              </w:rPr>
              <w:instrText xml:space="preserve"> PAGEREF _Toc195598002 \h </w:instrText>
            </w:r>
            <w:r>
              <w:rPr>
                <w:noProof/>
                <w:webHidden/>
              </w:rPr>
            </w:r>
            <w:r>
              <w:rPr>
                <w:noProof/>
                <w:webHidden/>
              </w:rPr>
              <w:fldChar w:fldCharType="separate"/>
            </w:r>
            <w:r>
              <w:rPr>
                <w:noProof/>
                <w:webHidden/>
              </w:rPr>
              <w:t>68</w:t>
            </w:r>
            <w:r>
              <w:rPr>
                <w:noProof/>
                <w:webHidden/>
              </w:rPr>
              <w:fldChar w:fldCharType="end"/>
            </w:r>
          </w:hyperlink>
        </w:p>
        <w:p w14:paraId="34673BD8" w14:textId="25F23162" w:rsidR="000B5505" w:rsidRDefault="000B5505">
          <w:pPr>
            <w:pStyle w:val="TOC2"/>
            <w:tabs>
              <w:tab w:val="left" w:pos="960"/>
              <w:tab w:val="right" w:leader="dot" w:pos="8630"/>
            </w:tabs>
            <w:rPr>
              <w:rFonts w:cstheme="minorBidi"/>
              <w:noProof/>
              <w:kern w:val="2"/>
              <w:sz w:val="24"/>
              <w:szCs w:val="24"/>
              <w:lang w:val="en-CA" w:eastAsia="en-CA"/>
              <w14:ligatures w14:val="standardContextual"/>
            </w:rPr>
          </w:pPr>
          <w:hyperlink w:anchor="_Toc195598003" w:history="1">
            <w:r w:rsidRPr="00D77A6D">
              <w:rPr>
                <w:rStyle w:val="Hyperlink"/>
                <w:noProof/>
              </w:rPr>
              <w:t>3.3</w:t>
            </w:r>
            <w:r>
              <w:rPr>
                <w:rFonts w:cstheme="minorBidi"/>
                <w:noProof/>
                <w:kern w:val="2"/>
                <w:sz w:val="24"/>
                <w:szCs w:val="24"/>
                <w:lang w:val="en-CA" w:eastAsia="en-CA"/>
                <w14:ligatures w14:val="standardContextual"/>
              </w:rPr>
              <w:tab/>
            </w:r>
            <w:r w:rsidRPr="00D77A6D">
              <w:rPr>
                <w:rStyle w:val="Hyperlink"/>
                <w:noProof/>
              </w:rPr>
              <w:t>Accessibility Issues Impacting Procedural Fairness</w:t>
            </w:r>
            <w:r>
              <w:rPr>
                <w:noProof/>
                <w:webHidden/>
              </w:rPr>
              <w:tab/>
            </w:r>
            <w:r>
              <w:rPr>
                <w:noProof/>
                <w:webHidden/>
              </w:rPr>
              <w:fldChar w:fldCharType="begin"/>
            </w:r>
            <w:r>
              <w:rPr>
                <w:noProof/>
                <w:webHidden/>
              </w:rPr>
              <w:instrText xml:space="preserve"> PAGEREF _Toc195598003 \h </w:instrText>
            </w:r>
            <w:r>
              <w:rPr>
                <w:noProof/>
                <w:webHidden/>
              </w:rPr>
            </w:r>
            <w:r>
              <w:rPr>
                <w:noProof/>
                <w:webHidden/>
              </w:rPr>
              <w:fldChar w:fldCharType="separate"/>
            </w:r>
            <w:r>
              <w:rPr>
                <w:noProof/>
                <w:webHidden/>
              </w:rPr>
              <w:t>70</w:t>
            </w:r>
            <w:r>
              <w:rPr>
                <w:noProof/>
                <w:webHidden/>
              </w:rPr>
              <w:fldChar w:fldCharType="end"/>
            </w:r>
          </w:hyperlink>
        </w:p>
        <w:p w14:paraId="776F8FA1" w14:textId="1274FA64"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8004" w:history="1">
            <w:r w:rsidRPr="00D77A6D">
              <w:rPr>
                <w:rStyle w:val="Hyperlink"/>
                <w:noProof/>
              </w:rPr>
              <w:t>3.3.1</w:t>
            </w:r>
            <w:r>
              <w:rPr>
                <w:rFonts w:cstheme="minorBidi"/>
                <w:noProof/>
                <w:kern w:val="2"/>
                <w:sz w:val="24"/>
                <w:szCs w:val="24"/>
                <w:lang w:val="en-CA" w:eastAsia="en-CA"/>
                <w14:ligatures w14:val="standardContextual"/>
              </w:rPr>
              <w:tab/>
            </w:r>
            <w:r w:rsidRPr="00D77A6D">
              <w:rPr>
                <w:rStyle w:val="Hyperlink"/>
                <w:noProof/>
              </w:rPr>
              <w:t>Technical complexity and explainability</w:t>
            </w:r>
            <w:r>
              <w:rPr>
                <w:noProof/>
                <w:webHidden/>
              </w:rPr>
              <w:tab/>
            </w:r>
            <w:r>
              <w:rPr>
                <w:noProof/>
                <w:webHidden/>
              </w:rPr>
              <w:fldChar w:fldCharType="begin"/>
            </w:r>
            <w:r>
              <w:rPr>
                <w:noProof/>
                <w:webHidden/>
              </w:rPr>
              <w:instrText xml:space="preserve"> PAGEREF _Toc195598004 \h </w:instrText>
            </w:r>
            <w:r>
              <w:rPr>
                <w:noProof/>
                <w:webHidden/>
              </w:rPr>
            </w:r>
            <w:r>
              <w:rPr>
                <w:noProof/>
                <w:webHidden/>
              </w:rPr>
              <w:fldChar w:fldCharType="separate"/>
            </w:r>
            <w:r>
              <w:rPr>
                <w:noProof/>
                <w:webHidden/>
              </w:rPr>
              <w:t>70</w:t>
            </w:r>
            <w:r>
              <w:rPr>
                <w:noProof/>
                <w:webHidden/>
              </w:rPr>
              <w:fldChar w:fldCharType="end"/>
            </w:r>
          </w:hyperlink>
        </w:p>
        <w:p w14:paraId="0DE5FC3E" w14:textId="0BC0A98E"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8005" w:history="1">
            <w:r w:rsidRPr="00D77A6D">
              <w:rPr>
                <w:rStyle w:val="Hyperlink"/>
                <w:noProof/>
              </w:rPr>
              <w:t>3.3.2</w:t>
            </w:r>
            <w:r>
              <w:rPr>
                <w:rFonts w:cstheme="minorBidi"/>
                <w:noProof/>
                <w:kern w:val="2"/>
                <w:sz w:val="24"/>
                <w:szCs w:val="24"/>
                <w:lang w:val="en-CA" w:eastAsia="en-CA"/>
                <w14:ligatures w14:val="standardContextual"/>
              </w:rPr>
              <w:tab/>
            </w:r>
            <w:r w:rsidRPr="00D77A6D">
              <w:rPr>
                <w:rStyle w:val="Hyperlink"/>
                <w:noProof/>
              </w:rPr>
              <w:t>Resource Constraints and Other Disadvantages</w:t>
            </w:r>
            <w:r>
              <w:rPr>
                <w:noProof/>
                <w:webHidden/>
              </w:rPr>
              <w:tab/>
            </w:r>
            <w:r>
              <w:rPr>
                <w:noProof/>
                <w:webHidden/>
              </w:rPr>
              <w:fldChar w:fldCharType="begin"/>
            </w:r>
            <w:r>
              <w:rPr>
                <w:noProof/>
                <w:webHidden/>
              </w:rPr>
              <w:instrText xml:space="preserve"> PAGEREF _Toc195598005 \h </w:instrText>
            </w:r>
            <w:r>
              <w:rPr>
                <w:noProof/>
                <w:webHidden/>
              </w:rPr>
            </w:r>
            <w:r>
              <w:rPr>
                <w:noProof/>
                <w:webHidden/>
              </w:rPr>
              <w:fldChar w:fldCharType="separate"/>
            </w:r>
            <w:r>
              <w:rPr>
                <w:noProof/>
                <w:webHidden/>
              </w:rPr>
              <w:t>71</w:t>
            </w:r>
            <w:r>
              <w:rPr>
                <w:noProof/>
                <w:webHidden/>
              </w:rPr>
              <w:fldChar w:fldCharType="end"/>
            </w:r>
          </w:hyperlink>
        </w:p>
        <w:p w14:paraId="4B0A879A" w14:textId="118E69FA" w:rsidR="000B5505" w:rsidRDefault="000B5505">
          <w:pPr>
            <w:pStyle w:val="TOC3"/>
            <w:tabs>
              <w:tab w:val="left" w:pos="1200"/>
              <w:tab w:val="right" w:leader="dot" w:pos="8630"/>
            </w:tabs>
            <w:rPr>
              <w:rFonts w:cstheme="minorBidi"/>
              <w:noProof/>
              <w:kern w:val="2"/>
              <w:sz w:val="24"/>
              <w:szCs w:val="24"/>
              <w:lang w:val="en-CA" w:eastAsia="en-CA"/>
              <w14:ligatures w14:val="standardContextual"/>
            </w:rPr>
          </w:pPr>
          <w:hyperlink w:anchor="_Toc195598006" w:history="1">
            <w:r w:rsidRPr="00D77A6D">
              <w:rPr>
                <w:rStyle w:val="Hyperlink"/>
                <w:rFonts w:eastAsia="Calibri"/>
                <w:noProof/>
              </w:rPr>
              <w:t>3.3.3</w:t>
            </w:r>
            <w:r>
              <w:rPr>
                <w:rFonts w:cstheme="minorBidi"/>
                <w:noProof/>
                <w:kern w:val="2"/>
                <w:sz w:val="24"/>
                <w:szCs w:val="24"/>
                <w:lang w:val="en-CA" w:eastAsia="en-CA"/>
                <w14:ligatures w14:val="standardContextual"/>
              </w:rPr>
              <w:tab/>
            </w:r>
            <w:r w:rsidRPr="00D77A6D">
              <w:rPr>
                <w:rStyle w:val="Hyperlink"/>
                <w:rFonts w:eastAsia="Calibri"/>
                <w:noProof/>
              </w:rPr>
              <w:t>Appeal Rights and AI</w:t>
            </w:r>
            <w:r>
              <w:rPr>
                <w:noProof/>
                <w:webHidden/>
              </w:rPr>
              <w:tab/>
            </w:r>
            <w:r>
              <w:rPr>
                <w:noProof/>
                <w:webHidden/>
              </w:rPr>
              <w:fldChar w:fldCharType="begin"/>
            </w:r>
            <w:r>
              <w:rPr>
                <w:noProof/>
                <w:webHidden/>
              </w:rPr>
              <w:instrText xml:space="preserve"> PAGEREF _Toc195598006 \h </w:instrText>
            </w:r>
            <w:r>
              <w:rPr>
                <w:noProof/>
                <w:webHidden/>
              </w:rPr>
            </w:r>
            <w:r>
              <w:rPr>
                <w:noProof/>
                <w:webHidden/>
              </w:rPr>
              <w:fldChar w:fldCharType="separate"/>
            </w:r>
            <w:r>
              <w:rPr>
                <w:noProof/>
                <w:webHidden/>
              </w:rPr>
              <w:t>72</w:t>
            </w:r>
            <w:r>
              <w:rPr>
                <w:noProof/>
                <w:webHidden/>
              </w:rPr>
              <w:fldChar w:fldCharType="end"/>
            </w:r>
          </w:hyperlink>
        </w:p>
        <w:p w14:paraId="6E00F7CF" w14:textId="784C2929" w:rsidR="000B5505" w:rsidRDefault="000B5505">
          <w:pPr>
            <w:pStyle w:val="TOC1"/>
            <w:rPr>
              <w:rFonts w:eastAsiaTheme="minorEastAsia" w:cstheme="minorBidi"/>
              <w:noProof/>
              <w:kern w:val="2"/>
              <w:lang w:eastAsia="en-CA"/>
              <w14:ligatures w14:val="standardContextual"/>
            </w:rPr>
          </w:pPr>
          <w:hyperlink w:anchor="_Toc195598007" w:history="1">
            <w:r w:rsidRPr="00D77A6D">
              <w:rPr>
                <w:rStyle w:val="Hyperlink"/>
                <w:noProof/>
              </w:rPr>
              <w:t>4.</w:t>
            </w:r>
            <w:r>
              <w:rPr>
                <w:rFonts w:eastAsiaTheme="minorEastAsia" w:cstheme="minorBidi"/>
                <w:noProof/>
                <w:kern w:val="2"/>
                <w:lang w:eastAsia="en-CA"/>
                <w14:ligatures w14:val="standardContextual"/>
              </w:rPr>
              <w:tab/>
            </w:r>
            <w:r w:rsidRPr="00D77A6D">
              <w:rPr>
                <w:rStyle w:val="Hyperlink"/>
                <w:noProof/>
              </w:rPr>
              <w:t>Next Steps and Consultation Process</w:t>
            </w:r>
            <w:r>
              <w:rPr>
                <w:noProof/>
                <w:webHidden/>
              </w:rPr>
              <w:tab/>
            </w:r>
            <w:r>
              <w:rPr>
                <w:noProof/>
                <w:webHidden/>
              </w:rPr>
              <w:fldChar w:fldCharType="begin"/>
            </w:r>
            <w:r>
              <w:rPr>
                <w:noProof/>
                <w:webHidden/>
              </w:rPr>
              <w:instrText xml:space="preserve"> PAGEREF _Toc195598007 \h </w:instrText>
            </w:r>
            <w:r>
              <w:rPr>
                <w:noProof/>
                <w:webHidden/>
              </w:rPr>
            </w:r>
            <w:r>
              <w:rPr>
                <w:noProof/>
                <w:webHidden/>
              </w:rPr>
              <w:fldChar w:fldCharType="separate"/>
            </w:r>
            <w:r>
              <w:rPr>
                <w:noProof/>
                <w:webHidden/>
              </w:rPr>
              <w:t>78</w:t>
            </w:r>
            <w:r>
              <w:rPr>
                <w:noProof/>
                <w:webHidden/>
              </w:rPr>
              <w:fldChar w:fldCharType="end"/>
            </w:r>
          </w:hyperlink>
        </w:p>
        <w:p w14:paraId="362FAA60" w14:textId="77D4565E" w:rsidR="000B5505" w:rsidRDefault="000B5505">
          <w:pPr>
            <w:pStyle w:val="TOC2"/>
            <w:tabs>
              <w:tab w:val="left" w:pos="960"/>
              <w:tab w:val="right" w:leader="dot" w:pos="8630"/>
            </w:tabs>
            <w:rPr>
              <w:rFonts w:cstheme="minorBidi"/>
              <w:noProof/>
              <w:kern w:val="2"/>
              <w:sz w:val="24"/>
              <w:szCs w:val="24"/>
              <w:lang w:val="en-CA" w:eastAsia="en-CA"/>
              <w14:ligatures w14:val="standardContextual"/>
            </w:rPr>
          </w:pPr>
          <w:hyperlink w:anchor="_Toc195598008" w:history="1">
            <w:r w:rsidRPr="00D77A6D">
              <w:rPr>
                <w:rStyle w:val="Hyperlink"/>
                <w:rFonts w:ascii="Calibri" w:eastAsia="Times New Roman" w:hAnsi="Calibri" w:cs="Calibri"/>
                <w:noProof/>
                <w:lang w:eastAsia="en-CA"/>
              </w:rPr>
              <w:t xml:space="preserve">4.1 </w:t>
            </w:r>
            <w:r>
              <w:rPr>
                <w:rFonts w:cstheme="minorBidi"/>
                <w:noProof/>
                <w:kern w:val="2"/>
                <w:sz w:val="24"/>
                <w:szCs w:val="24"/>
                <w:lang w:val="en-CA" w:eastAsia="en-CA"/>
                <w14:ligatures w14:val="standardContextual"/>
              </w:rPr>
              <w:tab/>
            </w:r>
            <w:r w:rsidRPr="00D77A6D">
              <w:rPr>
                <w:rStyle w:val="Hyperlink"/>
                <w:rFonts w:ascii="Calibri" w:eastAsia="Times New Roman" w:hAnsi="Calibri" w:cs="Calibri"/>
                <w:noProof/>
                <w:lang w:eastAsia="en-CA"/>
              </w:rPr>
              <w:t>Consultation Process</w:t>
            </w:r>
            <w:r>
              <w:rPr>
                <w:noProof/>
                <w:webHidden/>
              </w:rPr>
              <w:tab/>
            </w:r>
            <w:r>
              <w:rPr>
                <w:noProof/>
                <w:webHidden/>
              </w:rPr>
              <w:fldChar w:fldCharType="begin"/>
            </w:r>
            <w:r>
              <w:rPr>
                <w:noProof/>
                <w:webHidden/>
              </w:rPr>
              <w:instrText xml:space="preserve"> PAGEREF _Toc195598008 \h </w:instrText>
            </w:r>
            <w:r>
              <w:rPr>
                <w:noProof/>
                <w:webHidden/>
              </w:rPr>
            </w:r>
            <w:r>
              <w:rPr>
                <w:noProof/>
                <w:webHidden/>
              </w:rPr>
              <w:fldChar w:fldCharType="separate"/>
            </w:r>
            <w:r>
              <w:rPr>
                <w:noProof/>
                <w:webHidden/>
              </w:rPr>
              <w:t>78</w:t>
            </w:r>
            <w:r>
              <w:rPr>
                <w:noProof/>
                <w:webHidden/>
              </w:rPr>
              <w:fldChar w:fldCharType="end"/>
            </w:r>
          </w:hyperlink>
        </w:p>
        <w:p w14:paraId="5DA7E72F" w14:textId="6824A760" w:rsidR="000B5505" w:rsidRDefault="000B5505">
          <w:pPr>
            <w:pStyle w:val="TOC1"/>
            <w:rPr>
              <w:rFonts w:eastAsiaTheme="minorEastAsia" w:cstheme="minorBidi"/>
              <w:noProof/>
              <w:kern w:val="2"/>
              <w:lang w:eastAsia="en-CA"/>
              <w14:ligatures w14:val="standardContextual"/>
            </w:rPr>
          </w:pPr>
          <w:hyperlink w:anchor="_Toc195598009" w:history="1">
            <w:r w:rsidRPr="00D77A6D">
              <w:rPr>
                <w:rStyle w:val="Hyperlink"/>
                <w:noProof/>
              </w:rPr>
              <w:t>5.</w:t>
            </w:r>
            <w:r>
              <w:rPr>
                <w:rFonts w:eastAsiaTheme="minorEastAsia" w:cstheme="minorBidi"/>
                <w:noProof/>
                <w:kern w:val="2"/>
                <w:lang w:eastAsia="en-CA"/>
                <w14:ligatures w14:val="standardContextual"/>
              </w:rPr>
              <w:tab/>
            </w:r>
            <w:r w:rsidRPr="00D77A6D">
              <w:rPr>
                <w:rStyle w:val="Hyperlink"/>
                <w:noProof/>
              </w:rPr>
              <w:t>Endnotes</w:t>
            </w:r>
            <w:r>
              <w:rPr>
                <w:noProof/>
                <w:webHidden/>
              </w:rPr>
              <w:tab/>
            </w:r>
            <w:r>
              <w:rPr>
                <w:noProof/>
                <w:webHidden/>
              </w:rPr>
              <w:fldChar w:fldCharType="begin"/>
            </w:r>
            <w:r>
              <w:rPr>
                <w:noProof/>
                <w:webHidden/>
              </w:rPr>
              <w:instrText xml:space="preserve"> PAGEREF _Toc195598009 \h </w:instrText>
            </w:r>
            <w:r>
              <w:rPr>
                <w:noProof/>
                <w:webHidden/>
              </w:rPr>
            </w:r>
            <w:r>
              <w:rPr>
                <w:noProof/>
                <w:webHidden/>
              </w:rPr>
              <w:fldChar w:fldCharType="separate"/>
            </w:r>
            <w:r>
              <w:rPr>
                <w:noProof/>
                <w:webHidden/>
              </w:rPr>
              <w:t>80</w:t>
            </w:r>
            <w:r>
              <w:rPr>
                <w:noProof/>
                <w:webHidden/>
              </w:rPr>
              <w:fldChar w:fldCharType="end"/>
            </w:r>
          </w:hyperlink>
        </w:p>
        <w:p w14:paraId="2320CD9D" w14:textId="0D5CECC4" w:rsidR="00DC373F" w:rsidRPr="00D6562E" w:rsidRDefault="00DC373F">
          <w:r w:rsidRPr="00D6562E">
            <w:rPr>
              <w:b/>
              <w:bCs/>
              <w:noProof/>
            </w:rPr>
            <w:fldChar w:fldCharType="end"/>
          </w:r>
        </w:p>
      </w:sdtContent>
    </w:sdt>
    <w:p w14:paraId="3C7CC7D1" w14:textId="6D9EF7A7" w:rsidR="00975C7A" w:rsidRPr="00D6562E" w:rsidRDefault="00975C7A">
      <w:r w:rsidRPr="00D6562E">
        <w:br w:type="page"/>
      </w:r>
    </w:p>
    <w:p w14:paraId="1A0A7738" w14:textId="77777777" w:rsidR="00564FA0" w:rsidRPr="00D6562E" w:rsidRDefault="00E90491" w:rsidP="0069073E">
      <w:pPr>
        <w:pStyle w:val="Heading1"/>
        <w:numPr>
          <w:ilvl w:val="0"/>
          <w:numId w:val="16"/>
        </w:numPr>
        <w:rPr>
          <w:rFonts w:asciiTheme="minorHAnsi" w:hAnsiTheme="minorHAnsi" w:cstheme="minorHAnsi"/>
        </w:rPr>
      </w:pPr>
      <w:bookmarkStart w:id="0" w:name="_Toc176724447"/>
      <w:bookmarkStart w:id="1" w:name="_Toc195597970"/>
      <w:r w:rsidRPr="00D6562E">
        <w:rPr>
          <w:rFonts w:asciiTheme="minorHAnsi" w:eastAsia="Arial" w:hAnsiTheme="minorHAnsi" w:cstheme="minorHAnsi"/>
        </w:rPr>
        <w:lastRenderedPageBreak/>
        <w:t>Introduction</w:t>
      </w:r>
      <w:bookmarkEnd w:id="0"/>
      <w:bookmarkEnd w:id="1"/>
      <w:r w:rsidRPr="00D6562E">
        <w:rPr>
          <w:rFonts w:asciiTheme="minorHAnsi" w:eastAsia="Arial" w:hAnsiTheme="minorHAnsi" w:cstheme="minorHAnsi"/>
        </w:rPr>
        <w:t xml:space="preserve"> </w:t>
      </w:r>
    </w:p>
    <w:p w14:paraId="1E8C4E1A" w14:textId="77777777" w:rsidR="00564FA0" w:rsidRPr="00D6562E" w:rsidRDefault="00564FA0" w:rsidP="0069073E"/>
    <w:p w14:paraId="079CFC1D" w14:textId="02E3C30C" w:rsidR="00564FA0" w:rsidRPr="00D6562E" w:rsidRDefault="00E90491" w:rsidP="0069073E">
      <w:pPr>
        <w:pStyle w:val="Heading2"/>
        <w:rPr>
          <w:rFonts w:asciiTheme="minorHAnsi" w:hAnsiTheme="minorHAnsi" w:cstheme="minorHAnsi"/>
        </w:rPr>
      </w:pPr>
      <w:bookmarkStart w:id="2" w:name="_heading=h.30j0zll" w:colFirst="0" w:colLast="0"/>
      <w:bookmarkStart w:id="3" w:name="_Toc176724448"/>
      <w:bookmarkStart w:id="4" w:name="_Toc195597971"/>
      <w:bookmarkEnd w:id="2"/>
      <w:r w:rsidRPr="00D6562E">
        <w:rPr>
          <w:rFonts w:asciiTheme="minorHAnsi" w:hAnsiTheme="minorHAnsi" w:cstheme="minorHAnsi"/>
        </w:rPr>
        <w:t>1.1</w:t>
      </w:r>
      <w:r w:rsidRPr="00D6562E">
        <w:rPr>
          <w:rFonts w:asciiTheme="minorHAnsi" w:hAnsiTheme="minorHAnsi" w:cstheme="minorHAnsi"/>
        </w:rPr>
        <w:tab/>
        <w:t>The LCO</w:t>
      </w:r>
      <w:r w:rsidR="00B968B7">
        <w:rPr>
          <w:rFonts w:asciiTheme="minorHAnsi" w:hAnsiTheme="minorHAnsi" w:cstheme="minorHAnsi"/>
        </w:rPr>
        <w:t xml:space="preserve"> </w:t>
      </w:r>
      <w:r w:rsidRPr="00D6562E">
        <w:rPr>
          <w:rFonts w:asciiTheme="minorHAnsi" w:hAnsiTheme="minorHAnsi" w:cstheme="minorHAnsi"/>
        </w:rPr>
        <w:t>AI in Criminal Justice Project</w:t>
      </w:r>
      <w:bookmarkEnd w:id="3"/>
      <w:bookmarkEnd w:id="4"/>
    </w:p>
    <w:p w14:paraId="2C808EA5" w14:textId="77777777" w:rsidR="004B14EA" w:rsidRPr="00D6562E" w:rsidRDefault="004B14EA" w:rsidP="0069073E"/>
    <w:p w14:paraId="4CE069F1" w14:textId="716D0CA2" w:rsidR="001C3C23" w:rsidRPr="001C3C23" w:rsidRDefault="001C3C23" w:rsidP="001C3C23">
      <w:pPr>
        <w:spacing w:after="160" w:line="259" w:lineRule="auto"/>
        <w:jc w:val="both"/>
        <w:rPr>
          <w:rFonts w:ascii="Calibri" w:eastAsia="Calibri" w:hAnsi="Calibri" w:cs="Calibri"/>
          <w:lang w:eastAsia="en-CA"/>
        </w:rPr>
      </w:pPr>
      <w:bookmarkStart w:id="5" w:name="_Hlk176719301"/>
      <w:bookmarkStart w:id="6" w:name="_Hlk183456831"/>
      <w:r w:rsidRPr="001C3C23">
        <w:rPr>
          <w:rFonts w:ascii="Calibri" w:eastAsia="Calibri" w:hAnsi="Calibri" w:cs="Calibri"/>
          <w:lang w:eastAsia="en-CA"/>
        </w:rPr>
        <w:t xml:space="preserve">The Law Commission of Ontario’s (LCO) </w:t>
      </w:r>
      <w:hyperlink r:id="rId26" w:history="1">
        <w:r w:rsidRPr="00DB5D90">
          <w:rPr>
            <w:rStyle w:val="Hyperlink"/>
            <w:rFonts w:ascii="Calibri" w:eastAsia="Calibri" w:hAnsi="Calibri" w:cs="Calibri"/>
            <w:lang w:eastAsia="en-CA"/>
          </w:rPr>
          <w:t>AI in Criminal Justice Project</w:t>
        </w:r>
      </w:hyperlink>
      <w:r w:rsidRPr="001C3C23">
        <w:rPr>
          <w:rFonts w:ascii="Calibri" w:eastAsia="Calibri" w:hAnsi="Calibri" w:cs="Calibri"/>
          <w:lang w:eastAsia="en-CA"/>
        </w:rPr>
        <w:t xml:space="preserve"> is a groundbreaking survey and analysis of the opportunities, risks, and law reform issues regarding artificial intelligence (AI) in the Canadian criminal justice system.</w:t>
      </w:r>
    </w:p>
    <w:p w14:paraId="584D1AE4" w14:textId="77777777" w:rsidR="001C3C23" w:rsidRPr="001C3C23" w:rsidRDefault="001C3C23" w:rsidP="001C3C23">
      <w:pPr>
        <w:spacing w:after="160" w:line="259" w:lineRule="auto"/>
        <w:jc w:val="both"/>
        <w:rPr>
          <w:rFonts w:ascii="Calibri" w:eastAsia="Calibri" w:hAnsi="Calibri" w:cs="Calibri"/>
          <w:lang w:eastAsia="en-CA"/>
        </w:rPr>
      </w:pPr>
      <w:r w:rsidRPr="001C3C23">
        <w:rPr>
          <w:rFonts w:ascii="Calibri" w:eastAsia="Calibri" w:hAnsi="Calibri" w:cs="Calibri"/>
          <w:lang w:eastAsia="en-CA"/>
        </w:rPr>
        <w:t xml:space="preserve">Many AI technologies have potential to improve public safety, improve police investigations, and improve the efficiency and fairness of criminal proceedings. Many AI technologies also appear to have potential to address, at least in part, long-standing concerns about racialized criminal justice and access to justice. </w:t>
      </w:r>
    </w:p>
    <w:p w14:paraId="210D7C97" w14:textId="77777777" w:rsidR="001C3C23" w:rsidRPr="001C3C23" w:rsidRDefault="001C3C23" w:rsidP="001C3C23">
      <w:pPr>
        <w:spacing w:after="160" w:line="259" w:lineRule="auto"/>
        <w:jc w:val="both"/>
        <w:rPr>
          <w:rFonts w:ascii="Calibri" w:eastAsia="Calibri" w:hAnsi="Calibri" w:cs="Calibri"/>
          <w:lang w:eastAsia="en-CA"/>
        </w:rPr>
      </w:pPr>
      <w:r w:rsidRPr="001C3C23">
        <w:rPr>
          <w:rFonts w:ascii="Calibri" w:eastAsia="Calibri" w:hAnsi="Calibri" w:cs="Calibri"/>
          <w:lang w:eastAsia="en-CA"/>
        </w:rPr>
        <w:t xml:space="preserve">At the same time, the use of AI in criminal justice is controversial. Technologies such as predictive policing, facial recognition and biometric surveillance, and bail/sentencing algorithms have been criticized in many jurisdictions for their impact on racialized and low-income communities, constitutional rights, human rights, criminal procedure, criminal common law principles, privacy, and access to justice. </w:t>
      </w:r>
    </w:p>
    <w:p w14:paraId="1D716594" w14:textId="77777777" w:rsidR="001C3C23" w:rsidRPr="001C3C23" w:rsidRDefault="001C3C23" w:rsidP="001C3C23">
      <w:pPr>
        <w:spacing w:after="160" w:line="259" w:lineRule="auto"/>
        <w:jc w:val="both"/>
        <w:rPr>
          <w:rFonts w:ascii="Calibri" w:eastAsia="Calibri" w:hAnsi="Calibri" w:cs="Calibri"/>
          <w:lang w:eastAsia="en-CA"/>
        </w:rPr>
      </w:pPr>
      <w:r w:rsidRPr="001C3C23">
        <w:rPr>
          <w:rFonts w:ascii="Calibri" w:eastAsia="Calibri" w:hAnsi="Calibri" w:cs="Calibri"/>
          <w:lang w:eastAsia="en-CA"/>
        </w:rPr>
        <w:t>The LCO AI in Criminal Justice Project is a unique collaboration of leading practitioners and experts from across the Canadian criminal justice system. Project authors and advisors include representatives from governments, police services, Crowns, the criminal defence bar, courts administration, legal aid, human rights commissions, civil society organizations, and academics.</w:t>
      </w:r>
    </w:p>
    <w:p w14:paraId="49438527" w14:textId="7F5C4238" w:rsidR="00630390" w:rsidRPr="00630390" w:rsidRDefault="001C3C23" w:rsidP="001C3C23">
      <w:pPr>
        <w:spacing w:after="160" w:line="259" w:lineRule="auto"/>
        <w:jc w:val="both"/>
        <w:rPr>
          <w:rFonts w:ascii="Calibri" w:eastAsia="Calibri" w:hAnsi="Calibri" w:cs="Calibri"/>
          <w:lang w:eastAsia="en-CA"/>
        </w:rPr>
      </w:pPr>
      <w:r w:rsidRPr="001C3C23">
        <w:rPr>
          <w:rFonts w:ascii="Calibri" w:eastAsia="Calibri" w:hAnsi="Calibri" w:cs="Calibri"/>
          <w:lang w:eastAsia="en-CA"/>
        </w:rPr>
        <w:t xml:space="preserve">Working together, the LCO and our collaborators believe this project is an important contribution towards developing “Trustworthy Criminal AI” in the Canadian justice system. Our collective goal is </w:t>
      </w:r>
      <w:r w:rsidR="00EA5927">
        <w:rPr>
          <w:rFonts w:ascii="Calibri" w:eastAsia="Calibri" w:hAnsi="Calibri" w:cs="Calibri"/>
          <w:lang w:eastAsia="en-CA"/>
        </w:rPr>
        <w:t xml:space="preserve">to </w:t>
      </w:r>
      <w:r w:rsidRPr="001C3C23">
        <w:rPr>
          <w:rFonts w:ascii="Calibri" w:eastAsia="Calibri" w:hAnsi="Calibri" w:cs="Calibri"/>
          <w:lang w:eastAsia="en-CA"/>
        </w:rPr>
        <w:t>help inform institutions, policymakers and stakeholders about the law reform issues, choices, opportunities, and challenges in this complex and fast-moving area.</w:t>
      </w:r>
    </w:p>
    <w:p w14:paraId="3E581477" w14:textId="57A3E4F5" w:rsidR="00630390" w:rsidRPr="00630390" w:rsidRDefault="00630390" w:rsidP="00630390">
      <w:pPr>
        <w:spacing w:after="160" w:line="259" w:lineRule="auto"/>
        <w:jc w:val="both"/>
        <w:rPr>
          <w:rFonts w:ascii="Calibri" w:eastAsia="Calibri" w:hAnsi="Calibri" w:cs="Calibri"/>
          <w:lang w:eastAsia="en-CA"/>
        </w:rPr>
      </w:pPr>
      <w:r w:rsidRPr="00630390">
        <w:rPr>
          <w:rFonts w:ascii="Calibri" w:eastAsia="Calibri" w:hAnsi="Calibri" w:cs="Calibri"/>
          <w:lang w:eastAsia="en-CA"/>
        </w:rPr>
        <w:t xml:space="preserve">This paper is the </w:t>
      </w:r>
      <w:r>
        <w:rPr>
          <w:rFonts w:ascii="Calibri" w:eastAsia="Calibri" w:hAnsi="Calibri" w:cs="Calibri"/>
          <w:lang w:eastAsia="en-CA"/>
        </w:rPr>
        <w:t>fourth</w:t>
      </w:r>
      <w:r w:rsidRPr="00630390">
        <w:rPr>
          <w:rFonts w:ascii="Calibri" w:eastAsia="Calibri" w:hAnsi="Calibri" w:cs="Calibri"/>
          <w:lang w:eastAsia="en-CA"/>
        </w:rPr>
        <w:t xml:space="preserve"> of a series of five Issue Papers that comprise the project.</w:t>
      </w:r>
      <w:bookmarkEnd w:id="5"/>
      <w:bookmarkEnd w:id="6"/>
      <w:r w:rsidRPr="00630390">
        <w:rPr>
          <w:rFonts w:ascii="Calibri" w:eastAsia="Calibri" w:hAnsi="Calibri" w:cs="Calibri"/>
          <w:lang w:eastAsia="en-CA"/>
        </w:rPr>
        <w:t xml:space="preserve"> Each Issue Paper is an expert collaboration considering the use of AI in a distinct phase of the criminal justice process, including:</w:t>
      </w:r>
    </w:p>
    <w:p w14:paraId="5415F744" w14:textId="6350944F" w:rsidR="00630390" w:rsidRPr="00630390" w:rsidRDefault="00630390" w:rsidP="00630390">
      <w:pPr>
        <w:spacing w:after="160" w:line="259" w:lineRule="auto"/>
        <w:ind w:left="709"/>
        <w:rPr>
          <w:rFonts w:ascii="Calibri" w:eastAsia="Calibri" w:hAnsi="Calibri" w:cs="Calibri"/>
          <w:lang w:eastAsia="en-CA"/>
        </w:rPr>
      </w:pPr>
      <w:bookmarkStart w:id="7" w:name="_Hlk188899770"/>
      <w:r w:rsidRPr="00630390">
        <w:rPr>
          <w:rFonts w:ascii="Calibri" w:eastAsia="Calibri" w:hAnsi="Calibri" w:cs="Calibri"/>
          <w:lang w:eastAsia="en-CA"/>
        </w:rPr>
        <w:t>Paper 1</w:t>
      </w:r>
      <w:r w:rsidRPr="00630390">
        <w:rPr>
          <w:rFonts w:ascii="Calibri" w:eastAsia="Calibri" w:hAnsi="Calibri" w:cs="Calibri"/>
          <w:lang w:eastAsia="en-CA"/>
        </w:rPr>
        <w:tab/>
        <w:t>Introduction and Summary</w:t>
      </w:r>
      <w:r w:rsidR="001C3C23" w:rsidRPr="00630390">
        <w:rPr>
          <w:rFonts w:ascii="Calibri" w:eastAsia="Calibri" w:hAnsi="Calibri" w:cs="Calibri"/>
          <w:lang w:eastAsia="en-CA"/>
        </w:rPr>
        <w:t xml:space="preserve"> </w:t>
      </w:r>
      <w:r w:rsidRPr="00630390">
        <w:rPr>
          <w:rFonts w:ascii="Calibri" w:eastAsia="Calibri" w:hAnsi="Calibri" w:cs="Calibri"/>
          <w:lang w:eastAsia="en-CA"/>
        </w:rPr>
        <w:br/>
        <w:t>Paper 2</w:t>
      </w:r>
      <w:r w:rsidRPr="00630390">
        <w:rPr>
          <w:rFonts w:ascii="Calibri" w:eastAsia="Calibri" w:hAnsi="Calibri" w:cs="Calibri"/>
          <w:lang w:eastAsia="en-CA"/>
        </w:rPr>
        <w:tab/>
        <w:t>Use of AI by Law Enforcement</w:t>
      </w:r>
      <w:r w:rsidRPr="00630390">
        <w:rPr>
          <w:rFonts w:ascii="Calibri" w:eastAsia="Calibri" w:hAnsi="Calibri" w:cs="Calibri"/>
          <w:lang w:eastAsia="en-CA"/>
        </w:rPr>
        <w:br/>
        <w:t>Paper 3</w:t>
      </w:r>
      <w:r w:rsidRPr="00630390">
        <w:rPr>
          <w:rFonts w:ascii="Calibri" w:eastAsia="Calibri" w:hAnsi="Calibri" w:cs="Calibri"/>
          <w:lang w:eastAsia="en-CA"/>
        </w:rPr>
        <w:tab/>
        <w:t>AI and the Assessment of Risk in Bail, Sentencing, and Recidivism</w:t>
      </w:r>
      <w:r w:rsidRPr="00630390">
        <w:rPr>
          <w:rFonts w:ascii="Calibri" w:eastAsia="Calibri" w:hAnsi="Calibri" w:cs="Calibri"/>
          <w:lang w:eastAsia="en-CA"/>
        </w:rPr>
        <w:br/>
        <w:t>Paper 4</w:t>
      </w:r>
      <w:r w:rsidRPr="00630390">
        <w:rPr>
          <w:rFonts w:ascii="Calibri" w:eastAsia="Calibri" w:hAnsi="Calibri" w:cs="Calibri"/>
          <w:lang w:eastAsia="en-CA"/>
        </w:rPr>
        <w:tab/>
        <w:t>AI at Trial and on Appeal</w:t>
      </w:r>
      <w:r w:rsidRPr="00630390">
        <w:rPr>
          <w:rFonts w:ascii="Calibri" w:eastAsia="Calibri" w:hAnsi="Calibri" w:cs="Calibri"/>
          <w:lang w:eastAsia="en-CA"/>
        </w:rPr>
        <w:br/>
        <w:t>Paper 5</w:t>
      </w:r>
      <w:r w:rsidRPr="00630390">
        <w:rPr>
          <w:rFonts w:ascii="Calibri" w:eastAsia="Calibri" w:hAnsi="Calibri" w:cs="Calibri"/>
          <w:lang w:eastAsia="en-CA"/>
        </w:rPr>
        <w:tab/>
        <w:t>AI and Systemic Oversight Mechanisms in Criminal Justice.</w:t>
      </w:r>
      <w:bookmarkEnd w:id="7"/>
    </w:p>
    <w:p w14:paraId="27B3C955" w14:textId="77777777" w:rsidR="001C3C23" w:rsidRPr="001C3C23" w:rsidRDefault="001C3C23" w:rsidP="001C3C23">
      <w:pPr>
        <w:spacing w:after="160" w:line="259" w:lineRule="auto"/>
        <w:jc w:val="both"/>
        <w:rPr>
          <w:rFonts w:ascii="Calibri" w:eastAsia="Calibri" w:hAnsi="Calibri" w:cs="Calibri"/>
          <w:lang w:eastAsia="en-CA"/>
        </w:rPr>
      </w:pPr>
      <w:r w:rsidRPr="001C3C23">
        <w:rPr>
          <w:rFonts w:ascii="Calibri" w:eastAsia="Calibri" w:hAnsi="Calibri" w:cs="Calibri"/>
          <w:lang w:eastAsia="en-CA"/>
        </w:rPr>
        <w:t xml:space="preserve">Many of the topics addressed in this Introduction and the Issue Papers have been addressed individually in international and Canadian analyses. Unlike earlier reports, however, the LCO project addresses systemic issues that transcend discussions about </w:t>
      </w:r>
      <w:r w:rsidRPr="001C3C23">
        <w:rPr>
          <w:rFonts w:ascii="Calibri" w:eastAsia="Calibri" w:hAnsi="Calibri" w:cs="Calibri"/>
          <w:lang w:eastAsia="en-CA"/>
        </w:rPr>
        <w:lastRenderedPageBreak/>
        <w:t xml:space="preserve">specific technologies or proceedings. In other words, the LCO project assesses the collective or cumulative impact of AI on criminal justice in Canada. The LCO project is the first independent and collaborative initiative in Canada to address these important and timely issues. </w:t>
      </w:r>
    </w:p>
    <w:p w14:paraId="373F77FA" w14:textId="78F2735D" w:rsidR="001C3C23" w:rsidRPr="001C3C23" w:rsidRDefault="001C3C23" w:rsidP="001C3C23">
      <w:pPr>
        <w:spacing w:after="160" w:line="259" w:lineRule="auto"/>
        <w:jc w:val="both"/>
        <w:rPr>
          <w:rFonts w:ascii="Calibri" w:eastAsia="Calibri" w:hAnsi="Calibri" w:cs="Calibri"/>
          <w:lang w:eastAsia="en-CA"/>
        </w:rPr>
      </w:pPr>
      <w:r w:rsidRPr="001C3C23">
        <w:rPr>
          <w:rFonts w:ascii="Calibri" w:eastAsia="Calibri" w:hAnsi="Calibri" w:cs="Calibri"/>
          <w:lang w:eastAsia="en-CA"/>
        </w:rPr>
        <w:t xml:space="preserve">The LCO believes this project is urgent. AI in the criminal justice system affects some of </w:t>
      </w:r>
      <w:r w:rsidR="001158EC">
        <w:rPr>
          <w:rFonts w:ascii="Calibri" w:eastAsia="Calibri" w:hAnsi="Calibri" w:cs="Calibri"/>
          <w:lang w:eastAsia="en-CA"/>
        </w:rPr>
        <w:t xml:space="preserve">the </w:t>
      </w:r>
      <w:r w:rsidRPr="001C3C23">
        <w:rPr>
          <w:rFonts w:ascii="Calibri" w:eastAsia="Calibri" w:hAnsi="Calibri" w:cs="Calibri"/>
          <w:lang w:eastAsia="en-CA"/>
        </w:rPr>
        <w:t xml:space="preserve">most important issues and rights in Canadian society, including public safety, personal liberty, rights to equality and procedural fairness, and public trust in key public institutions, including courts and the police. At the same time, fast-paced technological, legislative, and policy developments in Canada and internationally have put pressure on Canadian police services, governments, courts, and stakeholders to respond to criminal AI issues quickly. </w:t>
      </w:r>
    </w:p>
    <w:p w14:paraId="18EA9135" w14:textId="77777777" w:rsidR="001C3C23" w:rsidRPr="001C3C23" w:rsidRDefault="001C3C23" w:rsidP="001C3C23">
      <w:pPr>
        <w:spacing w:after="160" w:line="259" w:lineRule="auto"/>
        <w:jc w:val="both"/>
        <w:rPr>
          <w:rFonts w:ascii="Calibri" w:eastAsia="Calibri" w:hAnsi="Calibri" w:cs="Calibri"/>
          <w:lang w:eastAsia="en-CA"/>
        </w:rPr>
      </w:pPr>
      <w:r w:rsidRPr="001C3C23">
        <w:rPr>
          <w:rFonts w:ascii="Calibri" w:eastAsia="Calibri" w:hAnsi="Calibri" w:cs="Calibri"/>
          <w:lang w:eastAsia="en-CA"/>
        </w:rPr>
        <w:t xml:space="preserve">To their credit, some Canadian police services and other agencies have taken important initiatives to address AI risks. As will be seen, however, there are still wide and consequential gaps in the legislative or legal framework governing these systems. Indeed, Canadian lawmakers are far behind their international counterparts where the first “wave” of criminal justice AI governance has already been supplanted by more sophisticated laws and policies. </w:t>
      </w:r>
    </w:p>
    <w:p w14:paraId="79D15A7E" w14:textId="77777777" w:rsidR="001C3C23" w:rsidRPr="001C3C23" w:rsidRDefault="001C3C23" w:rsidP="001C3C23">
      <w:pPr>
        <w:spacing w:after="160" w:line="259" w:lineRule="auto"/>
        <w:jc w:val="both"/>
        <w:rPr>
          <w:rFonts w:ascii="Calibri" w:eastAsia="Calibri" w:hAnsi="Calibri" w:cs="Calibri"/>
          <w:lang w:eastAsia="en-CA"/>
        </w:rPr>
      </w:pPr>
      <w:r w:rsidRPr="001C3C23">
        <w:rPr>
          <w:rFonts w:ascii="Calibri" w:eastAsia="Calibri" w:hAnsi="Calibri" w:cs="Calibri"/>
          <w:lang w:eastAsia="en-CA"/>
        </w:rPr>
        <w:t>The LCO AI in Criminal Justice Project is organized around four key themes or topics.</w:t>
      </w:r>
    </w:p>
    <w:p w14:paraId="72C9D76D" w14:textId="0C382CFC" w:rsidR="00630390" w:rsidRPr="00630390" w:rsidRDefault="001C3C23" w:rsidP="001C3C23">
      <w:pPr>
        <w:spacing w:after="160" w:line="259" w:lineRule="auto"/>
        <w:jc w:val="both"/>
        <w:rPr>
          <w:rFonts w:ascii="Calibri" w:eastAsia="Calibri" w:hAnsi="Calibri" w:cs="Calibri"/>
          <w:lang w:eastAsia="en-CA"/>
        </w:rPr>
      </w:pPr>
      <w:r w:rsidRPr="001C3C23">
        <w:rPr>
          <w:rFonts w:ascii="Calibri" w:eastAsia="Calibri" w:hAnsi="Calibri" w:cs="Calibri"/>
          <w:lang w:eastAsia="en-CA"/>
        </w:rPr>
        <w:t>First, the project considers several important practical and legal questions that will soon confront Canadian police, courts, policymakers, Crowns, defence counsel, and criminal accused, including</w:t>
      </w:r>
      <w:r w:rsidR="00630390" w:rsidRPr="00630390">
        <w:rPr>
          <w:rFonts w:ascii="Calibri" w:eastAsia="Calibri" w:hAnsi="Calibri" w:cs="Calibri"/>
          <w:lang w:eastAsia="en-CA"/>
        </w:rPr>
        <w:t>:</w:t>
      </w:r>
    </w:p>
    <w:p w14:paraId="4398021F" w14:textId="77777777" w:rsidR="001C3C23" w:rsidRPr="001C3C23" w:rsidRDefault="001C3C23" w:rsidP="001C3C23">
      <w:pPr>
        <w:numPr>
          <w:ilvl w:val="0"/>
          <w:numId w:val="139"/>
        </w:numPr>
        <w:spacing w:after="160" w:line="259" w:lineRule="auto"/>
        <w:contextualSpacing/>
        <w:jc w:val="both"/>
        <w:rPr>
          <w:rFonts w:ascii="Calibri" w:eastAsia="Calibri" w:hAnsi="Calibri" w:cs="Calibri"/>
          <w:lang w:eastAsia="en-CA"/>
        </w:rPr>
      </w:pPr>
      <w:r w:rsidRPr="001C3C23">
        <w:rPr>
          <w:rFonts w:ascii="Calibri" w:eastAsia="Calibri" w:hAnsi="Calibri" w:cs="Calibri"/>
          <w:lang w:eastAsia="en-CA"/>
        </w:rPr>
        <w:t xml:space="preserve">What AI tools are or may be used at each important stage of Canadian criminal justice? </w:t>
      </w:r>
    </w:p>
    <w:p w14:paraId="3996265F" w14:textId="77777777" w:rsidR="001C3C23" w:rsidRPr="001C3C23" w:rsidRDefault="001C3C23" w:rsidP="001C3C23">
      <w:pPr>
        <w:numPr>
          <w:ilvl w:val="0"/>
          <w:numId w:val="139"/>
        </w:numPr>
        <w:spacing w:after="160" w:line="259" w:lineRule="auto"/>
        <w:contextualSpacing/>
        <w:jc w:val="both"/>
        <w:rPr>
          <w:rFonts w:ascii="Calibri" w:eastAsia="Calibri" w:hAnsi="Calibri" w:cs="Calibri"/>
          <w:lang w:eastAsia="en-CA"/>
        </w:rPr>
      </w:pPr>
      <w:r w:rsidRPr="001C3C23">
        <w:rPr>
          <w:rFonts w:ascii="Calibri" w:eastAsia="Calibri" w:hAnsi="Calibri" w:cs="Calibri"/>
          <w:lang w:eastAsia="en-CA"/>
        </w:rPr>
        <w:t>What legal issues are likely to arise at each stage?</w:t>
      </w:r>
    </w:p>
    <w:p w14:paraId="504ACC73" w14:textId="77777777" w:rsidR="001C3C23" w:rsidRPr="001C3C23" w:rsidRDefault="001C3C23" w:rsidP="001C3C23">
      <w:pPr>
        <w:numPr>
          <w:ilvl w:val="0"/>
          <w:numId w:val="139"/>
        </w:numPr>
        <w:spacing w:after="160" w:line="259" w:lineRule="auto"/>
        <w:contextualSpacing/>
        <w:jc w:val="both"/>
        <w:rPr>
          <w:rFonts w:ascii="Calibri" w:eastAsia="Calibri" w:hAnsi="Calibri" w:cs="Calibri"/>
          <w:lang w:eastAsia="en-CA"/>
        </w:rPr>
      </w:pPr>
      <w:r w:rsidRPr="001C3C23">
        <w:rPr>
          <w:rFonts w:ascii="Calibri" w:eastAsia="Calibri" w:hAnsi="Calibri" w:cs="Calibri"/>
          <w:lang w:eastAsia="en-CA"/>
        </w:rPr>
        <w:t xml:space="preserve">What is the state of Canadian law and procedures to address these issues, particularly in relation to the Canadian Charter of Rights and Freedoms, the Criminal Code of Canada, procedural fairness, evidence law, and criminal common law? </w:t>
      </w:r>
    </w:p>
    <w:p w14:paraId="4CC9D8FA" w14:textId="50114CED" w:rsidR="00630390" w:rsidRPr="001C3C23" w:rsidRDefault="001C3C23" w:rsidP="001C3C23">
      <w:pPr>
        <w:numPr>
          <w:ilvl w:val="0"/>
          <w:numId w:val="139"/>
        </w:numPr>
        <w:spacing w:after="160" w:line="259" w:lineRule="auto"/>
        <w:contextualSpacing/>
        <w:jc w:val="both"/>
        <w:rPr>
          <w:rFonts w:ascii="Calibri" w:eastAsia="Calibri" w:hAnsi="Calibri" w:cs="Calibri"/>
          <w:lang w:eastAsia="en-CA"/>
        </w:rPr>
      </w:pPr>
      <w:r w:rsidRPr="001C3C23">
        <w:rPr>
          <w:rFonts w:ascii="Calibri" w:eastAsia="Calibri" w:hAnsi="Calibri" w:cs="Calibri"/>
          <w:lang w:eastAsia="en-CA"/>
        </w:rPr>
        <w:t>What issues cut across specific proceedings or stages and suggest the need for a systemic response or framework?</w:t>
      </w:r>
    </w:p>
    <w:p w14:paraId="443D5875" w14:textId="5412159C" w:rsidR="001C3C23" w:rsidRDefault="001C3C23" w:rsidP="001C3C23">
      <w:bookmarkStart w:id="8" w:name="_Hlk188900230"/>
      <w:r>
        <w:rPr>
          <w:rFonts w:ascii="Calibri" w:eastAsia="Calibri" w:hAnsi="Calibri" w:cs="Calibri"/>
          <w:lang w:eastAsia="en-CA"/>
        </w:rPr>
        <w:br/>
      </w:r>
      <w:r>
        <w:t xml:space="preserve">Second, the LCO project asks </w:t>
      </w:r>
      <w:r w:rsidRPr="00CE1389">
        <w:rPr>
          <w:i/>
          <w:iCs/>
        </w:rPr>
        <w:t>who</w:t>
      </w:r>
      <w:r>
        <w:t xml:space="preserve"> is likely to be affected by AI in the criminal justice system. What institutions, agencies, organizations, or individuals will be affected in some way? And what does the breadth or complexity of those actors suggest about criminal justice AI regulation and governance? </w:t>
      </w:r>
    </w:p>
    <w:p w14:paraId="486CC15C" w14:textId="77777777" w:rsidR="00EA3AA2" w:rsidRDefault="00EA3AA2" w:rsidP="001C3C23"/>
    <w:p w14:paraId="007764D6" w14:textId="299807B7" w:rsidR="001C3C23" w:rsidRDefault="001C3C23" w:rsidP="001C3C23">
      <w:r>
        <w:t xml:space="preserve">Third, the LCO project surveys potential solutions at the specific and systemic level. In so doing, the project highlights the speed, variety, sophistication, and breadth of AI </w:t>
      </w:r>
      <w:r>
        <w:lastRenderedPageBreak/>
        <w:t>regulation in recent years. This Introduction and the Issue Papers discuss potential policy, procedural, or law reform responses to the issues arising at each respective stage, including:</w:t>
      </w:r>
    </w:p>
    <w:p w14:paraId="7F642188" w14:textId="77777777" w:rsidR="001C3C23" w:rsidRDefault="001C3C23" w:rsidP="001C3C23">
      <w:pPr>
        <w:pStyle w:val="ListParagraph"/>
        <w:numPr>
          <w:ilvl w:val="0"/>
          <w:numId w:val="138"/>
        </w:numPr>
        <w:spacing w:before="100" w:beforeAutospacing="1" w:line="259" w:lineRule="auto"/>
        <w:contextualSpacing w:val="0"/>
      </w:pPr>
      <w:r>
        <w:t xml:space="preserve">What can we learn from the experience of other jurisdictions that have confronted these issues? </w:t>
      </w:r>
    </w:p>
    <w:p w14:paraId="3F675CA9" w14:textId="77777777" w:rsidR="001C3C23" w:rsidRDefault="001C3C23" w:rsidP="001C3C23">
      <w:pPr>
        <w:pStyle w:val="ListParagraph"/>
        <w:numPr>
          <w:ilvl w:val="0"/>
          <w:numId w:val="138"/>
        </w:numPr>
        <w:spacing w:before="100" w:beforeAutospacing="1" w:line="259" w:lineRule="auto"/>
        <w:contextualSpacing w:val="0"/>
      </w:pPr>
      <w:r>
        <w:t>How have Canadian policymakers, courts, and others responded to the emerging challenges?</w:t>
      </w:r>
    </w:p>
    <w:p w14:paraId="7B5AA72B" w14:textId="77777777" w:rsidR="001C3C23" w:rsidRDefault="001C3C23" w:rsidP="001C3C23">
      <w:pPr>
        <w:pStyle w:val="ListParagraph"/>
        <w:numPr>
          <w:ilvl w:val="0"/>
          <w:numId w:val="138"/>
        </w:numPr>
        <w:spacing w:after="160" w:line="259" w:lineRule="auto"/>
      </w:pPr>
      <w:r>
        <w:t xml:space="preserve">Are there gaps in Canada’s current criminal AI regulatory landscape? </w:t>
      </w:r>
    </w:p>
    <w:p w14:paraId="5FCC0C6A" w14:textId="77777777" w:rsidR="001C3C23" w:rsidRDefault="001C3C23" w:rsidP="001C3C23">
      <w:r>
        <w:t>Finally, the project tries to foreshadow or predict what is likely to happen in Canadian criminal justice if action is not taken. In other words, what is likely to happen if we fail to address these issues? What can we learn from the experience in other jurisdictions?</w:t>
      </w:r>
    </w:p>
    <w:p w14:paraId="7C4DE9DF" w14:textId="77777777" w:rsidR="001C3C23" w:rsidRDefault="001C3C23" w:rsidP="001C3C23">
      <w:pPr>
        <w:rPr>
          <w:rFonts w:eastAsia="Calibri"/>
          <w:lang w:eastAsia="en-CA"/>
        </w:rPr>
      </w:pPr>
    </w:p>
    <w:p w14:paraId="3CA0A2F3" w14:textId="77777777" w:rsidR="00351DFC" w:rsidRPr="00351DFC" w:rsidRDefault="00351DFC" w:rsidP="00351DFC">
      <w:pPr>
        <w:spacing w:after="160" w:line="259" w:lineRule="auto"/>
        <w:rPr>
          <w:rFonts w:ascii="Calibri" w:eastAsia="Calibri" w:hAnsi="Calibri" w:cs="Calibri"/>
          <w:lang w:eastAsia="en-CA"/>
        </w:rPr>
      </w:pPr>
      <w:r w:rsidRPr="00351DFC">
        <w:rPr>
          <w:rFonts w:ascii="Calibri" w:eastAsia="Calibri" w:hAnsi="Calibri" w:cs="Calibri"/>
          <w:lang w:eastAsia="en-CA"/>
        </w:rPr>
        <w:t>The LCO’s series of Issue Papers are designed to facilitate discussion and consultation. We have learned that “trustworthy criminal AI” depends on complex legal, technical and operational considerations. We have also learned that broad collaborations and consultations are crucial. Accordingly, each Issue Paper includes questions for Canadian criminal AI policymakers and stakeholders. In this manner, the LCO hopes the papers will become a catalyst for a wider Canadian discussion about these issues.</w:t>
      </w:r>
    </w:p>
    <w:p w14:paraId="79982023" w14:textId="77777777" w:rsidR="00351DFC" w:rsidRPr="00351DFC" w:rsidRDefault="00351DFC" w:rsidP="00351DFC">
      <w:pPr>
        <w:spacing w:after="160" w:line="259" w:lineRule="auto"/>
        <w:rPr>
          <w:rFonts w:ascii="Calibri" w:eastAsia="Calibri" w:hAnsi="Calibri" w:cs="Calibri"/>
          <w:lang w:eastAsia="en-CA"/>
        </w:rPr>
      </w:pPr>
      <w:r w:rsidRPr="00351DFC">
        <w:rPr>
          <w:rFonts w:ascii="Calibri" w:eastAsia="Calibri" w:hAnsi="Calibri" w:cs="Calibri"/>
          <w:lang w:eastAsia="en-CA"/>
        </w:rPr>
        <w:t>Publication of the Issue Papers commences a period of stakeholder consultations to be conducted by the LCO. The LCO will analyze and summarize the feedback we receive. A Final Report will recommend a series of law, policy and programmatic reforms.</w:t>
      </w:r>
    </w:p>
    <w:p w14:paraId="5D1587B3" w14:textId="5C15D314" w:rsidR="00630390" w:rsidRPr="00630390" w:rsidRDefault="00351DFC" w:rsidP="00351DFC">
      <w:pPr>
        <w:spacing w:after="160" w:line="259" w:lineRule="auto"/>
        <w:contextualSpacing/>
        <w:rPr>
          <w:rFonts w:ascii="Calibri" w:eastAsia="Calibri" w:hAnsi="Calibri" w:cs="Calibri"/>
          <w:lang w:eastAsia="en-CA"/>
        </w:rPr>
      </w:pPr>
      <w:r w:rsidRPr="00351DFC">
        <w:rPr>
          <w:rFonts w:ascii="Calibri" w:eastAsia="Calibri" w:hAnsi="Calibri" w:cs="Calibri"/>
          <w:lang w:eastAsia="en-CA"/>
        </w:rPr>
        <w:t xml:space="preserve">More information about this project is available on the LCO project website: </w:t>
      </w:r>
      <w:hyperlink r:id="rId27" w:history="1">
        <w:r w:rsidRPr="00351DFC">
          <w:rPr>
            <w:rFonts w:ascii="Calibri" w:eastAsia="Calibri" w:hAnsi="Calibri" w:cs="Calibri"/>
            <w:color w:val="0563C1"/>
            <w:u w:val="single"/>
            <w:lang w:eastAsia="en-CA"/>
          </w:rPr>
          <w:t>https://www.lco-cdo.org/CrimAI</w:t>
        </w:r>
      </w:hyperlink>
      <w:r w:rsidRPr="00351DFC">
        <w:rPr>
          <w:rFonts w:ascii="Calibri" w:eastAsia="Calibri" w:hAnsi="Calibri" w:cs="Calibri"/>
          <w:lang w:eastAsia="en-CA"/>
        </w:rPr>
        <w:t>.</w:t>
      </w:r>
    </w:p>
    <w:bookmarkEnd w:id="8"/>
    <w:p w14:paraId="1E03D2D8" w14:textId="77777777" w:rsidR="00630390" w:rsidRPr="00630390" w:rsidRDefault="00630390" w:rsidP="00630390">
      <w:pPr>
        <w:spacing w:after="160" w:line="259" w:lineRule="auto"/>
        <w:ind w:left="720"/>
        <w:contextualSpacing/>
        <w:jc w:val="both"/>
        <w:rPr>
          <w:rFonts w:ascii="Calibri" w:eastAsia="Calibri" w:hAnsi="Calibri" w:cs="Calibri"/>
          <w:lang w:eastAsia="en-CA"/>
        </w:rPr>
      </w:pPr>
    </w:p>
    <w:p w14:paraId="13BC62C4" w14:textId="3A05457D" w:rsidR="00630390" w:rsidRPr="00630390" w:rsidRDefault="00630390" w:rsidP="00630390">
      <w:pPr>
        <w:shd w:val="clear" w:color="auto" w:fill="D9E2F3"/>
        <w:spacing w:after="160" w:line="259" w:lineRule="auto"/>
        <w:jc w:val="both"/>
        <w:rPr>
          <w:rFonts w:ascii="Calibri" w:eastAsia="Calibri" w:hAnsi="Calibri" w:cs="Calibri"/>
          <w:lang w:eastAsia="en-CA"/>
        </w:rPr>
      </w:pPr>
      <w:r w:rsidRPr="00630390">
        <w:rPr>
          <w:rFonts w:ascii="Calibri" w:eastAsia="Calibri" w:hAnsi="Calibri" w:cs="Calibri"/>
          <w:lang w:eastAsia="en-CA"/>
        </w:rPr>
        <w:t xml:space="preserve">[SIDEBAR] </w:t>
      </w:r>
      <w:r w:rsidRPr="00630390">
        <w:rPr>
          <w:rFonts w:ascii="Calibri" w:eastAsia="Calibri" w:hAnsi="Calibri" w:cs="Calibri"/>
          <w:b/>
          <w:bCs/>
          <w:lang w:eastAsia="en-CA"/>
        </w:rPr>
        <w:t>Background and Definitions.</w:t>
      </w:r>
      <w:r w:rsidRPr="00630390">
        <w:rPr>
          <w:rFonts w:ascii="Calibri" w:eastAsia="Calibri" w:hAnsi="Calibri" w:cs="Calibri"/>
          <w:lang w:eastAsia="en-CA"/>
        </w:rPr>
        <w:t xml:space="preserve"> </w:t>
      </w:r>
      <w:r w:rsidR="00351DFC" w:rsidRPr="00351DFC">
        <w:rPr>
          <w:rFonts w:ascii="Calibri" w:eastAsia="Calibri" w:hAnsi="Calibri" w:cs="Calibri"/>
          <w:lang w:eastAsia="en-CA"/>
        </w:rPr>
        <w:t xml:space="preserve">Readers are encouraged to first review LCO’s </w:t>
      </w:r>
      <w:r w:rsidR="00351DFC" w:rsidRPr="00351DFC">
        <w:rPr>
          <w:rFonts w:ascii="Calibri" w:eastAsia="Calibri" w:hAnsi="Calibri" w:cs="Calibri"/>
          <w:i/>
          <w:iCs/>
          <w:lang w:eastAsia="en-CA"/>
        </w:rPr>
        <w:t>Introduction and Summary: LCO AI in Criminal Justice Project</w:t>
      </w:r>
      <w:r w:rsidR="00351DFC" w:rsidRPr="00351DFC">
        <w:rPr>
          <w:rFonts w:ascii="Calibri" w:eastAsia="Calibri" w:hAnsi="Calibri" w:cs="Calibri"/>
          <w:lang w:eastAsia="en-CA"/>
        </w:rPr>
        <w:t>. This paper establishes a definition for “artificial intelligence” used throughout this project. In addition, the paper provides an overview of various AI technologies in criminal justice and gives a primer on the basic legal and policy frameworks governing AI in Canada and elsewhere.</w:t>
      </w:r>
    </w:p>
    <w:p w14:paraId="7AC8666D" w14:textId="298323AA" w:rsidR="00564FA0" w:rsidRDefault="00564FA0" w:rsidP="0069073E"/>
    <w:p w14:paraId="68CEB018" w14:textId="5D59AAE6" w:rsidR="004321C0" w:rsidRPr="00D6562E" w:rsidRDefault="004321C0" w:rsidP="00925469">
      <w:pPr>
        <w:shd w:val="clear" w:color="auto" w:fill="BDD6EE" w:themeFill="accent1" w:themeFillTint="66"/>
      </w:pPr>
      <w:r w:rsidRPr="00C64937">
        <w:rPr>
          <w:rFonts w:ascii="Calibri" w:eastAsia="Times New Roman" w:hAnsi="Calibri" w:cs="Calibri"/>
          <w:shd w:val="clear" w:color="auto" w:fill="D5DCE4" w:themeFill="text2" w:themeFillTint="33"/>
          <w:lang w:val="en-US" w:eastAsia="en-CA"/>
        </w:rPr>
        <w:t xml:space="preserve">[SIDEBAR:] </w:t>
      </w:r>
      <w:r w:rsidRPr="00C64937">
        <w:rPr>
          <w:rFonts w:ascii="Calibri" w:eastAsia="Times New Roman" w:hAnsi="Calibri" w:cs="Calibri"/>
          <w:b/>
          <w:bCs/>
          <w:shd w:val="clear" w:color="auto" w:fill="D5DCE4" w:themeFill="text2" w:themeFillTint="33"/>
          <w:lang w:val="en-US" w:eastAsia="en-CA"/>
        </w:rPr>
        <w:t xml:space="preserve">AI in Criminal Justice Case Studies. </w:t>
      </w:r>
      <w:bookmarkStart w:id="9" w:name="_Hlk195126346"/>
      <w:r w:rsidRPr="00C64937">
        <w:rPr>
          <w:rFonts w:ascii="Calibri" w:eastAsia="Times New Roman" w:hAnsi="Calibri" w:cs="Calibri"/>
          <w:shd w:val="clear" w:color="auto" w:fill="D5DCE4" w:themeFill="text2" w:themeFillTint="33"/>
          <w:lang w:val="en-US" w:eastAsia="en-CA"/>
        </w:rPr>
        <w:t xml:space="preserve">See </w:t>
      </w:r>
      <w:r w:rsidR="00F7171E" w:rsidRPr="00C64937">
        <w:rPr>
          <w:rFonts w:ascii="Calibri" w:eastAsia="Times New Roman" w:hAnsi="Calibri" w:cs="Calibri"/>
          <w:shd w:val="clear" w:color="auto" w:fill="D5DCE4" w:themeFill="text2" w:themeFillTint="33"/>
          <w:lang w:val="en-US" w:eastAsia="en-CA"/>
        </w:rPr>
        <w:t xml:space="preserve">Annex </w:t>
      </w:r>
      <w:r w:rsidR="00C64937">
        <w:rPr>
          <w:rFonts w:ascii="Calibri" w:eastAsia="Times New Roman" w:hAnsi="Calibri" w:cs="Calibri"/>
          <w:shd w:val="clear" w:color="auto" w:fill="D5DCE4" w:themeFill="text2" w:themeFillTint="33"/>
          <w:lang w:val="en-US" w:eastAsia="en-CA"/>
        </w:rPr>
        <w:t>B</w:t>
      </w:r>
      <w:r w:rsidR="00F7171E" w:rsidRPr="00C64937">
        <w:rPr>
          <w:rFonts w:ascii="Calibri" w:eastAsia="Times New Roman" w:hAnsi="Calibri" w:cs="Calibri"/>
          <w:shd w:val="clear" w:color="auto" w:fill="D5DCE4" w:themeFill="text2" w:themeFillTint="33"/>
          <w:lang w:val="en-US" w:eastAsia="en-CA"/>
        </w:rPr>
        <w:t>,</w:t>
      </w:r>
      <w:r w:rsidRPr="00C64937">
        <w:rPr>
          <w:rFonts w:ascii="Calibri" w:eastAsia="Times New Roman" w:hAnsi="Calibri" w:cs="Calibri"/>
          <w:shd w:val="clear" w:color="auto" w:fill="D5DCE4" w:themeFill="text2" w:themeFillTint="33"/>
          <w:lang w:val="en-US" w:eastAsia="en-CA"/>
        </w:rPr>
        <w:t xml:space="preserve"> </w:t>
      </w:r>
      <w:r w:rsidRPr="00C64937">
        <w:rPr>
          <w:rFonts w:ascii="Calibri" w:eastAsia="Times New Roman" w:hAnsi="Calibri" w:cs="Calibri"/>
          <w:i/>
          <w:iCs/>
          <w:shd w:val="clear" w:color="auto" w:fill="D5DCE4" w:themeFill="text2" w:themeFillTint="33"/>
          <w:lang w:val="en-US" w:eastAsia="en-CA"/>
        </w:rPr>
        <w:t>Project</w:t>
      </w:r>
      <w:r w:rsidRPr="00C64937">
        <w:rPr>
          <w:rFonts w:ascii="Calibri" w:eastAsia="Times New Roman" w:hAnsi="Calibri" w:cs="Calibri"/>
          <w:shd w:val="clear" w:color="auto" w:fill="D5DCE4" w:themeFill="text2" w:themeFillTint="33"/>
          <w:lang w:val="en-US" w:eastAsia="en-CA"/>
        </w:rPr>
        <w:t xml:space="preserve"> </w:t>
      </w:r>
      <w:r w:rsidRPr="00C64937">
        <w:rPr>
          <w:rFonts w:ascii="Calibri" w:eastAsia="Times New Roman" w:hAnsi="Calibri" w:cs="Calibri"/>
          <w:i/>
          <w:iCs/>
          <w:shd w:val="clear" w:color="auto" w:fill="D5DCE4" w:themeFill="text2" w:themeFillTint="33"/>
          <w:lang w:val="en-US" w:eastAsia="en-CA"/>
        </w:rPr>
        <w:t>Case Studies</w:t>
      </w:r>
      <w:r w:rsidRPr="00C64937">
        <w:rPr>
          <w:rFonts w:ascii="Calibri" w:eastAsia="Times New Roman" w:hAnsi="Calibri" w:cs="Calibri"/>
          <w:shd w:val="clear" w:color="auto" w:fill="D5DCE4" w:themeFill="text2" w:themeFillTint="33"/>
          <w:lang w:val="en-US" w:eastAsia="en-CA"/>
        </w:rPr>
        <w:t xml:space="preserve"> for a discussion contrasting the legislative, regulatory and implementation framework for </w:t>
      </w:r>
      <w:r w:rsidR="00F7171E" w:rsidRPr="00C64937">
        <w:rPr>
          <w:rFonts w:ascii="Calibri" w:eastAsia="Times New Roman" w:hAnsi="Calibri" w:cs="Calibri"/>
          <w:shd w:val="clear" w:color="auto" w:fill="D5DCE4" w:themeFill="text2" w:themeFillTint="33"/>
          <w:lang w:val="en-US" w:eastAsia="en-CA"/>
        </w:rPr>
        <w:t>intoxilyzers</w:t>
      </w:r>
      <w:r w:rsidRPr="00C64937">
        <w:rPr>
          <w:rFonts w:ascii="Calibri" w:eastAsia="Times New Roman" w:hAnsi="Calibri" w:cs="Calibri"/>
          <w:shd w:val="clear" w:color="auto" w:fill="D5DCE4" w:themeFill="text2" w:themeFillTint="33"/>
          <w:lang w:val="en-US" w:eastAsia="en-CA"/>
        </w:rPr>
        <w:t xml:space="preserve"> in comparison to some of the challenges AI presents</w:t>
      </w:r>
      <w:r w:rsidR="00F7171E" w:rsidRPr="00C64937">
        <w:rPr>
          <w:rFonts w:ascii="Calibri" w:eastAsia="Times New Roman" w:hAnsi="Calibri" w:cs="Calibri"/>
          <w:shd w:val="clear" w:color="auto" w:fill="D5DCE4" w:themeFill="text2" w:themeFillTint="33"/>
          <w:lang w:val="en-US" w:eastAsia="en-CA"/>
        </w:rPr>
        <w:t>; how body cam evidence is challenged in court and how AI may complicate this process; and a review of how AI could impact the investigation of an alleged domestic violence incident.</w:t>
      </w:r>
      <w:bookmarkEnd w:id="9"/>
    </w:p>
    <w:p w14:paraId="750E62C0" w14:textId="77777777" w:rsidR="004B14EA" w:rsidRPr="00D6562E" w:rsidRDefault="004B14EA" w:rsidP="0069073E"/>
    <w:p w14:paraId="43EF4308" w14:textId="71A042EA" w:rsidR="00564FA0" w:rsidRPr="00D6562E" w:rsidRDefault="00E90491" w:rsidP="0069073E">
      <w:pPr>
        <w:pStyle w:val="Heading2"/>
        <w:rPr>
          <w:rFonts w:asciiTheme="minorHAnsi" w:hAnsiTheme="minorHAnsi" w:cstheme="minorHAnsi"/>
        </w:rPr>
      </w:pPr>
      <w:bookmarkStart w:id="10" w:name="_Toc176724449"/>
      <w:bookmarkStart w:id="11" w:name="_Toc195597972"/>
      <w:r w:rsidRPr="00D6562E">
        <w:rPr>
          <w:rFonts w:asciiTheme="minorHAnsi" w:hAnsiTheme="minorHAnsi" w:cstheme="minorHAnsi"/>
        </w:rPr>
        <w:t>1.2</w:t>
      </w:r>
      <w:r w:rsidR="00895BB6" w:rsidRPr="00D6562E">
        <w:rPr>
          <w:rFonts w:asciiTheme="minorHAnsi" w:hAnsiTheme="minorHAnsi" w:cstheme="minorHAnsi"/>
        </w:rPr>
        <w:tab/>
      </w:r>
      <w:r w:rsidR="003112C0">
        <w:rPr>
          <w:rFonts w:asciiTheme="minorHAnsi" w:hAnsiTheme="minorHAnsi" w:cstheme="minorHAnsi"/>
        </w:rPr>
        <w:t xml:space="preserve">Executive Summary: </w:t>
      </w:r>
      <w:r w:rsidR="00D6562E" w:rsidRPr="00D6562E">
        <w:rPr>
          <w:rFonts w:asciiTheme="minorHAnsi" w:hAnsiTheme="minorHAnsi" w:cstheme="minorHAnsi"/>
        </w:rPr>
        <w:t>AI in Criminal Trials and Appeals</w:t>
      </w:r>
      <w:bookmarkEnd w:id="10"/>
      <w:bookmarkEnd w:id="11"/>
    </w:p>
    <w:p w14:paraId="4CEB574F" w14:textId="77777777" w:rsidR="00564FA0" w:rsidRPr="00D6562E" w:rsidRDefault="00564FA0" w:rsidP="0069073E"/>
    <w:p w14:paraId="739E63F9" w14:textId="2D67B418" w:rsidR="00D6562E" w:rsidRPr="00D6562E" w:rsidRDefault="00D6562E" w:rsidP="00D6562E">
      <w:r w:rsidRPr="00D6562E">
        <w:lastRenderedPageBreak/>
        <w:t xml:space="preserve">This is the fourth in the series of </w:t>
      </w:r>
      <w:r>
        <w:t>Consultation</w:t>
      </w:r>
      <w:r w:rsidRPr="00D6562E">
        <w:t xml:space="preserve"> Papers. This paper considers the impact of AI on criminal trials and appeals.</w:t>
      </w:r>
    </w:p>
    <w:p w14:paraId="073E7C1A" w14:textId="77777777" w:rsidR="00D6562E" w:rsidRPr="00D6562E" w:rsidRDefault="00D6562E" w:rsidP="00D6562E"/>
    <w:p w14:paraId="31E4C589" w14:textId="366A469E" w:rsidR="00630390" w:rsidRDefault="00D6562E" w:rsidP="00D6562E">
      <w:r w:rsidRPr="00D6562E">
        <w:t>At present, there are no specific Canadian legal standards governing the use of AI in a criminal proceeding.</w:t>
      </w:r>
      <w:r w:rsidR="00506580">
        <w:t xml:space="preserve"> </w:t>
      </w:r>
      <w:r w:rsidR="00A1206D">
        <w:t xml:space="preserve">Noting the absence of AI regulation, federal and provincial courts across Canada are imposing limited AI policies of their own, such as obliging parties to disclose the use of AI in preparation of a case and </w:t>
      </w:r>
      <w:r w:rsidR="007458D0">
        <w:t>verifying the trustworthiness and accuracy of the</w:t>
      </w:r>
      <w:r w:rsidR="00A1206D">
        <w:t xml:space="preserve"> AI’s output</w:t>
      </w:r>
      <w:r w:rsidR="0010719D">
        <w:t xml:space="preserve">. (An overview of Canadian AI legislation is found in LCO Project Paper 1, </w:t>
      </w:r>
      <w:r w:rsidR="0010719D" w:rsidRPr="0010719D">
        <w:rPr>
          <w:b/>
          <w:bCs/>
          <w:i/>
          <w:iCs/>
        </w:rPr>
        <w:t>Introduction and Summary</w:t>
      </w:r>
      <w:r w:rsidR="0010719D">
        <w:t>. An overview of Canadian court directives is below in s. 2.1.4, “The Courts of Justice Act, Court AI Directives, and Law Society Practice Directions</w:t>
      </w:r>
      <w:r w:rsidR="00EB12D0">
        <w:t>”</w:t>
      </w:r>
      <w:r w:rsidR="0010719D">
        <w:t>).</w:t>
      </w:r>
    </w:p>
    <w:p w14:paraId="43322523" w14:textId="77777777" w:rsidR="00630390" w:rsidRDefault="00630390" w:rsidP="00D6562E"/>
    <w:p w14:paraId="362F4A94" w14:textId="1DA8B020" w:rsidR="00630390" w:rsidRDefault="00630390" w:rsidP="00D6562E">
      <w:pPr>
        <w:rPr>
          <w:color w:val="262526"/>
        </w:rPr>
      </w:pPr>
      <w:r>
        <w:t xml:space="preserve">Criminal courts are otherwise left to scrutinize AI (as any other technology) through the set of long-established and highly litigated legal instruments. </w:t>
      </w:r>
      <w:r>
        <w:rPr>
          <w:color w:val="262526"/>
        </w:rPr>
        <w:t>This includes:</w:t>
      </w:r>
      <w:r>
        <w:rPr>
          <w:color w:val="262526"/>
        </w:rPr>
        <w:br/>
      </w:r>
    </w:p>
    <w:p w14:paraId="30FBAB5D" w14:textId="64EA2C50" w:rsidR="00630390" w:rsidRDefault="004A3191" w:rsidP="00DE7532">
      <w:pPr>
        <w:pStyle w:val="ListParagraph"/>
        <w:numPr>
          <w:ilvl w:val="0"/>
          <w:numId w:val="101"/>
        </w:numPr>
        <w:rPr>
          <w:color w:val="262526"/>
        </w:rPr>
      </w:pPr>
      <w:r>
        <w:rPr>
          <w:color w:val="262526"/>
        </w:rPr>
        <w:t>T</w:t>
      </w:r>
      <w:r w:rsidR="00630390" w:rsidRPr="00DE7532">
        <w:rPr>
          <w:color w:val="262526"/>
        </w:rPr>
        <w:t xml:space="preserve">he </w:t>
      </w:r>
      <w:r w:rsidR="00630390" w:rsidRPr="00DE7532">
        <w:rPr>
          <w:i/>
          <w:iCs/>
          <w:color w:val="262526"/>
        </w:rPr>
        <w:t>Charter of Rights and Freedoms</w:t>
      </w:r>
      <w:r w:rsidR="004C09E8" w:rsidRPr="004C09E8">
        <w:rPr>
          <w:color w:val="262526"/>
        </w:rPr>
        <w:t>;</w:t>
      </w:r>
    </w:p>
    <w:p w14:paraId="313D68B8" w14:textId="1A0BE325" w:rsidR="00630390" w:rsidRDefault="004A3191" w:rsidP="00DE7532">
      <w:pPr>
        <w:pStyle w:val="ListParagraph"/>
        <w:numPr>
          <w:ilvl w:val="0"/>
          <w:numId w:val="101"/>
        </w:numPr>
        <w:rPr>
          <w:color w:val="262526"/>
        </w:rPr>
      </w:pPr>
      <w:r>
        <w:rPr>
          <w:color w:val="262526"/>
        </w:rPr>
        <w:t>P</w:t>
      </w:r>
      <w:r w:rsidR="00630390" w:rsidRPr="00DE7532">
        <w:rPr>
          <w:color w:val="262526"/>
        </w:rPr>
        <w:t>rinciples of procedural fairness</w:t>
      </w:r>
      <w:r w:rsidR="004C09E8">
        <w:rPr>
          <w:color w:val="262526"/>
        </w:rPr>
        <w:t>;</w:t>
      </w:r>
    </w:p>
    <w:p w14:paraId="7BD9A9E9" w14:textId="4154B77A" w:rsidR="00630390" w:rsidRDefault="004A3191" w:rsidP="00DE7532">
      <w:pPr>
        <w:pStyle w:val="ListParagraph"/>
        <w:numPr>
          <w:ilvl w:val="0"/>
          <w:numId w:val="101"/>
        </w:numPr>
        <w:rPr>
          <w:color w:val="262526"/>
        </w:rPr>
      </w:pPr>
      <w:r>
        <w:rPr>
          <w:color w:val="262526"/>
        </w:rPr>
        <w:t>C</w:t>
      </w:r>
      <w:r w:rsidR="00630390" w:rsidRPr="00DE7532">
        <w:rPr>
          <w:color w:val="262526"/>
        </w:rPr>
        <w:t>ommon law cases and precedent</w:t>
      </w:r>
      <w:r w:rsidR="004C09E8">
        <w:rPr>
          <w:color w:val="262526"/>
        </w:rPr>
        <w:t>;</w:t>
      </w:r>
    </w:p>
    <w:p w14:paraId="7249871A" w14:textId="17D5221F" w:rsidR="00630390" w:rsidRDefault="004A3191" w:rsidP="00DE7532">
      <w:pPr>
        <w:pStyle w:val="ListParagraph"/>
        <w:numPr>
          <w:ilvl w:val="0"/>
          <w:numId w:val="101"/>
        </w:numPr>
        <w:rPr>
          <w:color w:val="262526"/>
        </w:rPr>
      </w:pPr>
      <w:r>
        <w:rPr>
          <w:color w:val="262526"/>
        </w:rPr>
        <w:t>R</w:t>
      </w:r>
      <w:r w:rsidR="00630390" w:rsidRPr="00DE7532">
        <w:rPr>
          <w:color w:val="262526"/>
        </w:rPr>
        <w:t xml:space="preserve">elated legislative instruments including the </w:t>
      </w:r>
      <w:r w:rsidR="00630390" w:rsidRPr="00DE7532">
        <w:rPr>
          <w:i/>
          <w:iCs/>
          <w:color w:val="262526"/>
        </w:rPr>
        <w:t>Canada Evidence Act</w:t>
      </w:r>
      <w:r w:rsidR="00630390">
        <w:rPr>
          <w:color w:val="262526"/>
        </w:rPr>
        <w:t xml:space="preserve">, </w:t>
      </w:r>
      <w:r w:rsidR="00630390" w:rsidRPr="00637F86">
        <w:rPr>
          <w:color w:val="262526"/>
        </w:rPr>
        <w:t>Canadian</w:t>
      </w:r>
      <w:r w:rsidR="00630390" w:rsidRPr="00DE7532">
        <w:rPr>
          <w:i/>
          <w:iCs/>
          <w:color w:val="262526"/>
        </w:rPr>
        <w:t xml:space="preserve"> Criminal Code</w:t>
      </w:r>
      <w:r w:rsidR="00630390" w:rsidRPr="00DE7532">
        <w:rPr>
          <w:color w:val="262526"/>
        </w:rPr>
        <w:t xml:space="preserve">, </w:t>
      </w:r>
      <w:r w:rsidR="00630390">
        <w:rPr>
          <w:color w:val="262526"/>
        </w:rPr>
        <w:t>and</w:t>
      </w:r>
      <w:r w:rsidR="00637F86">
        <w:rPr>
          <w:color w:val="262526"/>
        </w:rPr>
        <w:t xml:space="preserve"> Ontario’s</w:t>
      </w:r>
      <w:r w:rsidR="00630390">
        <w:rPr>
          <w:color w:val="262526"/>
        </w:rPr>
        <w:t xml:space="preserve"> </w:t>
      </w:r>
      <w:r w:rsidR="00630390" w:rsidRPr="00037D85">
        <w:rPr>
          <w:i/>
          <w:iCs/>
          <w:color w:val="262526"/>
        </w:rPr>
        <w:t>Courts of Justice Act</w:t>
      </w:r>
      <w:r w:rsidR="00630390">
        <w:rPr>
          <w:color w:val="262526"/>
        </w:rPr>
        <w:t>, among others; and</w:t>
      </w:r>
    </w:p>
    <w:p w14:paraId="0181D68A" w14:textId="4B2CFA7E" w:rsidR="00630390" w:rsidRDefault="00630390" w:rsidP="00DE7532">
      <w:pPr>
        <w:pStyle w:val="ListParagraph"/>
        <w:numPr>
          <w:ilvl w:val="0"/>
          <w:numId w:val="101"/>
        </w:numPr>
        <w:rPr>
          <w:color w:val="262526"/>
        </w:rPr>
      </w:pPr>
      <w:r>
        <w:rPr>
          <w:color w:val="262526"/>
        </w:rPr>
        <w:t>A range of regulatory and policy instruments such as court rules, legal professional standards, technical standards, Crown prosecution policies, and so forth.</w:t>
      </w:r>
      <w:r w:rsidR="00C86A4D">
        <w:rPr>
          <w:rStyle w:val="EndnoteReference"/>
          <w:color w:val="262526"/>
        </w:rPr>
        <w:endnoteReference w:id="1"/>
      </w:r>
    </w:p>
    <w:p w14:paraId="01D7BD4C" w14:textId="77777777" w:rsidR="00BF48B8" w:rsidRDefault="00BF48B8" w:rsidP="00DE7532">
      <w:pPr>
        <w:rPr>
          <w:color w:val="262526"/>
        </w:rPr>
      </w:pPr>
    </w:p>
    <w:p w14:paraId="4077B111" w14:textId="4394A619" w:rsidR="00BF48B8" w:rsidRDefault="00BF48B8" w:rsidP="00DE7532">
      <w:pPr>
        <w:rPr>
          <w:color w:val="262526"/>
        </w:rPr>
      </w:pPr>
      <w:r>
        <w:rPr>
          <w:color w:val="262526"/>
        </w:rPr>
        <w:t xml:space="preserve">Courts are also mindful of </w:t>
      </w:r>
      <w:r w:rsidRPr="00BF48B8">
        <w:rPr>
          <w:color w:val="262526"/>
        </w:rPr>
        <w:t>the general rule regarding use of novel technology</w:t>
      </w:r>
      <w:r>
        <w:rPr>
          <w:color w:val="262526"/>
        </w:rPr>
        <w:t>. This rule, in theory,</w:t>
      </w:r>
      <w:r w:rsidRPr="00BF48B8">
        <w:rPr>
          <w:color w:val="262526"/>
        </w:rPr>
        <w:t xml:space="preserve"> applies equally to the use of AI</w:t>
      </w:r>
      <w:r w:rsidR="00D46A5B">
        <w:rPr>
          <w:color w:val="262526"/>
        </w:rPr>
        <w:t xml:space="preserve"> (assuming courts are aware AI is being used)</w:t>
      </w:r>
      <w:r w:rsidRPr="00BF48B8">
        <w:rPr>
          <w:color w:val="262526"/>
        </w:rPr>
        <w:t xml:space="preserve">. The general rule is that before evidence based upon a novel technology may be admitted at trial, the trial judge must be satisfied (through a </w:t>
      </w:r>
      <w:r w:rsidRPr="00BF48B8">
        <w:rPr>
          <w:i/>
          <w:iCs/>
          <w:color w:val="262526"/>
        </w:rPr>
        <w:t>voir dire</w:t>
      </w:r>
      <w:r>
        <w:rPr>
          <w:i/>
          <w:iCs/>
          <w:color w:val="262526"/>
        </w:rPr>
        <w:t xml:space="preserve"> </w:t>
      </w:r>
      <w:r>
        <w:rPr>
          <w:color w:val="262526"/>
        </w:rPr>
        <w:t>“trial within a trial”</w:t>
      </w:r>
      <w:r w:rsidRPr="00BF48B8">
        <w:rPr>
          <w:color w:val="262526"/>
        </w:rPr>
        <w:t xml:space="preserve">) that the </w:t>
      </w:r>
      <w:r>
        <w:rPr>
          <w:color w:val="262526"/>
        </w:rPr>
        <w:t xml:space="preserve">technology that underpins any evidence </w:t>
      </w:r>
      <w:r w:rsidRPr="00BF48B8">
        <w:rPr>
          <w:color w:val="262526"/>
        </w:rPr>
        <w:t>is reliable and can be fairly challenged by the other party. The proponent of the novel technology bears the burden of proving its reliability.</w:t>
      </w:r>
      <w:r>
        <w:rPr>
          <w:rStyle w:val="EndnoteReference"/>
          <w:color w:val="262526"/>
        </w:rPr>
        <w:endnoteReference w:id="2"/>
      </w:r>
      <w:r w:rsidRPr="00BF48B8">
        <w:rPr>
          <w:color w:val="262526"/>
        </w:rPr>
        <w:t xml:space="preserve"> This general rule has been applied to many </w:t>
      </w:r>
      <w:r w:rsidR="003A5205">
        <w:rPr>
          <w:color w:val="262526"/>
        </w:rPr>
        <w:t>recent</w:t>
      </w:r>
      <w:r w:rsidRPr="00BF48B8">
        <w:rPr>
          <w:color w:val="262526"/>
        </w:rPr>
        <w:t xml:space="preserve"> technologies, including, for example, automated voice comparison techniques</w:t>
      </w:r>
      <w:r w:rsidR="003E1876" w:rsidRPr="003E1876">
        <w:rPr>
          <w:color w:val="262526"/>
        </w:rPr>
        <w:t xml:space="preserve"> </w:t>
      </w:r>
      <w:r w:rsidR="003E1876" w:rsidRPr="00BF48B8">
        <w:rPr>
          <w:color w:val="262526"/>
        </w:rPr>
        <w:t xml:space="preserve">or tracing </w:t>
      </w:r>
      <w:r w:rsidR="00D46A5B">
        <w:rPr>
          <w:color w:val="262526"/>
        </w:rPr>
        <w:t>cryptocurrency</w:t>
      </w:r>
      <w:r w:rsidR="003E1876" w:rsidRPr="00BF48B8">
        <w:rPr>
          <w:color w:val="262526"/>
        </w:rPr>
        <w:t xml:space="preserve"> transactions</w:t>
      </w:r>
      <w:r w:rsidR="003E1876">
        <w:rPr>
          <w:color w:val="262526"/>
        </w:rPr>
        <w:t>.</w:t>
      </w:r>
      <w:r w:rsidR="003E1876">
        <w:rPr>
          <w:rStyle w:val="EndnoteReference"/>
          <w:color w:val="262526"/>
        </w:rPr>
        <w:endnoteReference w:id="3"/>
      </w:r>
    </w:p>
    <w:p w14:paraId="41B8A5E9" w14:textId="77777777" w:rsidR="00BF48B8" w:rsidRDefault="00BF48B8" w:rsidP="00DE7532">
      <w:pPr>
        <w:rPr>
          <w:color w:val="262526"/>
        </w:rPr>
      </w:pPr>
    </w:p>
    <w:p w14:paraId="3DDCF602" w14:textId="2C62C51B" w:rsidR="00630390" w:rsidRPr="00CA2AC0" w:rsidRDefault="00D46A5B" w:rsidP="00AA6713">
      <w:pPr>
        <w:rPr>
          <w:color w:val="262526"/>
        </w:rPr>
      </w:pPr>
      <w:r>
        <w:rPr>
          <w:color w:val="262526"/>
        </w:rPr>
        <w:t>Collectively</w:t>
      </w:r>
      <w:r w:rsidR="00630390">
        <w:rPr>
          <w:color w:val="262526"/>
        </w:rPr>
        <w:t xml:space="preserve">, </w:t>
      </w:r>
      <w:r>
        <w:rPr>
          <w:color w:val="262526"/>
        </w:rPr>
        <w:t xml:space="preserve">this array of legal </w:t>
      </w:r>
      <w:r w:rsidR="00630390">
        <w:rPr>
          <w:color w:val="262526"/>
        </w:rPr>
        <w:t xml:space="preserve">instruments </w:t>
      </w:r>
      <w:r w:rsidR="00CA2AC0">
        <w:rPr>
          <w:color w:val="262526"/>
        </w:rPr>
        <w:t>establishes</w:t>
      </w:r>
      <w:r w:rsidR="00630390">
        <w:rPr>
          <w:color w:val="262526"/>
        </w:rPr>
        <w:t xml:space="preserve"> a framework that (when robustly applied) fulfill</w:t>
      </w:r>
      <w:r w:rsidR="00CA2AC0">
        <w:rPr>
          <w:color w:val="262526"/>
        </w:rPr>
        <w:t>s</w:t>
      </w:r>
      <w:r w:rsidR="00630390">
        <w:rPr>
          <w:color w:val="262526"/>
        </w:rPr>
        <w:t xml:space="preserve"> the objective of any </w:t>
      </w:r>
      <w:r w:rsidR="00630390" w:rsidRPr="00DE7532">
        <w:rPr>
          <w:color w:val="262526"/>
        </w:rPr>
        <w:t>criminal proceeding</w:t>
      </w:r>
      <w:r>
        <w:rPr>
          <w:color w:val="262526"/>
        </w:rPr>
        <w:t xml:space="preserve">: </w:t>
      </w:r>
      <w:r w:rsidR="00630390">
        <w:rPr>
          <w:color w:val="262526"/>
        </w:rPr>
        <w:t xml:space="preserve">to </w:t>
      </w:r>
      <w:r w:rsidR="00630390">
        <w:t>fairly resolve criminal disputes and fairly punish criminal wrongdoing within the shadow of a fair review process</w:t>
      </w:r>
      <w:r w:rsidR="00630390">
        <w:rPr>
          <w:color w:val="262526"/>
        </w:rPr>
        <w:t>.</w:t>
      </w:r>
      <w:r w:rsidR="00CA2AC0">
        <w:rPr>
          <w:color w:val="262526"/>
        </w:rPr>
        <w:t xml:space="preserve"> </w:t>
      </w:r>
      <w:r w:rsidR="00630390" w:rsidRPr="001B3B41">
        <w:t>Canadian jurisprudence</w:t>
      </w:r>
      <w:r w:rsidR="00630390">
        <w:t xml:space="preserve"> </w:t>
      </w:r>
      <w:r w:rsidR="00630390" w:rsidRPr="001B3B41">
        <w:t>frequently emphasiz</w:t>
      </w:r>
      <w:r w:rsidR="00630390">
        <w:t>es how</w:t>
      </w:r>
      <w:r w:rsidR="00630390" w:rsidRPr="001B3B41">
        <w:t xml:space="preserve"> a criminal trial is a search for the truth</w:t>
      </w:r>
      <w:r w:rsidR="00630390">
        <w:t>:</w:t>
      </w:r>
    </w:p>
    <w:p w14:paraId="60D678F3" w14:textId="15E950F2" w:rsidR="00630390" w:rsidRPr="00BD724A" w:rsidRDefault="00630390" w:rsidP="00AA6713">
      <w:pPr>
        <w:spacing w:before="100" w:beforeAutospacing="1" w:after="100" w:afterAutospacing="1"/>
        <w:ind w:left="720" w:right="340"/>
        <w:rPr>
          <w:rFonts w:eastAsia="Times New Roman"/>
          <w:spacing w:val="-2"/>
          <w:lang w:eastAsia="en-CA"/>
        </w:rPr>
      </w:pPr>
      <w:r w:rsidRPr="00BD724A">
        <w:rPr>
          <w:rFonts w:eastAsia="Times New Roman"/>
          <w:spacing w:val="-2"/>
          <w:lang w:eastAsia="en-CA"/>
        </w:rPr>
        <w:t>The</w:t>
      </w:r>
      <w:r w:rsidRPr="00BD724A">
        <w:rPr>
          <w:rFonts w:eastAsia="Times New Roman"/>
          <w:lang w:eastAsia="en-CA"/>
        </w:rPr>
        <w:t xml:space="preserve"> </w:t>
      </w:r>
      <w:r w:rsidRPr="00BD724A">
        <w:rPr>
          <w:rFonts w:eastAsia="Times New Roman"/>
          <w:spacing w:val="-2"/>
          <w:lang w:eastAsia="en-CA"/>
        </w:rPr>
        <w:t>ultimate</w:t>
      </w:r>
      <w:r w:rsidRPr="00BD724A">
        <w:rPr>
          <w:rFonts w:eastAsia="Times New Roman"/>
          <w:spacing w:val="2"/>
          <w:lang w:eastAsia="en-CA"/>
        </w:rPr>
        <w:t xml:space="preserve"> </w:t>
      </w:r>
      <w:r w:rsidRPr="00BD724A">
        <w:rPr>
          <w:rFonts w:eastAsia="Times New Roman"/>
          <w:lang w:eastAsia="en-CA"/>
        </w:rPr>
        <w:t>aim</w:t>
      </w:r>
      <w:r w:rsidRPr="00BD724A">
        <w:rPr>
          <w:rFonts w:eastAsia="Times New Roman"/>
          <w:spacing w:val="-3"/>
          <w:lang w:eastAsia="en-CA"/>
        </w:rPr>
        <w:t xml:space="preserve"> of</w:t>
      </w:r>
      <w:r w:rsidRPr="00BD724A">
        <w:rPr>
          <w:rFonts w:eastAsia="Times New Roman"/>
          <w:spacing w:val="-5"/>
          <w:lang w:eastAsia="en-CA"/>
        </w:rPr>
        <w:t xml:space="preserve"> </w:t>
      </w:r>
      <w:r w:rsidRPr="00BD724A">
        <w:rPr>
          <w:rFonts w:eastAsia="Times New Roman"/>
          <w:lang w:eastAsia="en-CA"/>
        </w:rPr>
        <w:t>any</w:t>
      </w:r>
      <w:r w:rsidRPr="00BD724A">
        <w:rPr>
          <w:rFonts w:eastAsia="Times New Roman"/>
          <w:spacing w:val="5"/>
          <w:lang w:eastAsia="en-CA"/>
        </w:rPr>
        <w:t xml:space="preserve"> </w:t>
      </w:r>
      <w:r w:rsidRPr="00BD724A">
        <w:rPr>
          <w:rFonts w:eastAsia="Times New Roman"/>
          <w:lang w:eastAsia="en-CA"/>
        </w:rPr>
        <w:t>trial,</w:t>
      </w:r>
      <w:r w:rsidRPr="00BD724A">
        <w:rPr>
          <w:rFonts w:eastAsia="Times New Roman"/>
          <w:spacing w:val="12"/>
          <w:lang w:eastAsia="en-CA"/>
        </w:rPr>
        <w:t xml:space="preserve"> </w:t>
      </w:r>
      <w:r w:rsidRPr="00BD724A">
        <w:rPr>
          <w:rFonts w:eastAsia="Times New Roman"/>
          <w:spacing w:val="-2"/>
          <w:lang w:eastAsia="en-CA"/>
        </w:rPr>
        <w:t>criminal</w:t>
      </w:r>
      <w:r w:rsidRPr="00BD724A">
        <w:rPr>
          <w:rFonts w:eastAsia="Times New Roman"/>
          <w:spacing w:val="9"/>
          <w:lang w:eastAsia="en-CA"/>
        </w:rPr>
        <w:t xml:space="preserve"> </w:t>
      </w:r>
      <w:r w:rsidRPr="00BD724A">
        <w:rPr>
          <w:rFonts w:eastAsia="Times New Roman"/>
          <w:spacing w:val="-3"/>
          <w:lang w:eastAsia="en-CA"/>
        </w:rPr>
        <w:t>or</w:t>
      </w:r>
      <w:r w:rsidRPr="00BD724A">
        <w:rPr>
          <w:rFonts w:eastAsia="Times New Roman"/>
          <w:spacing w:val="11"/>
          <w:lang w:eastAsia="en-CA"/>
        </w:rPr>
        <w:t xml:space="preserve"> </w:t>
      </w:r>
      <w:r w:rsidRPr="00BD724A">
        <w:rPr>
          <w:rFonts w:eastAsia="Times New Roman"/>
          <w:lang w:eastAsia="en-CA"/>
        </w:rPr>
        <w:t>civil,</w:t>
      </w:r>
      <w:r w:rsidRPr="00BD724A">
        <w:rPr>
          <w:rFonts w:eastAsia="Times New Roman"/>
          <w:spacing w:val="9"/>
          <w:lang w:eastAsia="en-CA"/>
        </w:rPr>
        <w:t xml:space="preserve"> </w:t>
      </w:r>
      <w:r w:rsidRPr="00BD724A">
        <w:rPr>
          <w:rFonts w:eastAsia="Times New Roman"/>
          <w:lang w:eastAsia="en-CA"/>
        </w:rPr>
        <w:t>must</w:t>
      </w:r>
      <w:r w:rsidRPr="00BD724A">
        <w:rPr>
          <w:rFonts w:eastAsia="Times New Roman"/>
          <w:spacing w:val="-6"/>
          <w:lang w:eastAsia="en-CA"/>
        </w:rPr>
        <w:t xml:space="preserve"> </w:t>
      </w:r>
      <w:r w:rsidRPr="00BD724A">
        <w:rPr>
          <w:rFonts w:eastAsia="Times New Roman"/>
          <w:spacing w:val="2"/>
          <w:lang w:eastAsia="en-CA"/>
        </w:rPr>
        <w:t xml:space="preserve">be </w:t>
      </w:r>
      <w:r w:rsidRPr="00BD724A">
        <w:rPr>
          <w:rFonts w:eastAsia="Times New Roman"/>
          <w:spacing w:val="-2"/>
          <w:lang w:eastAsia="en-CA"/>
        </w:rPr>
        <w:t>to seek</w:t>
      </w:r>
      <w:r w:rsidRPr="00BD724A">
        <w:rPr>
          <w:rFonts w:eastAsia="Times New Roman"/>
          <w:spacing w:val="11"/>
          <w:lang w:eastAsia="en-CA"/>
        </w:rPr>
        <w:t xml:space="preserve"> </w:t>
      </w:r>
      <w:r w:rsidRPr="00BD724A">
        <w:rPr>
          <w:rFonts w:eastAsia="Times New Roman"/>
          <w:lang w:eastAsia="en-CA"/>
        </w:rPr>
        <w:t xml:space="preserve">and </w:t>
      </w:r>
      <w:r w:rsidRPr="00BD724A">
        <w:rPr>
          <w:rFonts w:eastAsia="Times New Roman"/>
          <w:spacing w:val="2"/>
          <w:lang w:eastAsia="en-CA"/>
        </w:rPr>
        <w:t>to</w:t>
      </w:r>
      <w:r w:rsidRPr="00BD724A">
        <w:rPr>
          <w:rFonts w:eastAsia="Times New Roman"/>
          <w:spacing w:val="30"/>
          <w:lang w:eastAsia="en-CA"/>
        </w:rPr>
        <w:t xml:space="preserve"> </w:t>
      </w:r>
      <w:r w:rsidRPr="00BD724A">
        <w:rPr>
          <w:rFonts w:eastAsia="Times New Roman"/>
          <w:spacing w:val="-2"/>
          <w:lang w:eastAsia="en-CA"/>
        </w:rPr>
        <w:t>ascertain</w:t>
      </w:r>
      <w:r w:rsidRPr="00BD724A">
        <w:rPr>
          <w:rFonts w:eastAsia="Times New Roman"/>
          <w:spacing w:val="6"/>
          <w:lang w:eastAsia="en-CA"/>
        </w:rPr>
        <w:t xml:space="preserve"> </w:t>
      </w:r>
      <w:r w:rsidRPr="00BD724A">
        <w:rPr>
          <w:rFonts w:eastAsia="Times New Roman"/>
          <w:lang w:eastAsia="en-CA"/>
        </w:rPr>
        <w:t>the</w:t>
      </w:r>
      <w:r w:rsidRPr="00BD724A">
        <w:rPr>
          <w:rFonts w:eastAsia="Times New Roman"/>
          <w:spacing w:val="-6"/>
          <w:lang w:eastAsia="en-CA"/>
        </w:rPr>
        <w:t xml:space="preserve"> </w:t>
      </w:r>
      <w:r w:rsidRPr="00BD724A">
        <w:rPr>
          <w:rFonts w:eastAsia="Times New Roman"/>
          <w:spacing w:val="-2"/>
          <w:lang w:eastAsia="en-CA"/>
        </w:rPr>
        <w:t>truth.</w:t>
      </w:r>
      <w:r w:rsidRPr="00BD724A">
        <w:rPr>
          <w:rFonts w:eastAsia="Times New Roman"/>
          <w:spacing w:val="11"/>
          <w:lang w:eastAsia="en-CA"/>
        </w:rPr>
        <w:t xml:space="preserve"> </w:t>
      </w:r>
      <w:r w:rsidRPr="00BD724A">
        <w:rPr>
          <w:rFonts w:eastAsia="Times New Roman"/>
          <w:spacing w:val="-3"/>
          <w:lang w:eastAsia="en-CA"/>
        </w:rPr>
        <w:t>In</w:t>
      </w:r>
      <w:r w:rsidRPr="00BD724A">
        <w:rPr>
          <w:rFonts w:eastAsia="Times New Roman"/>
          <w:lang w:eastAsia="en-CA"/>
        </w:rPr>
        <w:t xml:space="preserve"> </w:t>
      </w:r>
      <w:r w:rsidRPr="00BD724A">
        <w:rPr>
          <w:rFonts w:eastAsia="Times New Roman"/>
          <w:spacing w:val="3"/>
          <w:lang w:eastAsia="en-CA"/>
        </w:rPr>
        <w:t>a</w:t>
      </w:r>
      <w:r w:rsidRPr="00BD724A">
        <w:rPr>
          <w:rFonts w:eastAsia="Times New Roman"/>
          <w:spacing w:val="-3"/>
          <w:lang w:eastAsia="en-CA"/>
        </w:rPr>
        <w:t xml:space="preserve"> </w:t>
      </w:r>
      <w:r w:rsidRPr="00BD724A">
        <w:rPr>
          <w:rFonts w:eastAsia="Times New Roman"/>
          <w:spacing w:val="-2"/>
          <w:lang w:eastAsia="en-CA"/>
        </w:rPr>
        <w:t>criminal</w:t>
      </w:r>
      <w:r w:rsidRPr="00BD724A">
        <w:rPr>
          <w:rFonts w:eastAsia="Times New Roman"/>
          <w:spacing w:val="-8"/>
          <w:lang w:eastAsia="en-CA"/>
        </w:rPr>
        <w:t xml:space="preserve"> </w:t>
      </w:r>
      <w:r w:rsidRPr="00BD724A">
        <w:rPr>
          <w:rFonts w:eastAsia="Times New Roman"/>
          <w:spacing w:val="-2"/>
          <w:lang w:eastAsia="en-CA"/>
        </w:rPr>
        <w:t>trial</w:t>
      </w:r>
      <w:r w:rsidRPr="00BD724A">
        <w:rPr>
          <w:rFonts w:eastAsia="Times New Roman"/>
          <w:spacing w:val="12"/>
          <w:lang w:eastAsia="en-CA"/>
        </w:rPr>
        <w:t xml:space="preserve"> </w:t>
      </w:r>
      <w:r w:rsidRPr="00BD724A">
        <w:rPr>
          <w:rFonts w:eastAsia="Times New Roman"/>
          <w:lang w:eastAsia="en-CA"/>
        </w:rPr>
        <w:t>the</w:t>
      </w:r>
      <w:r w:rsidRPr="00BD724A">
        <w:rPr>
          <w:rFonts w:eastAsia="Times New Roman"/>
          <w:spacing w:val="18"/>
          <w:lang w:eastAsia="en-CA"/>
        </w:rPr>
        <w:t xml:space="preserve"> </w:t>
      </w:r>
      <w:r w:rsidRPr="00BD724A">
        <w:rPr>
          <w:rFonts w:eastAsia="Times New Roman"/>
          <w:spacing w:val="-2"/>
          <w:lang w:eastAsia="en-CA"/>
        </w:rPr>
        <w:t>search</w:t>
      </w:r>
      <w:r w:rsidRPr="00BD724A">
        <w:rPr>
          <w:rFonts w:eastAsia="Times New Roman"/>
          <w:spacing w:val="27"/>
          <w:lang w:eastAsia="en-CA"/>
        </w:rPr>
        <w:t xml:space="preserve"> </w:t>
      </w:r>
      <w:r w:rsidRPr="00BD724A">
        <w:rPr>
          <w:rFonts w:eastAsia="Times New Roman"/>
          <w:spacing w:val="2"/>
          <w:lang w:eastAsia="en-CA"/>
        </w:rPr>
        <w:t>for</w:t>
      </w:r>
      <w:r w:rsidRPr="00BD724A">
        <w:rPr>
          <w:rFonts w:eastAsia="Times New Roman"/>
          <w:spacing w:val="15"/>
          <w:lang w:eastAsia="en-CA"/>
        </w:rPr>
        <w:t xml:space="preserve"> </w:t>
      </w:r>
      <w:r w:rsidRPr="00BD724A">
        <w:rPr>
          <w:rFonts w:eastAsia="Times New Roman"/>
          <w:lang w:eastAsia="en-CA"/>
        </w:rPr>
        <w:t>truth</w:t>
      </w:r>
      <w:r w:rsidRPr="00BD724A">
        <w:rPr>
          <w:rFonts w:eastAsia="Times New Roman"/>
          <w:spacing w:val="35"/>
          <w:lang w:eastAsia="en-CA"/>
        </w:rPr>
        <w:t xml:space="preserve"> </w:t>
      </w:r>
      <w:r w:rsidRPr="00BD724A">
        <w:rPr>
          <w:rFonts w:eastAsia="Times New Roman"/>
          <w:spacing w:val="2"/>
          <w:lang w:eastAsia="en-CA"/>
        </w:rPr>
        <w:t>is</w:t>
      </w:r>
      <w:r w:rsidRPr="00BD724A">
        <w:rPr>
          <w:rFonts w:eastAsia="Times New Roman"/>
          <w:spacing w:val="17"/>
          <w:lang w:eastAsia="en-CA"/>
        </w:rPr>
        <w:t xml:space="preserve"> </w:t>
      </w:r>
      <w:r w:rsidRPr="00BD724A">
        <w:rPr>
          <w:rFonts w:eastAsia="Times New Roman"/>
          <w:lang w:eastAsia="en-CA"/>
        </w:rPr>
        <w:t>undertaken</w:t>
      </w:r>
      <w:r w:rsidRPr="00BD724A">
        <w:rPr>
          <w:rFonts w:eastAsia="Times New Roman"/>
          <w:spacing w:val="27"/>
          <w:lang w:eastAsia="en-CA"/>
        </w:rPr>
        <w:t xml:space="preserve"> </w:t>
      </w:r>
      <w:r w:rsidRPr="00BD724A">
        <w:rPr>
          <w:rFonts w:eastAsia="Times New Roman"/>
          <w:spacing w:val="-2"/>
          <w:lang w:eastAsia="en-CA"/>
        </w:rPr>
        <w:t>to</w:t>
      </w:r>
      <w:r w:rsidRPr="00BD724A">
        <w:rPr>
          <w:rFonts w:eastAsia="Times New Roman"/>
          <w:spacing w:val="21"/>
          <w:lang w:eastAsia="en-CA"/>
        </w:rPr>
        <w:t xml:space="preserve"> </w:t>
      </w:r>
      <w:r w:rsidRPr="00BD724A">
        <w:rPr>
          <w:rFonts w:eastAsia="Times New Roman"/>
          <w:lang w:eastAsia="en-CA"/>
        </w:rPr>
        <w:t>determine</w:t>
      </w:r>
      <w:r w:rsidRPr="00BD724A">
        <w:rPr>
          <w:rFonts w:eastAsia="Times New Roman"/>
          <w:spacing w:val="35"/>
          <w:lang w:eastAsia="en-CA"/>
        </w:rPr>
        <w:t xml:space="preserve"> </w:t>
      </w:r>
      <w:r w:rsidRPr="00BD724A">
        <w:rPr>
          <w:rFonts w:eastAsia="Times New Roman"/>
          <w:lang w:eastAsia="en-CA"/>
        </w:rPr>
        <w:t>whether</w:t>
      </w:r>
      <w:r w:rsidRPr="00BD724A">
        <w:rPr>
          <w:rFonts w:eastAsia="Times New Roman"/>
          <w:spacing w:val="29"/>
          <w:lang w:eastAsia="en-CA"/>
        </w:rPr>
        <w:t xml:space="preserve"> </w:t>
      </w:r>
      <w:r w:rsidRPr="00BD724A">
        <w:rPr>
          <w:rFonts w:eastAsia="Times New Roman"/>
          <w:lang w:eastAsia="en-CA"/>
        </w:rPr>
        <w:t>the</w:t>
      </w:r>
      <w:r w:rsidRPr="00BD724A">
        <w:rPr>
          <w:rFonts w:eastAsia="Times New Roman"/>
          <w:spacing w:val="27"/>
          <w:lang w:eastAsia="en-CA"/>
        </w:rPr>
        <w:t xml:space="preserve"> </w:t>
      </w:r>
      <w:r w:rsidRPr="00BD724A">
        <w:rPr>
          <w:rFonts w:eastAsia="Times New Roman"/>
          <w:lang w:eastAsia="en-CA"/>
        </w:rPr>
        <w:t>accused</w:t>
      </w:r>
      <w:r w:rsidRPr="00BD724A">
        <w:rPr>
          <w:rFonts w:eastAsia="Times New Roman"/>
          <w:spacing w:val="21"/>
          <w:lang w:eastAsia="en-CA"/>
        </w:rPr>
        <w:t xml:space="preserve"> </w:t>
      </w:r>
      <w:r w:rsidRPr="00BD724A">
        <w:rPr>
          <w:rFonts w:eastAsia="Times New Roman"/>
          <w:spacing w:val="-2"/>
          <w:lang w:eastAsia="en-CA"/>
        </w:rPr>
        <w:t>before</w:t>
      </w:r>
      <w:r w:rsidRPr="00BD724A">
        <w:rPr>
          <w:rFonts w:eastAsia="Times New Roman"/>
          <w:spacing w:val="23"/>
          <w:lang w:eastAsia="en-CA"/>
        </w:rPr>
        <w:t xml:space="preserve"> </w:t>
      </w:r>
      <w:r w:rsidRPr="00BD724A">
        <w:rPr>
          <w:rFonts w:eastAsia="Times New Roman"/>
          <w:lang w:eastAsia="en-CA"/>
        </w:rPr>
        <w:t>the</w:t>
      </w:r>
      <w:r w:rsidRPr="00BD724A">
        <w:rPr>
          <w:rFonts w:eastAsia="Times New Roman"/>
          <w:spacing w:val="23"/>
          <w:lang w:eastAsia="en-CA"/>
        </w:rPr>
        <w:t xml:space="preserve"> </w:t>
      </w:r>
      <w:r w:rsidRPr="00BD724A">
        <w:rPr>
          <w:rFonts w:eastAsia="Times New Roman"/>
          <w:spacing w:val="-2"/>
          <w:lang w:eastAsia="en-CA"/>
        </w:rPr>
        <w:t>court</w:t>
      </w:r>
      <w:r w:rsidRPr="00BD724A">
        <w:rPr>
          <w:rFonts w:eastAsia="Times New Roman"/>
          <w:spacing w:val="27"/>
          <w:lang w:eastAsia="en-CA"/>
        </w:rPr>
        <w:t xml:space="preserve"> </w:t>
      </w:r>
      <w:r w:rsidRPr="00BD724A">
        <w:rPr>
          <w:rFonts w:eastAsia="Times New Roman"/>
          <w:spacing w:val="-2"/>
          <w:lang w:eastAsia="en-CA"/>
        </w:rPr>
        <w:t>is,</w:t>
      </w:r>
      <w:r w:rsidRPr="00BD724A">
        <w:rPr>
          <w:rFonts w:eastAsia="Times New Roman"/>
          <w:spacing w:val="12"/>
          <w:lang w:eastAsia="en-CA"/>
        </w:rPr>
        <w:t xml:space="preserve"> </w:t>
      </w:r>
      <w:r w:rsidRPr="00BD724A">
        <w:rPr>
          <w:rFonts w:eastAsia="Times New Roman"/>
          <w:lang w:eastAsia="en-CA"/>
        </w:rPr>
        <w:t>beyond</w:t>
      </w:r>
      <w:r w:rsidRPr="00BD724A">
        <w:rPr>
          <w:rFonts w:eastAsia="Times New Roman"/>
          <w:spacing w:val="-8"/>
          <w:lang w:eastAsia="en-CA"/>
        </w:rPr>
        <w:t xml:space="preserve"> </w:t>
      </w:r>
      <w:r w:rsidRPr="00BD724A">
        <w:rPr>
          <w:rFonts w:eastAsia="Times New Roman"/>
          <w:spacing w:val="3"/>
          <w:lang w:eastAsia="en-CA"/>
        </w:rPr>
        <w:t>a</w:t>
      </w:r>
      <w:r w:rsidRPr="00BD724A">
        <w:rPr>
          <w:rFonts w:eastAsia="Times New Roman"/>
          <w:spacing w:val="8"/>
          <w:lang w:eastAsia="en-CA"/>
        </w:rPr>
        <w:t xml:space="preserve"> </w:t>
      </w:r>
      <w:r w:rsidRPr="00BD724A">
        <w:rPr>
          <w:rFonts w:eastAsia="Times New Roman"/>
          <w:spacing w:val="-2"/>
          <w:lang w:eastAsia="en-CA"/>
        </w:rPr>
        <w:t>reasonable</w:t>
      </w:r>
      <w:r w:rsidRPr="00BD724A">
        <w:rPr>
          <w:rFonts w:eastAsia="Times New Roman"/>
          <w:spacing w:val="15"/>
          <w:lang w:eastAsia="en-CA"/>
        </w:rPr>
        <w:t xml:space="preserve"> </w:t>
      </w:r>
      <w:r w:rsidRPr="00BD724A">
        <w:rPr>
          <w:rFonts w:eastAsia="Times New Roman"/>
          <w:lang w:eastAsia="en-CA"/>
        </w:rPr>
        <w:t>doubt,</w:t>
      </w:r>
      <w:r w:rsidRPr="00BD724A">
        <w:rPr>
          <w:rFonts w:eastAsia="Times New Roman"/>
          <w:spacing w:val="14"/>
          <w:lang w:eastAsia="en-CA"/>
        </w:rPr>
        <w:t xml:space="preserve"> </w:t>
      </w:r>
      <w:r w:rsidRPr="00BD724A">
        <w:rPr>
          <w:rFonts w:eastAsia="Times New Roman"/>
          <w:spacing w:val="-2"/>
          <w:lang w:eastAsia="en-CA"/>
        </w:rPr>
        <w:t>guilty</w:t>
      </w:r>
      <w:r w:rsidRPr="00BD724A">
        <w:rPr>
          <w:rFonts w:eastAsia="Times New Roman"/>
          <w:spacing w:val="21"/>
          <w:lang w:eastAsia="en-CA"/>
        </w:rPr>
        <w:t xml:space="preserve"> </w:t>
      </w:r>
      <w:r w:rsidRPr="00BD724A">
        <w:rPr>
          <w:rFonts w:eastAsia="Times New Roman"/>
          <w:spacing w:val="-3"/>
          <w:lang w:eastAsia="en-CA"/>
        </w:rPr>
        <w:t>of</w:t>
      </w:r>
      <w:r w:rsidRPr="00BD724A">
        <w:rPr>
          <w:rFonts w:eastAsia="Times New Roman"/>
          <w:spacing w:val="11"/>
          <w:lang w:eastAsia="en-CA"/>
        </w:rPr>
        <w:t xml:space="preserve"> </w:t>
      </w:r>
      <w:r w:rsidRPr="00BD724A">
        <w:rPr>
          <w:rFonts w:eastAsia="Times New Roman"/>
          <w:lang w:eastAsia="en-CA"/>
        </w:rPr>
        <w:t>the</w:t>
      </w:r>
      <w:r w:rsidRPr="00BD724A">
        <w:rPr>
          <w:rFonts w:eastAsia="Times New Roman"/>
          <w:spacing w:val="18"/>
          <w:lang w:eastAsia="en-CA"/>
        </w:rPr>
        <w:t xml:space="preserve"> </w:t>
      </w:r>
      <w:r w:rsidRPr="00BD724A">
        <w:rPr>
          <w:rFonts w:eastAsia="Times New Roman"/>
          <w:spacing w:val="-2"/>
          <w:lang w:eastAsia="en-CA"/>
        </w:rPr>
        <w:t>crime</w:t>
      </w:r>
      <w:r w:rsidRPr="00BD724A">
        <w:rPr>
          <w:rFonts w:eastAsia="Times New Roman"/>
          <w:spacing w:val="18"/>
          <w:lang w:eastAsia="en-CA"/>
        </w:rPr>
        <w:t xml:space="preserve"> </w:t>
      </w:r>
      <w:r w:rsidRPr="00BD724A">
        <w:rPr>
          <w:rFonts w:eastAsia="Times New Roman"/>
          <w:spacing w:val="-2"/>
          <w:lang w:eastAsia="en-CA"/>
        </w:rPr>
        <w:t>with</w:t>
      </w:r>
      <w:r w:rsidRPr="00BD724A">
        <w:rPr>
          <w:rFonts w:eastAsia="Times New Roman"/>
          <w:spacing w:val="24"/>
          <w:lang w:eastAsia="en-CA"/>
        </w:rPr>
        <w:t xml:space="preserve"> </w:t>
      </w:r>
      <w:r w:rsidRPr="00BD724A">
        <w:rPr>
          <w:rFonts w:eastAsia="Times New Roman"/>
          <w:lang w:eastAsia="en-CA"/>
        </w:rPr>
        <w:t>which</w:t>
      </w:r>
      <w:r w:rsidRPr="00BD724A">
        <w:rPr>
          <w:rFonts w:eastAsia="Times New Roman"/>
          <w:spacing w:val="21"/>
          <w:lang w:eastAsia="en-CA"/>
        </w:rPr>
        <w:t xml:space="preserve"> </w:t>
      </w:r>
      <w:r w:rsidRPr="00BD724A">
        <w:rPr>
          <w:rFonts w:eastAsia="Times New Roman"/>
          <w:spacing w:val="2"/>
          <w:lang w:eastAsia="en-CA"/>
        </w:rPr>
        <w:t>he</w:t>
      </w:r>
      <w:r w:rsidRPr="00BD724A">
        <w:rPr>
          <w:rFonts w:eastAsia="Times New Roman"/>
          <w:spacing w:val="20"/>
          <w:lang w:eastAsia="en-CA"/>
        </w:rPr>
        <w:t xml:space="preserve"> </w:t>
      </w:r>
      <w:r w:rsidRPr="00BD724A">
        <w:rPr>
          <w:rFonts w:eastAsia="Times New Roman"/>
          <w:spacing w:val="2"/>
          <w:lang w:eastAsia="en-CA"/>
        </w:rPr>
        <w:t>is</w:t>
      </w:r>
      <w:r w:rsidRPr="00BD724A">
        <w:rPr>
          <w:rFonts w:eastAsia="Times New Roman"/>
          <w:spacing w:val="8"/>
          <w:lang w:eastAsia="en-CA"/>
        </w:rPr>
        <w:t xml:space="preserve"> </w:t>
      </w:r>
      <w:r w:rsidRPr="00BD724A">
        <w:rPr>
          <w:rFonts w:eastAsia="Times New Roman"/>
          <w:spacing w:val="-2"/>
          <w:lang w:eastAsia="en-CA"/>
        </w:rPr>
        <w:t>charged.</w:t>
      </w:r>
      <w:r w:rsidRPr="00BD724A">
        <w:rPr>
          <w:rFonts w:eastAsia="Times New Roman"/>
          <w:spacing w:val="-2"/>
          <w:vertAlign w:val="superscript"/>
          <w:lang w:eastAsia="en-CA"/>
        </w:rPr>
        <w:endnoteReference w:id="4"/>
      </w:r>
    </w:p>
    <w:p w14:paraId="20B26471" w14:textId="7CE3BDD8" w:rsidR="00630390" w:rsidRDefault="00630390" w:rsidP="00AA6713">
      <w:pPr>
        <w:rPr>
          <w:color w:val="262526"/>
        </w:rPr>
      </w:pPr>
      <w:r w:rsidRPr="001B3B41">
        <w:lastRenderedPageBreak/>
        <w:t>The criminal trial</w:t>
      </w:r>
      <w:r w:rsidR="00CB4428">
        <w:t xml:space="preserve"> – along with any subsequent appeal process, if triggered – is </w:t>
      </w:r>
      <w:r w:rsidRPr="001B3B41">
        <w:t>the epicentre of the justice system</w:t>
      </w:r>
      <w:r w:rsidR="00CB4428">
        <w:t xml:space="preserve">. Criminal trials are where </w:t>
      </w:r>
      <w:r w:rsidRPr="001B3B41">
        <w:t>justice is practiced and dispensed</w:t>
      </w:r>
      <w:r w:rsidR="00CB4428">
        <w:t xml:space="preserve">; where </w:t>
      </w:r>
      <w:r w:rsidRPr="001B3B41">
        <w:t>the parties and stakeholders converge</w:t>
      </w:r>
      <w:r w:rsidR="00CB4428">
        <w:t xml:space="preserve"> </w:t>
      </w:r>
      <w:r w:rsidRPr="001B3B41">
        <w:t>in full public view</w:t>
      </w:r>
      <w:r w:rsidR="00CB4428">
        <w:t xml:space="preserve"> to apply, test and interpret criminal law; </w:t>
      </w:r>
      <w:r w:rsidR="00E60172">
        <w:t>where c</w:t>
      </w:r>
      <w:r w:rsidRPr="001B3B41">
        <w:t>onstitutional validity is assessed</w:t>
      </w:r>
      <w:r w:rsidR="00E60172">
        <w:t>; and where</w:t>
      </w:r>
      <w:r w:rsidRPr="001B3B41">
        <w:t xml:space="preserve"> statutory provisions are </w:t>
      </w:r>
      <w:r w:rsidR="00E60172">
        <w:t>either affirmed</w:t>
      </w:r>
      <w:r w:rsidRPr="001B3B41">
        <w:t xml:space="preserve">, declared </w:t>
      </w:r>
      <w:r w:rsidRPr="001B3B41">
        <w:rPr>
          <w:shd w:val="clear" w:color="auto" w:fill="FFFFFF"/>
        </w:rPr>
        <w:t xml:space="preserve">partially invalid, or struck down </w:t>
      </w:r>
      <w:r w:rsidR="00E60172">
        <w:rPr>
          <w:shd w:val="clear" w:color="auto" w:fill="FFFFFF"/>
        </w:rPr>
        <w:t>and</w:t>
      </w:r>
      <w:r w:rsidRPr="001B3B41">
        <w:rPr>
          <w:shd w:val="clear" w:color="auto" w:fill="FFFFFF"/>
        </w:rPr>
        <w:t xml:space="preserve"> declared to be of no force and effect.</w:t>
      </w:r>
      <w:r w:rsidRPr="001B3B41">
        <w:rPr>
          <w:shd w:val="clear" w:color="auto" w:fill="FFFFFF"/>
          <w:vertAlign w:val="superscript"/>
        </w:rPr>
        <w:endnoteReference w:id="5"/>
      </w:r>
    </w:p>
    <w:p w14:paraId="5ABDC936" w14:textId="77777777" w:rsidR="00630390" w:rsidRDefault="00630390" w:rsidP="00DE7532">
      <w:pPr>
        <w:rPr>
          <w:color w:val="262526"/>
        </w:rPr>
      </w:pPr>
    </w:p>
    <w:p w14:paraId="762F4435" w14:textId="07563F4F" w:rsidR="00630390" w:rsidRPr="00AA6713" w:rsidRDefault="00630390" w:rsidP="00DE7532">
      <w:pPr>
        <w:rPr>
          <w:color w:val="262526"/>
        </w:rPr>
      </w:pPr>
      <w:r w:rsidRPr="00AA6713">
        <w:rPr>
          <w:color w:val="262526"/>
        </w:rPr>
        <w:t xml:space="preserve">In this regard, there is no doubt that </w:t>
      </w:r>
      <w:r w:rsidR="004807F9">
        <w:rPr>
          <w:color w:val="262526"/>
        </w:rPr>
        <w:t xml:space="preserve">the </w:t>
      </w:r>
      <w:r w:rsidRPr="00AA6713">
        <w:rPr>
          <w:color w:val="262526"/>
        </w:rPr>
        <w:t>criminal court</w:t>
      </w:r>
      <w:r w:rsidR="004807F9">
        <w:rPr>
          <w:color w:val="262526"/>
        </w:rPr>
        <w:t xml:space="preserve"> litigation process </w:t>
      </w:r>
      <w:r w:rsidRPr="00AA6713">
        <w:rPr>
          <w:color w:val="262526"/>
        </w:rPr>
        <w:t xml:space="preserve">can hold AI technology to high Canadian legal standards. </w:t>
      </w:r>
      <w:r w:rsidR="004807F9">
        <w:rPr>
          <w:color w:val="262526"/>
        </w:rPr>
        <w:t>L</w:t>
      </w:r>
      <w:r w:rsidRPr="00AA6713">
        <w:rPr>
          <w:color w:val="262526"/>
        </w:rPr>
        <w:t>eading criminal litigators</w:t>
      </w:r>
      <w:r w:rsidR="004807F9">
        <w:rPr>
          <w:color w:val="262526"/>
        </w:rPr>
        <w:t xml:space="preserve"> have</w:t>
      </w:r>
      <w:r w:rsidRPr="00AA6713">
        <w:rPr>
          <w:color w:val="262526"/>
        </w:rPr>
        <w:t xml:space="preserve"> written</w:t>
      </w:r>
      <w:r w:rsidR="004807F9">
        <w:rPr>
          <w:color w:val="262526"/>
        </w:rPr>
        <w:t xml:space="preserve"> that</w:t>
      </w:r>
      <w:r w:rsidRPr="00AA6713">
        <w:rPr>
          <w:color w:val="262526"/>
        </w:rPr>
        <w:t xml:space="preserve"> “</w:t>
      </w:r>
      <w:r w:rsidR="004807F9">
        <w:rPr>
          <w:rFonts w:ascii="Calibri" w:hAnsi="Calibri" w:cs="Calibri"/>
        </w:rPr>
        <w:t>o</w:t>
      </w:r>
      <w:r w:rsidRPr="00AA6713">
        <w:rPr>
          <w:rFonts w:ascii="Calibri" w:hAnsi="Calibri" w:cs="Calibri"/>
          <w:color w:val="262526"/>
        </w:rPr>
        <w:t>ne of the benefits of litigation is that it can expose the flaws and legal uncertainties of new technologies.”</w:t>
      </w:r>
      <w:r w:rsidRPr="00AA6713">
        <w:rPr>
          <w:rFonts w:ascii="Calibri" w:hAnsi="Calibri" w:cs="Calibri"/>
          <w:color w:val="262526"/>
          <w:vertAlign w:val="superscript"/>
        </w:rPr>
        <w:endnoteReference w:id="6"/>
      </w:r>
      <w:r w:rsidRPr="00AA6713">
        <w:rPr>
          <w:rFonts w:ascii="Calibri" w:hAnsi="Calibri" w:cs="Calibri"/>
          <w:color w:val="262526"/>
        </w:rPr>
        <w:t xml:space="preserve"> They note how criminal and civil litigation </w:t>
      </w:r>
      <w:r w:rsidR="004807F9">
        <w:rPr>
          <w:rFonts w:ascii="Calibri" w:hAnsi="Calibri" w:cs="Calibri"/>
          <w:color w:val="262526"/>
        </w:rPr>
        <w:t>involving</w:t>
      </w:r>
      <w:r w:rsidRPr="00AA6713">
        <w:rPr>
          <w:rFonts w:ascii="Calibri" w:hAnsi="Calibri" w:cs="Calibri"/>
          <w:color w:val="262526"/>
        </w:rPr>
        <w:t xml:space="preserve"> AI and algorithmic tools expose “systemic flaws including inaccuracy, unreliability, unintended biases, opacity, lack of explainability, data illiteracy, automation bias.”</w:t>
      </w:r>
      <w:r w:rsidRPr="00AA6713">
        <w:rPr>
          <w:rFonts w:ascii="Calibri" w:hAnsi="Calibri" w:cs="Calibri"/>
          <w:color w:val="262526"/>
          <w:vertAlign w:val="superscript"/>
        </w:rPr>
        <w:endnoteReference w:id="7"/>
      </w:r>
    </w:p>
    <w:p w14:paraId="79910E18" w14:textId="77777777" w:rsidR="00630390" w:rsidRDefault="00630390" w:rsidP="00D6562E">
      <w:pPr>
        <w:rPr>
          <w:color w:val="262526"/>
        </w:rPr>
      </w:pPr>
    </w:p>
    <w:p w14:paraId="66D182CE" w14:textId="522287E5" w:rsidR="00630390" w:rsidRPr="00270F9B" w:rsidRDefault="00630390" w:rsidP="00ED7C4E">
      <w:pPr>
        <w:rPr>
          <w:color w:val="262526"/>
        </w:rPr>
      </w:pPr>
      <w:r>
        <w:rPr>
          <w:color w:val="262526"/>
        </w:rPr>
        <w:t xml:space="preserve">At the same time, and left to their own devices, it is inarguable that courts will shoulder a very high burden if construed as the </w:t>
      </w:r>
      <w:r w:rsidRPr="00170443">
        <w:rPr>
          <w:i/>
          <w:iCs/>
          <w:color w:val="262526"/>
        </w:rPr>
        <w:t>de facto</w:t>
      </w:r>
      <w:r>
        <w:rPr>
          <w:color w:val="262526"/>
        </w:rPr>
        <w:t xml:space="preserve"> AI regulator in criminal justice. The reasons for this are evident. </w:t>
      </w:r>
      <w:r w:rsidRPr="00D6562E">
        <w:t>Cases may take years to resolve conclusively</w:t>
      </w:r>
      <w:r>
        <w:t xml:space="preserve"> and will significantly </w:t>
      </w:r>
      <w:r w:rsidRPr="00D6562E">
        <w:t>lag technological developments. Precedent</w:t>
      </w:r>
      <w:r>
        <w:t xml:space="preserve">ial cases </w:t>
      </w:r>
      <w:r w:rsidRPr="00D6562E">
        <w:t>may be</w:t>
      </w:r>
      <w:r>
        <w:t xml:space="preserve"> narrowed to specific technologies, points of law, unusual facts or distinct technological use cases. </w:t>
      </w:r>
      <w:r w:rsidRPr="00D6562E">
        <w:t xml:space="preserve">And courts are not always seized of jurisdiction over </w:t>
      </w:r>
      <w:r w:rsidR="004807F9">
        <w:t xml:space="preserve">different </w:t>
      </w:r>
      <w:r w:rsidRPr="00D6562E">
        <w:t>justice and justice-involved institutions</w:t>
      </w:r>
      <w:r>
        <w:t xml:space="preserve">, such as health care, community supports and services, children’s aid, family law, and immigration law (to name just a few). This makes it particularly difficult for courts to </w:t>
      </w:r>
      <w:r w:rsidRPr="00D6562E">
        <w:t xml:space="preserve">navigate </w:t>
      </w:r>
      <w:r>
        <w:t xml:space="preserve">issues related to </w:t>
      </w:r>
      <w:r w:rsidRPr="00D6562E">
        <w:t xml:space="preserve">resource constraints, policy and program design, and other issues </w:t>
      </w:r>
      <w:r>
        <w:t>external to courts but often integral to the conduct of criminal prosecutions, trials and appeals.</w:t>
      </w:r>
    </w:p>
    <w:p w14:paraId="37AFCDD7" w14:textId="77777777" w:rsidR="00630390" w:rsidRDefault="00630390" w:rsidP="00D6562E">
      <w:pPr>
        <w:rPr>
          <w:color w:val="262526"/>
        </w:rPr>
      </w:pPr>
    </w:p>
    <w:p w14:paraId="04C3528C" w14:textId="5058F4FB" w:rsidR="00630390" w:rsidRDefault="00630390" w:rsidP="00D6562E">
      <w:pPr>
        <w:rPr>
          <w:color w:val="262526"/>
        </w:rPr>
      </w:pPr>
      <w:r>
        <w:rPr>
          <w:color w:val="262526"/>
        </w:rPr>
        <w:t xml:space="preserve">Furthermore, the </w:t>
      </w:r>
      <w:r w:rsidRPr="00D6562E">
        <w:rPr>
          <w:i/>
          <w:iCs/>
          <w:color w:val="262526"/>
        </w:rPr>
        <w:t>Charter</w:t>
      </w:r>
      <w:r>
        <w:rPr>
          <w:color w:val="262526"/>
        </w:rPr>
        <w:t xml:space="preserve">, </w:t>
      </w:r>
      <w:r w:rsidRPr="00D6562E">
        <w:rPr>
          <w:color w:val="262526"/>
        </w:rPr>
        <w:t xml:space="preserve">principles of </w:t>
      </w:r>
      <w:r w:rsidRPr="00D6562E">
        <w:t>procedural fairness</w:t>
      </w:r>
      <w:r>
        <w:t xml:space="preserve">, </w:t>
      </w:r>
      <w:r w:rsidR="004807F9">
        <w:t xml:space="preserve">evidence law, </w:t>
      </w:r>
      <w:r>
        <w:t>common law and other existing legislation are</w:t>
      </w:r>
      <w:r>
        <w:rPr>
          <w:color w:val="262526"/>
        </w:rPr>
        <w:t xml:space="preserve"> </w:t>
      </w:r>
      <w:r w:rsidRPr="00D6562E">
        <w:rPr>
          <w:color w:val="262526"/>
        </w:rPr>
        <w:t>not designed as a framework to maximize AI’s potential benefits while simultaneously mitigating its potential harm.</w:t>
      </w:r>
    </w:p>
    <w:p w14:paraId="5F2BCFE4" w14:textId="77777777" w:rsidR="00630390" w:rsidRDefault="00630390" w:rsidP="00D6562E">
      <w:pPr>
        <w:rPr>
          <w:color w:val="262526"/>
        </w:rPr>
      </w:pPr>
    </w:p>
    <w:p w14:paraId="79953B12" w14:textId="480F54DB" w:rsidR="00630390" w:rsidRDefault="00630390" w:rsidP="00D6562E">
      <w:pPr>
        <w:rPr>
          <w:color w:val="262526"/>
        </w:rPr>
      </w:pPr>
      <w:r>
        <w:rPr>
          <w:color w:val="262526"/>
        </w:rPr>
        <w:t>Ultimately, litigators have concluded:</w:t>
      </w:r>
    </w:p>
    <w:p w14:paraId="64E1FF46" w14:textId="77777777" w:rsidR="00630390" w:rsidRPr="00D6562E" w:rsidRDefault="00630390" w:rsidP="00D6562E"/>
    <w:p w14:paraId="7FF1A848" w14:textId="77777777" w:rsidR="00630390" w:rsidRPr="00270F9B" w:rsidRDefault="00630390" w:rsidP="00270F9B">
      <w:pPr>
        <w:ind w:left="680" w:right="340"/>
        <w:rPr>
          <w:rFonts w:ascii="Calibri" w:hAnsi="Calibri" w:cs="Calibri"/>
          <w:color w:val="262526"/>
        </w:rPr>
      </w:pPr>
      <w:r w:rsidRPr="00270F9B">
        <w:rPr>
          <w:rFonts w:ascii="Calibri" w:hAnsi="Calibri" w:cs="Calibri"/>
          <w:color w:val="262526"/>
        </w:rPr>
        <w:t>The common theme that emerges from all litigation is that AI and algorithmic tools were introduced prior to serious discussions about proper guardrails governing their use. Regulation by litigation is not a sufficient answer to the challenges and risks posed by these systems. Proactive regulation is required.</w:t>
      </w:r>
      <w:r w:rsidRPr="00270F9B">
        <w:rPr>
          <w:rFonts w:ascii="Calibri" w:hAnsi="Calibri" w:cs="Calibri"/>
          <w:color w:val="262526"/>
          <w:vertAlign w:val="superscript"/>
        </w:rPr>
        <w:endnoteReference w:id="8"/>
      </w:r>
    </w:p>
    <w:p w14:paraId="3F591E6F" w14:textId="77777777" w:rsidR="00630390" w:rsidRDefault="00630390" w:rsidP="00D6562E"/>
    <w:p w14:paraId="1396BDDC" w14:textId="4F947388" w:rsidR="00630390" w:rsidRDefault="00630390" w:rsidP="00D6562E">
      <w:r w:rsidRPr="00D6562E">
        <w:t>Accordingly, this paper takes a deeper look at the potential use and regulation of AI in criminal litigation</w:t>
      </w:r>
      <w:r w:rsidR="004807F9">
        <w:t xml:space="preserve">. There are many points where AI use </w:t>
      </w:r>
      <w:r w:rsidRPr="00D6562E">
        <w:t xml:space="preserve">is poised to expand ahead of </w:t>
      </w:r>
      <w:r w:rsidR="004807F9">
        <w:t>regulatory reforms</w:t>
      </w:r>
      <w:r w:rsidRPr="00D6562E">
        <w:t xml:space="preserve"> </w:t>
      </w:r>
      <w:r w:rsidR="004807F9">
        <w:t>that may frame</w:t>
      </w:r>
      <w:r w:rsidRPr="00D6562E">
        <w:t xml:space="preserve"> its use in criminal trials.</w:t>
      </w:r>
      <w:r>
        <w:t xml:space="preserve"> </w:t>
      </w:r>
      <w:r w:rsidRPr="00D6562E">
        <w:t xml:space="preserve">The important legal, policy and practical considerations facing lawmakers, policy makers, and justice stakeholders will be </w:t>
      </w:r>
      <w:r w:rsidR="004807F9" w:rsidRPr="00D6562E">
        <w:t>reviewed,</w:t>
      </w:r>
      <w:r w:rsidRPr="00D6562E">
        <w:t xml:space="preserve"> and recommendations </w:t>
      </w:r>
      <w:r w:rsidR="004807F9">
        <w:t xml:space="preserve">will be offered to better harness the </w:t>
      </w:r>
      <w:r w:rsidR="004807F9">
        <w:lastRenderedPageBreak/>
        <w:t>advantages of AI while constraining a range of foreseeable weaknesses and negative impacts.</w:t>
      </w:r>
    </w:p>
    <w:p w14:paraId="07FAC3B7" w14:textId="77777777" w:rsidR="00630390" w:rsidRPr="00D6562E" w:rsidRDefault="00630390" w:rsidP="00D6562E"/>
    <w:p w14:paraId="18FE56B9" w14:textId="5593CAA1" w:rsidR="00630390" w:rsidRDefault="00630390" w:rsidP="00D6562E">
      <w:r w:rsidRPr="00D6562E">
        <w:t xml:space="preserve">Not all uses of AI will raise equal concerns. But it is certain that some (or many) uses will </w:t>
      </w:r>
      <w:r w:rsidR="006D6AC1">
        <w:t xml:space="preserve">have some risk, if not high degrees of risk. </w:t>
      </w:r>
      <w:r w:rsidRPr="00D6562E">
        <w:t xml:space="preserve">These </w:t>
      </w:r>
      <w:r w:rsidR="006D6AC1">
        <w:t xml:space="preserve">uses will squarely confront </w:t>
      </w:r>
      <w:r w:rsidRPr="00D6562E">
        <w:t>fundamental principles of criminal law and procedure</w:t>
      </w:r>
      <w:r w:rsidR="006D6AC1">
        <w:t xml:space="preserve"> and raise key questions, including:</w:t>
      </w:r>
    </w:p>
    <w:p w14:paraId="50AC7C39" w14:textId="77777777" w:rsidR="00630390" w:rsidRPr="00D6562E" w:rsidRDefault="00630390" w:rsidP="00D6562E"/>
    <w:p w14:paraId="7051BAB7" w14:textId="77777777" w:rsidR="00630390" w:rsidRPr="00D6562E" w:rsidRDefault="00630390" w:rsidP="00D6562E">
      <w:pPr>
        <w:pStyle w:val="ListParagraph"/>
        <w:numPr>
          <w:ilvl w:val="0"/>
          <w:numId w:val="77"/>
        </w:numPr>
      </w:pPr>
      <w:r w:rsidRPr="00D6562E">
        <w:t xml:space="preserve">How are </w:t>
      </w:r>
      <w:r w:rsidRPr="00D6562E">
        <w:rPr>
          <w:i/>
          <w:iCs/>
        </w:rPr>
        <w:t>Charter</w:t>
      </w:r>
      <w:r w:rsidRPr="00D6562E">
        <w:t xml:space="preserve">, procedural fairness, and common law rights affected by AI-enabled technologies and what do the </w:t>
      </w:r>
      <w:r w:rsidRPr="00D6562E">
        <w:rPr>
          <w:i/>
          <w:iCs/>
        </w:rPr>
        <w:t>Charter,</w:t>
      </w:r>
      <w:r w:rsidRPr="00D6562E">
        <w:t xml:space="preserve"> procedural fairness, and the common law say about them?</w:t>
      </w:r>
    </w:p>
    <w:p w14:paraId="0A74F193" w14:textId="3ADB3FCD" w:rsidR="00630390" w:rsidRPr="00D6562E" w:rsidRDefault="00630390" w:rsidP="00D6562E">
      <w:pPr>
        <w:pStyle w:val="ListParagraph"/>
        <w:numPr>
          <w:ilvl w:val="0"/>
          <w:numId w:val="77"/>
        </w:numPr>
      </w:pPr>
      <w:r w:rsidRPr="00D6562E">
        <w:t xml:space="preserve">What statutory, regulatory, evidentiary, or other changes are necessary to ensure that any use of AI-enabled technologies </w:t>
      </w:r>
      <w:r w:rsidR="007724AB">
        <w:t>complies</w:t>
      </w:r>
      <w:r w:rsidRPr="00D6562E">
        <w:t xml:space="preserve"> with the law and serve to protect access to justice? </w:t>
      </w:r>
    </w:p>
    <w:p w14:paraId="436447E1" w14:textId="77777777" w:rsidR="00630390" w:rsidRPr="00D6562E" w:rsidRDefault="00630390" w:rsidP="00D6562E">
      <w:pPr>
        <w:contextualSpacing/>
      </w:pPr>
    </w:p>
    <w:p w14:paraId="79265468" w14:textId="21859C38" w:rsidR="00630390" w:rsidRDefault="00630390" w:rsidP="00D6562E">
      <w:pPr>
        <w:contextualSpacing/>
      </w:pPr>
      <w:r w:rsidRPr="00D6562E">
        <w:t xml:space="preserve">More specifically, </w:t>
      </w:r>
      <w:r w:rsidR="006D6AC1">
        <w:t>criminal proceedings are certain to engage a range of foreseeable challenges with AI, including:</w:t>
      </w:r>
    </w:p>
    <w:p w14:paraId="503D0D9A" w14:textId="77777777" w:rsidR="00630390" w:rsidRPr="00D6562E" w:rsidRDefault="00630390" w:rsidP="00D6562E">
      <w:pPr>
        <w:contextualSpacing/>
      </w:pPr>
    </w:p>
    <w:p w14:paraId="4E811989" w14:textId="51DA593E" w:rsidR="00630390" w:rsidRPr="00D6562E" w:rsidRDefault="006D6AC1" w:rsidP="00D6562E">
      <w:pPr>
        <w:pStyle w:val="ListParagraph"/>
        <w:numPr>
          <w:ilvl w:val="0"/>
          <w:numId w:val="75"/>
        </w:numPr>
      </w:pPr>
      <w:r>
        <w:t>The e</w:t>
      </w:r>
      <w:r w:rsidR="00630390" w:rsidRPr="00D6562E">
        <w:t>vidence produced by AI-enabled systems, such as automated surveillance, facial recognition, forensic systems, predictive policing, the threat of “deep fake” images, video and audio evidence, and so forth.</w:t>
      </w:r>
    </w:p>
    <w:p w14:paraId="1F8088B8" w14:textId="125EF9CD" w:rsidR="006E6AA2" w:rsidRDefault="006E6AA2" w:rsidP="00D6562E">
      <w:pPr>
        <w:pStyle w:val="ListParagraph"/>
        <w:numPr>
          <w:ilvl w:val="0"/>
          <w:numId w:val="75"/>
        </w:numPr>
      </w:pPr>
      <w:r>
        <w:t xml:space="preserve">The ways in which AI technology raises different legal issues depending on its use and context, for instance: </w:t>
      </w:r>
      <w:r w:rsidRPr="006E6AA2">
        <w:t>privacy concerns (</w:t>
      </w:r>
      <w:r>
        <w:t>when using facial recognition video surveillance</w:t>
      </w:r>
      <w:r w:rsidRPr="006E6AA2">
        <w:t xml:space="preserve">); bias </w:t>
      </w:r>
      <w:r>
        <w:t>and</w:t>
      </w:r>
      <w:r w:rsidRPr="006E6AA2">
        <w:t xml:space="preserve"> profiling concerns (</w:t>
      </w:r>
      <w:r>
        <w:t>when applying</w:t>
      </w:r>
      <w:r w:rsidRPr="006E6AA2">
        <w:t xml:space="preserve"> predictive policing</w:t>
      </w:r>
      <w:r>
        <w:t xml:space="preserve"> algorithms</w:t>
      </w:r>
      <w:r w:rsidRPr="006E6AA2">
        <w:t xml:space="preserve">); </w:t>
      </w:r>
      <w:r>
        <w:t xml:space="preserve">or concerns for reliable verdicts </w:t>
      </w:r>
      <w:r w:rsidRPr="006E6AA2">
        <w:t>(</w:t>
      </w:r>
      <w:r>
        <w:t xml:space="preserve">where they may rely on </w:t>
      </w:r>
      <w:r w:rsidRPr="006E6AA2">
        <w:t>deep fake images or audio).</w:t>
      </w:r>
    </w:p>
    <w:p w14:paraId="49BD6B12" w14:textId="099B2253" w:rsidR="00630390" w:rsidRPr="00D6562E" w:rsidRDefault="00630390" w:rsidP="00D6562E">
      <w:pPr>
        <w:pStyle w:val="ListParagraph"/>
        <w:numPr>
          <w:ilvl w:val="0"/>
          <w:numId w:val="75"/>
        </w:numPr>
      </w:pPr>
      <w:r w:rsidRPr="00D6562E">
        <w:t>AI-enabled tools that facilitate, augment or direct investigations by law enforcement.</w:t>
      </w:r>
    </w:p>
    <w:p w14:paraId="02C16444" w14:textId="77777777" w:rsidR="00630390" w:rsidRPr="00D6562E" w:rsidRDefault="00630390" w:rsidP="00D6562E">
      <w:pPr>
        <w:pStyle w:val="ListParagraph"/>
        <w:numPr>
          <w:ilvl w:val="0"/>
          <w:numId w:val="75"/>
        </w:numPr>
      </w:pPr>
      <w:r w:rsidRPr="00D6562E">
        <w:t>AI-enabled tools used by experts to analyze evidence, make predictions, and produce opinions.</w:t>
      </w:r>
    </w:p>
    <w:p w14:paraId="50302632" w14:textId="77777777" w:rsidR="00630390" w:rsidRPr="00D6562E" w:rsidRDefault="00630390" w:rsidP="00D6562E">
      <w:pPr>
        <w:pStyle w:val="ListParagraph"/>
        <w:numPr>
          <w:ilvl w:val="0"/>
          <w:numId w:val="75"/>
        </w:numPr>
      </w:pPr>
      <w:r w:rsidRPr="00D6562E">
        <w:t>Timing and standards for the disclosure, transparency, admissibility, and reliability of AI-enabled technology.</w:t>
      </w:r>
    </w:p>
    <w:p w14:paraId="62362D6C" w14:textId="03C1BEAC" w:rsidR="00630390" w:rsidRPr="00D6562E" w:rsidRDefault="00630390" w:rsidP="00D6562E">
      <w:pPr>
        <w:pStyle w:val="ListParagraph"/>
        <w:numPr>
          <w:ilvl w:val="0"/>
          <w:numId w:val="75"/>
        </w:numPr>
      </w:pPr>
      <w:r w:rsidRPr="00D6562E">
        <w:t>AI-enabled tools used by officers of the court, including prosecutors, defense counsel, and the judge. Such tools may be used to conduct legal research, prepare wiretap or warrant applications, prepare written and oral submissions, analyze and select among potential arguments and litigation strategies, suggest patterns and preferences in a judge’s reasoning and decision making, etc.</w:t>
      </w:r>
      <w:r w:rsidRPr="00D6562E">
        <w:rPr>
          <w:rStyle w:val="EndnoteReference"/>
        </w:rPr>
        <w:endnoteReference w:id="9"/>
      </w:r>
    </w:p>
    <w:p w14:paraId="5379703C" w14:textId="77777777" w:rsidR="00630390" w:rsidRPr="00D6562E" w:rsidRDefault="00630390" w:rsidP="00D6562E">
      <w:pPr>
        <w:pStyle w:val="ListParagraph"/>
        <w:numPr>
          <w:ilvl w:val="0"/>
          <w:numId w:val="75"/>
        </w:numPr>
      </w:pPr>
      <w:r w:rsidRPr="00D6562E">
        <w:t>The expertise and resources needed to responsibly prosecute and effectively mount a full and fair defense where AI-enabled technologies are involved, including the accessibility and capability of publicly versus privately available AI technologies.</w:t>
      </w:r>
    </w:p>
    <w:p w14:paraId="74D38C21" w14:textId="40F0583A" w:rsidR="00630390" w:rsidRPr="00D6562E" w:rsidRDefault="006D6AC1" w:rsidP="00D6562E">
      <w:pPr>
        <w:pStyle w:val="ListParagraph"/>
        <w:numPr>
          <w:ilvl w:val="0"/>
          <w:numId w:val="75"/>
        </w:numPr>
      </w:pPr>
      <w:r>
        <w:t xml:space="preserve">AI analysis of a </w:t>
      </w:r>
      <w:r w:rsidR="00491413">
        <w:t>witness’s</w:t>
      </w:r>
      <w:r>
        <w:t xml:space="preserve"> t</w:t>
      </w:r>
      <w:r w:rsidR="00630390" w:rsidRPr="00D6562E">
        <w:t xml:space="preserve">rauma, credibility, and </w:t>
      </w:r>
      <w:r>
        <w:t xml:space="preserve">historical disadvantage, </w:t>
      </w:r>
      <w:r w:rsidR="00630390" w:rsidRPr="00D6562E">
        <w:t xml:space="preserve">including the potential use of interview assessment tools (eye gaze, mood, </w:t>
      </w:r>
      <w:r w:rsidR="00630390" w:rsidRPr="00D6562E">
        <w:lastRenderedPageBreak/>
        <w:t>comportment, word choice, fidget response, etc.)</w:t>
      </w:r>
      <w:r w:rsidR="006247E0">
        <w:t xml:space="preserve"> or the use of AI to transcribe, translate, or otherwise help compose </w:t>
      </w:r>
      <w:r w:rsidR="00630390" w:rsidRPr="00D6562E">
        <w:t>victim impact or witness statements.</w:t>
      </w:r>
    </w:p>
    <w:p w14:paraId="72B3C220" w14:textId="77777777" w:rsidR="00630390" w:rsidRPr="00D6562E" w:rsidRDefault="00630390" w:rsidP="00D6562E">
      <w:pPr>
        <w:pStyle w:val="ListParagraph"/>
        <w:numPr>
          <w:ilvl w:val="0"/>
          <w:numId w:val="75"/>
        </w:numPr>
      </w:pPr>
      <w:r w:rsidRPr="00D6562E">
        <w:t>Challenges to the redactions and relevancy assessments by made by AI tools used to support vetting of disclosure materials.</w:t>
      </w:r>
    </w:p>
    <w:p w14:paraId="752B344B" w14:textId="77777777" w:rsidR="00630390" w:rsidRPr="00D6562E" w:rsidRDefault="00630390" w:rsidP="00D6562E">
      <w:pPr>
        <w:pStyle w:val="ListParagraph"/>
        <w:numPr>
          <w:ilvl w:val="0"/>
          <w:numId w:val="75"/>
        </w:numPr>
      </w:pPr>
      <w:r w:rsidRPr="00D6562E">
        <w:t>Use of artificial intelligence to predict the likelihood of success in litigation premised on assessment of data regarding the presiding justice and opposing counsel.</w:t>
      </w:r>
      <w:r w:rsidRPr="00D6562E">
        <w:rPr>
          <w:rStyle w:val="EndnoteReference"/>
        </w:rPr>
        <w:endnoteReference w:id="10"/>
      </w:r>
    </w:p>
    <w:p w14:paraId="15820607" w14:textId="77777777" w:rsidR="00630390" w:rsidRPr="00D6562E" w:rsidRDefault="00630390" w:rsidP="00D6562E">
      <w:pPr>
        <w:pStyle w:val="ListParagraph"/>
        <w:numPr>
          <w:ilvl w:val="0"/>
          <w:numId w:val="75"/>
        </w:numPr>
      </w:pPr>
      <w:r w:rsidRPr="00D6562E">
        <w:t>AI-enabled technologies used in jury selection (identification and assessment of potential juror bias); to aid jury-specific advocacy (i.e., constructing impactful submissions and visual aids); to assist in interpreting the meaning and generating responses to jury questions during deliberation; to predict likelihood of a unanimous verdict / determine when jury is hung.</w:t>
      </w:r>
      <w:r w:rsidRPr="00D6562E">
        <w:rPr>
          <w:rStyle w:val="EndnoteReference"/>
        </w:rPr>
        <w:endnoteReference w:id="11"/>
      </w:r>
    </w:p>
    <w:p w14:paraId="382DF9DC" w14:textId="77777777" w:rsidR="00630390" w:rsidRPr="00D6562E" w:rsidRDefault="00630390" w:rsidP="00D6562E">
      <w:pPr>
        <w:pStyle w:val="ListParagraph"/>
        <w:numPr>
          <w:ilvl w:val="0"/>
          <w:numId w:val="75"/>
        </w:numPr>
      </w:pPr>
      <w:r w:rsidRPr="00D6562E">
        <w:t>AI-enabled tools used to assign resources throughout the criminal justice system, assess eligibility for legal aid, predict required trial time, perform court, and trial scheduling, assign judges and court staff.</w:t>
      </w:r>
      <w:r w:rsidRPr="00D6562E">
        <w:rPr>
          <w:rStyle w:val="EndnoteReference"/>
        </w:rPr>
        <w:endnoteReference w:id="12"/>
      </w:r>
    </w:p>
    <w:p w14:paraId="56D7330E" w14:textId="77777777" w:rsidR="00630390" w:rsidRPr="00D6562E" w:rsidRDefault="00630390" w:rsidP="00D6562E"/>
    <w:p w14:paraId="443F49BC" w14:textId="2B1778D2" w:rsidR="00630390" w:rsidRPr="00DA6738" w:rsidRDefault="00630390" w:rsidP="00D6562E">
      <w:r w:rsidRPr="00DA6738">
        <w:t>Given the foregoing, this paper has two broad aims.</w:t>
      </w:r>
    </w:p>
    <w:p w14:paraId="12E57393" w14:textId="77777777" w:rsidR="00630390" w:rsidRPr="00DA6738" w:rsidRDefault="00630390" w:rsidP="00D6562E"/>
    <w:p w14:paraId="4AFC9015" w14:textId="77777777" w:rsidR="00630390" w:rsidRPr="00DA6738" w:rsidRDefault="00630390" w:rsidP="00D6562E">
      <w:r w:rsidRPr="00DA6738">
        <w:t>First, to overview the imminent and foreseeable impact of AI on criminal trials and appeals specifically grounded in Canadian criminal law and the role of Ontario-based justice institutions in this process.</w:t>
      </w:r>
    </w:p>
    <w:p w14:paraId="260676F7" w14:textId="77777777" w:rsidR="00630390" w:rsidRPr="00DA6738" w:rsidRDefault="00630390" w:rsidP="00D6562E"/>
    <w:p w14:paraId="57740F33" w14:textId="5ED441D5" w:rsidR="00491413" w:rsidRDefault="00630390" w:rsidP="00D6562E">
      <w:r w:rsidRPr="00DA6738">
        <w:t xml:space="preserve">Second, to look beyond the limited ability of courts to regulate AI and identify where justice and justice-involved institutions may anticipate the challenges </w:t>
      </w:r>
      <w:r w:rsidR="00E00F29">
        <w:t xml:space="preserve">of </w:t>
      </w:r>
      <w:r w:rsidRPr="00DA6738">
        <w:t>AI through law reform, policy making, institutional alignment, and program design.</w:t>
      </w:r>
    </w:p>
    <w:p w14:paraId="0AE001DF" w14:textId="77777777" w:rsidR="00491413" w:rsidRDefault="00491413" w:rsidP="00D6562E"/>
    <w:p w14:paraId="563046DA" w14:textId="60E387D1" w:rsidR="00630390" w:rsidRDefault="00974C60" w:rsidP="00D6562E">
      <w:r>
        <w:t xml:space="preserve">Other jurisdictions have made efforts to </w:t>
      </w:r>
      <w:r w:rsidR="00B35B37">
        <w:t xml:space="preserve">undertake just such an analysis. </w:t>
      </w:r>
      <w:r>
        <w:t xml:space="preserve">For instance, the </w:t>
      </w:r>
      <w:r w:rsidRPr="00974C60">
        <w:t xml:space="preserve">United States </w:t>
      </w:r>
      <w:r>
        <w:t>established</w:t>
      </w:r>
      <w:r w:rsidRPr="00974C60">
        <w:t xml:space="preserve"> the President's Council of Advisors on Science and Technology (PCAST). </w:t>
      </w:r>
      <w:r>
        <w:t>PCAST</w:t>
      </w:r>
      <w:r w:rsidRPr="00974C60">
        <w:t xml:space="preserve"> is a cross-disciplinary panel of leading experts in various fields related </w:t>
      </w:r>
      <w:r w:rsidR="00E00F29">
        <w:t>t</w:t>
      </w:r>
      <w:r w:rsidRPr="00974C60">
        <w:t>o science, technology, law, and policy. In the past, it has produced some astute and eminently reliable assessments of novel technology and its use in the justice system</w:t>
      </w:r>
      <w:r>
        <w:t xml:space="preserve">, such as their </w:t>
      </w:r>
      <w:r w:rsidRPr="00974C60">
        <w:t xml:space="preserve">2016 report entitled </w:t>
      </w:r>
      <w:r w:rsidRPr="00974C60">
        <w:rPr>
          <w:i/>
          <w:iCs/>
        </w:rPr>
        <w:t>Forensic Science in the Criminal Courts</w:t>
      </w:r>
      <w:r w:rsidR="008B69E6">
        <w:t>:</w:t>
      </w:r>
      <w:r w:rsidR="008B69E6" w:rsidRPr="008B69E6">
        <w:rPr>
          <w:i/>
          <w:iCs/>
        </w:rPr>
        <w:t xml:space="preserve"> Ensuring Scientific Validity of Feature-Comparison Methods</w:t>
      </w:r>
      <w:r w:rsidR="008B69E6" w:rsidRPr="008B69E6">
        <w:t>.</w:t>
      </w:r>
      <w:r w:rsidR="00B35B37">
        <w:rPr>
          <w:rStyle w:val="EndnoteReference"/>
        </w:rPr>
        <w:endnoteReference w:id="13"/>
      </w:r>
      <w:r w:rsidRPr="00974C60">
        <w:t xml:space="preserve"> </w:t>
      </w:r>
      <w:r>
        <w:t xml:space="preserve">A similar institution, properly composed in Canada, </w:t>
      </w:r>
      <w:r w:rsidRPr="00974C60">
        <w:t>would be well-placed to reliably explain how various AI mechanisms work and the pros and cons of employing them in the justice system.</w:t>
      </w:r>
    </w:p>
    <w:p w14:paraId="01AC28FE" w14:textId="77777777" w:rsidR="00974C60" w:rsidRPr="00DA6738" w:rsidRDefault="00974C60" w:rsidP="00D6562E"/>
    <w:p w14:paraId="3F1AB729" w14:textId="77777777" w:rsidR="00A537BA" w:rsidRDefault="006F1176" w:rsidP="00D6562E">
      <w:r w:rsidRPr="00491413">
        <w:t>Overall, this paper identifies several issues and opportunities with AI in criminal trials and appeals</w:t>
      </w:r>
      <w:r w:rsidR="00CF3723" w:rsidRPr="00491413">
        <w:t xml:space="preserve">. </w:t>
      </w:r>
      <w:r w:rsidR="00A537BA">
        <w:t>The discussion proceeds as follows.</w:t>
      </w:r>
    </w:p>
    <w:p w14:paraId="0FBE3FA5" w14:textId="77777777" w:rsidR="00A537BA" w:rsidRDefault="00A537BA" w:rsidP="00D6562E"/>
    <w:p w14:paraId="23AB8181" w14:textId="3B7DAF95" w:rsidR="00A537BA" w:rsidRDefault="00A537BA" w:rsidP="00D6562E">
      <w:r>
        <w:t xml:space="preserve">Section 2 reviews how new technologies, including AI, are held to the high standards of the law and common law principles that define fair trials. For instance, given the mix of rights under the Charter of </w:t>
      </w:r>
      <w:r w:rsidR="00A951ED">
        <w:t>R</w:t>
      </w:r>
      <w:r>
        <w:t>ights, procedural fairness, evidence law, rules of the court and other instruments:</w:t>
      </w:r>
    </w:p>
    <w:p w14:paraId="1A52B86C" w14:textId="77777777" w:rsidR="00A537BA" w:rsidRDefault="00A537BA" w:rsidP="00D6562E"/>
    <w:p w14:paraId="7279B756" w14:textId="146591CC" w:rsidR="00A537BA" w:rsidRDefault="00A537BA" w:rsidP="00A537BA">
      <w:pPr>
        <w:pStyle w:val="ListParagraph"/>
        <w:numPr>
          <w:ilvl w:val="0"/>
          <w:numId w:val="80"/>
        </w:numPr>
        <w:spacing w:after="160" w:line="259" w:lineRule="auto"/>
      </w:pPr>
      <w:r>
        <w:lastRenderedPageBreak/>
        <w:t>H</w:t>
      </w:r>
      <w:r w:rsidRPr="00266C6B">
        <w:t xml:space="preserve">ow will </w:t>
      </w:r>
      <w:r>
        <w:t xml:space="preserve">an </w:t>
      </w:r>
      <w:r w:rsidRPr="00266C6B">
        <w:t>accuse</w:t>
      </w:r>
      <w:r>
        <w:t>d</w:t>
      </w:r>
      <w:r w:rsidRPr="00101C9D">
        <w:t xml:space="preserve"> </w:t>
      </w:r>
      <w:r>
        <w:t>r</w:t>
      </w:r>
      <w:r w:rsidRPr="00101C9D">
        <w:t xml:space="preserve">eceive notice that AI </w:t>
      </w:r>
      <w:r>
        <w:t>has been used (such as during an investigation by law enforcement) or is being used (such as to mount the case against them, or aid in determining issue</w:t>
      </w:r>
      <w:r w:rsidR="00563BC1">
        <w:t>s</w:t>
      </w:r>
      <w:r>
        <w:t xml:space="preserve"> like bail or sentencing)? Does AI require notice in every circumstance, or is there a threshold, or a distinction between its use in a process as opposed to a decision?</w:t>
      </w:r>
    </w:p>
    <w:p w14:paraId="427B4F9C" w14:textId="77777777" w:rsidR="00A537BA" w:rsidRDefault="00A537BA" w:rsidP="00A537BA">
      <w:pPr>
        <w:pStyle w:val="ListParagraph"/>
        <w:numPr>
          <w:ilvl w:val="0"/>
          <w:numId w:val="80"/>
        </w:numPr>
        <w:spacing w:after="160" w:line="259" w:lineRule="auto"/>
      </w:pPr>
      <w:r>
        <w:t>How will an accused (or the Crown) r</w:t>
      </w:r>
      <w:r w:rsidRPr="00101C9D">
        <w:t>eceive disclosure of evidenc</w:t>
      </w:r>
      <w:r>
        <w:t>e generated, augmented or analyzed by AI? What is required to be disclosed to ensure reliability and validity: source code, training data, technical assessment or audit reports, efficacy studies, or other?</w:t>
      </w:r>
    </w:p>
    <w:p w14:paraId="0FA9E6C5" w14:textId="77777777" w:rsidR="00A537BA" w:rsidRDefault="00A537BA" w:rsidP="00A537BA">
      <w:pPr>
        <w:pStyle w:val="ListParagraph"/>
        <w:numPr>
          <w:ilvl w:val="0"/>
          <w:numId w:val="80"/>
        </w:numPr>
        <w:spacing w:after="160" w:line="259" w:lineRule="auto"/>
      </w:pPr>
      <w:r>
        <w:t>How will AI-generated evidence and data comport</w:t>
      </w:r>
      <w:r w:rsidRPr="00101C9D">
        <w:t xml:space="preserve"> with the rules of evidence</w:t>
      </w:r>
      <w:r>
        <w:t>? For instance, what AI outputs may be expert or opinion evidence? What may be admissible for fact or weight? What AI outputs or training data constitutes hearsay?</w:t>
      </w:r>
    </w:p>
    <w:p w14:paraId="0406D7E8" w14:textId="77777777" w:rsidR="00A537BA" w:rsidRDefault="00A537BA" w:rsidP="00A537BA">
      <w:pPr>
        <w:pStyle w:val="ListParagraph"/>
        <w:numPr>
          <w:ilvl w:val="0"/>
          <w:numId w:val="80"/>
        </w:numPr>
        <w:spacing w:after="160" w:line="259" w:lineRule="auto"/>
      </w:pPr>
      <w:r>
        <w:t xml:space="preserve">Who may be called as an expert qualified to testify, </w:t>
      </w:r>
      <w:r w:rsidRPr="00101C9D">
        <w:t xml:space="preserve">explain and justify </w:t>
      </w:r>
      <w:r>
        <w:t xml:space="preserve">AI recommendations, </w:t>
      </w:r>
      <w:r w:rsidRPr="00101C9D">
        <w:t xml:space="preserve">decisions, </w:t>
      </w:r>
      <w:r>
        <w:t xml:space="preserve">or </w:t>
      </w:r>
      <w:r w:rsidRPr="00101C9D">
        <w:t>evidentiary analysis?</w:t>
      </w:r>
    </w:p>
    <w:p w14:paraId="15958593" w14:textId="77777777" w:rsidR="00A537BA" w:rsidRPr="00101C9D" w:rsidRDefault="00A537BA" w:rsidP="00A537BA">
      <w:pPr>
        <w:pStyle w:val="ListParagraph"/>
        <w:numPr>
          <w:ilvl w:val="0"/>
          <w:numId w:val="80"/>
        </w:numPr>
        <w:spacing w:after="160" w:line="259" w:lineRule="auto"/>
      </w:pPr>
      <w:r>
        <w:t xml:space="preserve">What access to justice provisions will ensure accused are afforded the right to a full and fair defense against AI systems? </w:t>
      </w:r>
      <w:r w:rsidRPr="00101C9D">
        <w:t xml:space="preserve">AI‐related rights issues </w:t>
      </w:r>
      <w:r>
        <w:t xml:space="preserve">are certain to be litigated </w:t>
      </w:r>
      <w:r w:rsidRPr="00101C9D">
        <w:t xml:space="preserve">but what resources </w:t>
      </w:r>
      <w:r>
        <w:t xml:space="preserve">are required, </w:t>
      </w:r>
      <w:r w:rsidRPr="00101C9D">
        <w:t>where will</w:t>
      </w:r>
      <w:r>
        <w:t xml:space="preserve"> they </w:t>
      </w:r>
      <w:r w:rsidRPr="00101C9D">
        <w:t xml:space="preserve">come from, and in what circumstances </w:t>
      </w:r>
      <w:r>
        <w:t xml:space="preserve">and to what extent </w:t>
      </w:r>
      <w:r w:rsidRPr="00101C9D">
        <w:t>should they be available?</w:t>
      </w:r>
    </w:p>
    <w:p w14:paraId="5227C4F3" w14:textId="7D88D93A" w:rsidR="001A64B7" w:rsidRPr="0049569F" w:rsidRDefault="00491413" w:rsidP="0049569F">
      <w:pPr>
        <w:rPr>
          <w:rFonts w:ascii="Calibri" w:hAnsi="Calibri" w:cs="Calibri"/>
        </w:rPr>
      </w:pPr>
      <w:r>
        <w:rPr>
          <w:lang w:val="en-US"/>
        </w:rPr>
        <w:t xml:space="preserve">Section 3 </w:t>
      </w:r>
      <w:r w:rsidR="0049569F">
        <w:rPr>
          <w:lang w:val="en-US"/>
        </w:rPr>
        <w:t>takes seriously the challenge identified at the outset of the LCO AI in Criminal Justice Project (and as evidenced in section two of this paper) that</w:t>
      </w:r>
      <w:r w:rsidR="0049569F">
        <w:rPr>
          <w:rFonts w:ascii="Calibri" w:hAnsi="Calibri" w:cs="Calibri"/>
        </w:rPr>
        <w:t xml:space="preserve"> a</w:t>
      </w:r>
      <w:r w:rsidR="0049569F" w:rsidRPr="001E0D8B">
        <w:rPr>
          <w:rFonts w:ascii="Calibri" w:hAnsi="Calibri" w:cs="Calibri"/>
        </w:rPr>
        <w:t xml:space="preserve"> comprehensive </w:t>
      </w:r>
      <w:r w:rsidR="0049569F">
        <w:rPr>
          <w:rFonts w:ascii="Calibri" w:hAnsi="Calibri" w:cs="Calibri"/>
        </w:rPr>
        <w:t xml:space="preserve">review for potential </w:t>
      </w:r>
      <w:r w:rsidR="0049569F" w:rsidRPr="001E0D8B">
        <w:rPr>
          <w:rFonts w:ascii="Calibri" w:hAnsi="Calibri" w:cs="Calibri"/>
        </w:rPr>
        <w:t>law reform is required</w:t>
      </w:r>
      <w:r w:rsidR="0049569F">
        <w:rPr>
          <w:rFonts w:ascii="Calibri" w:hAnsi="Calibri" w:cs="Calibri"/>
        </w:rPr>
        <w:t xml:space="preserve"> given how</w:t>
      </w:r>
      <w:r w:rsidR="0049569F" w:rsidRPr="001E0D8B">
        <w:rPr>
          <w:rFonts w:ascii="Calibri" w:hAnsi="Calibri" w:cs="Calibri"/>
        </w:rPr>
        <w:t xml:space="preserve"> Canadian legal standards and rules governing </w:t>
      </w:r>
      <w:r w:rsidR="0049569F">
        <w:rPr>
          <w:rFonts w:ascii="Calibri" w:hAnsi="Calibri" w:cs="Calibri"/>
        </w:rPr>
        <w:t>AI</w:t>
      </w:r>
      <w:r w:rsidR="0049569F" w:rsidRPr="001E0D8B">
        <w:rPr>
          <w:rFonts w:ascii="Calibri" w:hAnsi="Calibri" w:cs="Calibri"/>
        </w:rPr>
        <w:t xml:space="preserve"> are either yet to be developed and implemented or </w:t>
      </w:r>
      <w:r w:rsidR="0049569F">
        <w:rPr>
          <w:rFonts w:ascii="Calibri" w:hAnsi="Calibri" w:cs="Calibri"/>
        </w:rPr>
        <w:t>have foreseeable deficiencies</w:t>
      </w:r>
      <w:r w:rsidR="0049569F" w:rsidRPr="001E0D8B">
        <w:rPr>
          <w:rFonts w:ascii="Calibri" w:hAnsi="Calibri" w:cs="Calibri"/>
        </w:rPr>
        <w:t xml:space="preserve"> </w:t>
      </w:r>
      <w:r w:rsidR="0049569F">
        <w:rPr>
          <w:rFonts w:ascii="Calibri" w:hAnsi="Calibri" w:cs="Calibri"/>
        </w:rPr>
        <w:t>in</w:t>
      </w:r>
      <w:r w:rsidR="0049569F" w:rsidRPr="001E0D8B">
        <w:rPr>
          <w:rFonts w:ascii="Calibri" w:hAnsi="Calibri" w:cs="Calibri"/>
        </w:rPr>
        <w:t xml:space="preserve"> addressing the systemic legal issues engaged by AI. </w:t>
      </w:r>
      <w:r w:rsidR="0049569F">
        <w:rPr>
          <w:rFonts w:ascii="Calibri" w:hAnsi="Calibri" w:cs="Calibri"/>
        </w:rPr>
        <w:t>S</w:t>
      </w:r>
      <w:r w:rsidR="0049569F" w:rsidRPr="001E0D8B">
        <w:rPr>
          <w:rFonts w:ascii="Calibri" w:hAnsi="Calibri" w:cs="Calibri"/>
        </w:rPr>
        <w:t xml:space="preserve">ection </w:t>
      </w:r>
      <w:r w:rsidR="0049569F">
        <w:rPr>
          <w:rFonts w:ascii="Calibri" w:hAnsi="Calibri" w:cs="Calibri"/>
        </w:rPr>
        <w:t xml:space="preserve">3 </w:t>
      </w:r>
      <w:r w:rsidR="0049569F" w:rsidRPr="001E0D8B">
        <w:rPr>
          <w:rFonts w:ascii="Calibri" w:hAnsi="Calibri" w:cs="Calibri"/>
        </w:rPr>
        <w:t xml:space="preserve">of </w:t>
      </w:r>
      <w:r w:rsidR="0049569F">
        <w:rPr>
          <w:rFonts w:ascii="Calibri" w:hAnsi="Calibri" w:cs="Calibri"/>
        </w:rPr>
        <w:t>this</w:t>
      </w:r>
      <w:r w:rsidR="0049569F" w:rsidRPr="001E0D8B">
        <w:rPr>
          <w:rFonts w:ascii="Calibri" w:hAnsi="Calibri" w:cs="Calibri"/>
        </w:rPr>
        <w:t xml:space="preserve"> paper illustrates the many reasons why this is the case</w:t>
      </w:r>
      <w:r w:rsidR="00344640">
        <w:rPr>
          <w:rFonts w:ascii="Calibri" w:hAnsi="Calibri" w:cs="Calibri"/>
        </w:rPr>
        <w:t xml:space="preserve"> in relation to assessing the reliability of AI evidence, and in relation to challenges to procedural fairness that AI is likely to introduce. This includes discussion of the following:</w:t>
      </w:r>
    </w:p>
    <w:p w14:paraId="504527F9" w14:textId="5ABB8753" w:rsidR="003112C0" w:rsidRPr="003112C0" w:rsidRDefault="003112C0" w:rsidP="00A951ED"/>
    <w:p w14:paraId="64EE3CFF" w14:textId="17C069FF" w:rsidR="00630390" w:rsidRDefault="007B46FB" w:rsidP="007B46FB">
      <w:pPr>
        <w:pStyle w:val="ListParagraph"/>
        <w:numPr>
          <w:ilvl w:val="0"/>
          <w:numId w:val="149"/>
        </w:numPr>
        <w:rPr>
          <w:lang w:eastAsia="en-CA"/>
        </w:rPr>
      </w:pPr>
      <w:r w:rsidRPr="007B46FB">
        <w:rPr>
          <w:lang w:eastAsia="en-CA"/>
        </w:rPr>
        <w:t>Assessing the Reliability of AI Evidence</w:t>
      </w:r>
      <w:r>
        <w:rPr>
          <w:lang w:eastAsia="en-CA"/>
        </w:rPr>
        <w:t>: There are significant gaps in existing procedural fairness and evidentiary rules that will struggle to contend with known complications of AI. This includes: the apprehension of b</w:t>
      </w:r>
      <w:r w:rsidRPr="007B46FB">
        <w:rPr>
          <w:lang w:eastAsia="en-CA"/>
        </w:rPr>
        <w:t xml:space="preserve">ias, </w:t>
      </w:r>
      <w:r>
        <w:rPr>
          <w:lang w:eastAsia="en-CA"/>
        </w:rPr>
        <w:t>a</w:t>
      </w:r>
      <w:r w:rsidRPr="007B46FB">
        <w:rPr>
          <w:lang w:eastAsia="en-CA"/>
        </w:rPr>
        <w:t xml:space="preserve">ssumptions and </w:t>
      </w:r>
      <w:r>
        <w:rPr>
          <w:lang w:eastAsia="en-CA"/>
        </w:rPr>
        <w:t>s</w:t>
      </w:r>
      <w:r w:rsidRPr="007B46FB">
        <w:rPr>
          <w:lang w:eastAsia="en-CA"/>
        </w:rPr>
        <w:t xml:space="preserve">cientific </w:t>
      </w:r>
      <w:r>
        <w:rPr>
          <w:lang w:eastAsia="en-CA"/>
        </w:rPr>
        <w:t>v</w:t>
      </w:r>
      <w:r w:rsidRPr="007B46FB">
        <w:rPr>
          <w:lang w:eastAsia="en-CA"/>
        </w:rPr>
        <w:t xml:space="preserve">alidity; </w:t>
      </w:r>
      <w:r>
        <w:rPr>
          <w:lang w:eastAsia="en-CA"/>
        </w:rPr>
        <w:t>h</w:t>
      </w:r>
      <w:r w:rsidRPr="007B46FB">
        <w:rPr>
          <w:lang w:eastAsia="en-CA"/>
        </w:rPr>
        <w:t xml:space="preserve">ow </w:t>
      </w:r>
      <w:r>
        <w:rPr>
          <w:lang w:eastAsia="en-CA"/>
        </w:rPr>
        <w:t>AI</w:t>
      </w:r>
      <w:r w:rsidRPr="007B46FB">
        <w:rPr>
          <w:lang w:eastAsia="en-CA"/>
        </w:rPr>
        <w:t xml:space="preserve"> may impact the truth-seeking function of criminal trials without adequate guardrails; inherent </w:t>
      </w:r>
      <w:r>
        <w:rPr>
          <w:lang w:eastAsia="en-CA"/>
        </w:rPr>
        <w:t>un</w:t>
      </w:r>
      <w:r w:rsidRPr="007B46FB">
        <w:rPr>
          <w:lang w:eastAsia="en-CA"/>
        </w:rPr>
        <w:t>reliability</w:t>
      </w:r>
      <w:r>
        <w:rPr>
          <w:lang w:eastAsia="en-CA"/>
        </w:rPr>
        <w:t xml:space="preserve"> of AI evidence</w:t>
      </w:r>
      <w:r w:rsidRPr="007B46FB">
        <w:rPr>
          <w:lang w:eastAsia="en-CA"/>
        </w:rPr>
        <w:t>;</w:t>
      </w:r>
      <w:r>
        <w:rPr>
          <w:lang w:eastAsia="en-CA"/>
        </w:rPr>
        <w:t xml:space="preserve"> </w:t>
      </w:r>
      <w:r w:rsidR="00344640">
        <w:rPr>
          <w:lang w:eastAsia="en-CA"/>
        </w:rPr>
        <w:t xml:space="preserve">and </w:t>
      </w:r>
      <w:r w:rsidR="00344640" w:rsidRPr="007B46FB">
        <w:rPr>
          <w:lang w:eastAsia="en-CA"/>
        </w:rPr>
        <w:t>limitations</w:t>
      </w:r>
      <w:r w:rsidRPr="007B46FB">
        <w:rPr>
          <w:lang w:eastAsia="en-CA"/>
        </w:rPr>
        <w:t xml:space="preserve"> on use of </w:t>
      </w:r>
      <w:r>
        <w:rPr>
          <w:lang w:eastAsia="en-CA"/>
        </w:rPr>
        <w:t>AI</w:t>
      </w:r>
      <w:r w:rsidRPr="007B46FB">
        <w:rPr>
          <w:lang w:eastAsia="en-CA"/>
        </w:rPr>
        <w:t xml:space="preserve"> evidence</w:t>
      </w:r>
      <w:r>
        <w:rPr>
          <w:lang w:eastAsia="en-CA"/>
        </w:rPr>
        <w:t>.</w:t>
      </w:r>
    </w:p>
    <w:p w14:paraId="036C7F6C" w14:textId="52910A87" w:rsidR="007B46FB" w:rsidRDefault="007B46FB" w:rsidP="0068549B">
      <w:pPr>
        <w:pStyle w:val="ListParagraph"/>
        <w:numPr>
          <w:ilvl w:val="0"/>
          <w:numId w:val="149"/>
        </w:numPr>
        <w:rPr>
          <w:lang w:eastAsia="en-CA"/>
        </w:rPr>
      </w:pPr>
      <w:r>
        <w:rPr>
          <w:lang w:eastAsia="en-CA"/>
        </w:rPr>
        <w:t>Procedural Fairness</w:t>
      </w:r>
      <w:r w:rsidR="0068549B">
        <w:rPr>
          <w:lang w:eastAsia="en-CA"/>
        </w:rPr>
        <w:t>:</w:t>
      </w:r>
      <w:r w:rsidR="00344640">
        <w:rPr>
          <w:lang w:eastAsia="en-CA"/>
        </w:rPr>
        <w:t xml:space="preserve"> There are significant gaps in existing procedural fairness that will likely create barriers when contending with AI systems. This includes the: proper characterization of </w:t>
      </w:r>
      <w:r w:rsidR="00600265">
        <w:rPr>
          <w:lang w:eastAsia="en-CA"/>
        </w:rPr>
        <w:t>AI</w:t>
      </w:r>
      <w:r w:rsidR="00344640">
        <w:rPr>
          <w:lang w:eastAsia="en-CA"/>
        </w:rPr>
        <w:t xml:space="preserve"> evidence; hearing type; disclosure; </w:t>
      </w:r>
      <w:r w:rsidR="00344640" w:rsidRPr="00344640">
        <w:rPr>
          <w:lang w:eastAsia="en-CA"/>
        </w:rPr>
        <w:t>accessibility issues impacting procedural fairness; technical complexity and explainability;</w:t>
      </w:r>
      <w:r w:rsidR="00344640">
        <w:rPr>
          <w:lang w:eastAsia="en-CA"/>
        </w:rPr>
        <w:t xml:space="preserve"> </w:t>
      </w:r>
      <w:r w:rsidR="00344640" w:rsidRPr="00344640">
        <w:rPr>
          <w:lang w:eastAsia="en-CA"/>
        </w:rPr>
        <w:t xml:space="preserve">resource constraints and other disadvantages; </w:t>
      </w:r>
      <w:r w:rsidR="00344640">
        <w:rPr>
          <w:lang w:eastAsia="en-CA"/>
        </w:rPr>
        <w:t xml:space="preserve">and </w:t>
      </w:r>
      <w:r w:rsidR="00344640" w:rsidRPr="00344640">
        <w:rPr>
          <w:lang w:eastAsia="en-CA"/>
        </w:rPr>
        <w:t>appeal rights</w:t>
      </w:r>
      <w:r w:rsidR="00344640">
        <w:rPr>
          <w:lang w:eastAsia="en-CA"/>
        </w:rPr>
        <w:t>, particularly related to timing of appeals, the right of the accused to be present at trial, and the preservation of evidence and fresh evidence on appeal, among other issues.</w:t>
      </w:r>
    </w:p>
    <w:p w14:paraId="74DBF5A5" w14:textId="77777777" w:rsidR="003112C0" w:rsidRPr="00D6562E" w:rsidRDefault="003112C0" w:rsidP="003112C0">
      <w:pPr>
        <w:rPr>
          <w:lang w:eastAsia="en-CA"/>
        </w:rPr>
      </w:pPr>
    </w:p>
    <w:p w14:paraId="48BBCE81" w14:textId="3157BE75" w:rsidR="00630390" w:rsidRPr="00D6562E" w:rsidRDefault="00630390" w:rsidP="0069073E">
      <w:pPr>
        <w:pStyle w:val="Heading2"/>
        <w:rPr>
          <w:rFonts w:asciiTheme="minorHAnsi" w:hAnsiTheme="minorHAnsi" w:cstheme="minorHAnsi"/>
          <w:lang w:eastAsia="en-CA"/>
        </w:rPr>
      </w:pPr>
      <w:bookmarkStart w:id="12" w:name="_Toc175837881"/>
      <w:bookmarkStart w:id="13" w:name="_Toc176724450"/>
      <w:bookmarkStart w:id="14" w:name="_Toc195597973"/>
      <w:r w:rsidRPr="00D6562E">
        <w:rPr>
          <w:rFonts w:asciiTheme="minorHAnsi" w:eastAsia="Times New Roman" w:hAnsiTheme="minorHAnsi" w:cstheme="minorHAnsi"/>
          <w:lang w:eastAsia="en-CA"/>
        </w:rPr>
        <w:t>1.3</w:t>
      </w:r>
      <w:r w:rsidRPr="00D6562E">
        <w:rPr>
          <w:rFonts w:asciiTheme="minorHAnsi" w:eastAsia="Times New Roman" w:hAnsiTheme="minorHAnsi" w:cstheme="minorHAnsi"/>
          <w:lang w:eastAsia="en-CA"/>
        </w:rPr>
        <w:tab/>
      </w:r>
      <w:bookmarkEnd w:id="12"/>
      <w:bookmarkEnd w:id="13"/>
      <w:r w:rsidR="0016084A" w:rsidRPr="0016084A">
        <w:rPr>
          <w:rFonts w:asciiTheme="minorHAnsi" w:hAnsiTheme="minorHAnsi" w:cstheme="minorHAnsi"/>
          <w:lang w:eastAsia="en-CA"/>
        </w:rPr>
        <w:t>Consultations, Contacts and Project Support</w:t>
      </w:r>
      <w:bookmarkEnd w:id="14"/>
    </w:p>
    <w:p w14:paraId="67EDF6EA" w14:textId="77777777" w:rsidR="00630390" w:rsidRPr="00D6562E" w:rsidRDefault="00630390" w:rsidP="0069073E">
      <w:pPr>
        <w:rPr>
          <w:lang w:eastAsia="en-CA"/>
        </w:rPr>
      </w:pPr>
    </w:p>
    <w:p w14:paraId="1F5EBC8C" w14:textId="77777777" w:rsidR="0060217E" w:rsidRPr="006F55C4" w:rsidRDefault="0060217E" w:rsidP="0060217E">
      <w:pPr>
        <w:jc w:val="both"/>
        <w:rPr>
          <w:rFonts w:eastAsia="Calibri"/>
          <w:b/>
          <w:bCs/>
          <w:lang w:val="en-US" w:eastAsia="en-CA"/>
        </w:rPr>
      </w:pPr>
      <w:r w:rsidRPr="006F55C4">
        <w:rPr>
          <w:rFonts w:eastAsia="Calibri"/>
          <w:b/>
          <w:bCs/>
          <w:lang w:val="en-US" w:eastAsia="en-CA"/>
        </w:rPr>
        <w:t>Consultations</w:t>
      </w:r>
    </w:p>
    <w:p w14:paraId="4263D399" w14:textId="77777777" w:rsidR="0060217E" w:rsidRDefault="0060217E" w:rsidP="0060217E">
      <w:pPr>
        <w:rPr>
          <w:rFonts w:eastAsia="Calibri"/>
          <w:lang w:val="en-US" w:eastAsia="en-CA"/>
        </w:rPr>
      </w:pPr>
    </w:p>
    <w:p w14:paraId="3ED21177" w14:textId="77777777" w:rsidR="00A11FAE" w:rsidRDefault="0060217E" w:rsidP="0060217E">
      <w:pPr>
        <w:rPr>
          <w:rFonts w:eastAsia="Calibri"/>
          <w:lang w:val="en-US" w:eastAsia="en-CA"/>
        </w:rPr>
      </w:pPr>
      <w:r w:rsidRPr="006F55C4">
        <w:rPr>
          <w:rFonts w:eastAsia="Calibri"/>
          <w:lang w:val="en-US" w:eastAsia="en-CA"/>
        </w:rPr>
        <w:t>The LCO believes that successful law reform depends on broad and accessible consultations with individuals, communities, and organizations across Ontario.</w:t>
      </w:r>
    </w:p>
    <w:p w14:paraId="1A63BEF5" w14:textId="77777777" w:rsidR="00A11FAE" w:rsidRDefault="00A11FAE" w:rsidP="0060217E">
      <w:pPr>
        <w:rPr>
          <w:rFonts w:eastAsia="Calibri"/>
          <w:lang w:val="en-US" w:eastAsia="en-CA"/>
        </w:rPr>
      </w:pPr>
    </w:p>
    <w:p w14:paraId="1073FE3C" w14:textId="1BF4D388" w:rsidR="0060217E" w:rsidRDefault="0060217E" w:rsidP="0060217E">
      <w:pPr>
        <w:rPr>
          <w:rFonts w:eastAsia="Calibri"/>
          <w:lang w:val="en-US" w:eastAsia="en-CA"/>
        </w:rPr>
      </w:pPr>
      <w:r w:rsidRPr="006F55C4">
        <w:rPr>
          <w:rFonts w:eastAsia="Calibri"/>
          <w:lang w:val="en-US" w:eastAsia="en-CA"/>
        </w:rPr>
        <w:t>There are many ways to get involved. Ontarians can:</w:t>
      </w:r>
    </w:p>
    <w:p w14:paraId="70BDE0D5" w14:textId="77777777" w:rsidR="00A11FAE" w:rsidRPr="006F55C4" w:rsidRDefault="00A11FAE" w:rsidP="0060217E">
      <w:pPr>
        <w:rPr>
          <w:rFonts w:eastAsia="Calibri"/>
          <w:lang w:val="en-US" w:eastAsia="en-CA"/>
        </w:rPr>
      </w:pPr>
    </w:p>
    <w:p w14:paraId="4CED0030" w14:textId="77777777" w:rsidR="0060217E" w:rsidRPr="006F55C4" w:rsidRDefault="0060217E" w:rsidP="0060217E">
      <w:pPr>
        <w:numPr>
          <w:ilvl w:val="0"/>
          <w:numId w:val="25"/>
        </w:numPr>
        <w:spacing w:after="80"/>
        <w:ind w:left="714" w:hanging="357"/>
        <w:jc w:val="both"/>
        <w:rPr>
          <w:rFonts w:eastAsia="Calibri"/>
          <w:lang w:val="en-US" w:eastAsia="en-CA"/>
        </w:rPr>
      </w:pPr>
      <w:r w:rsidRPr="006F55C4">
        <w:rPr>
          <w:rFonts w:eastAsia="Calibri"/>
          <w:lang w:val="en-US" w:eastAsia="en-CA"/>
        </w:rPr>
        <w:t>Learn about the project and sign up for project updates on our project website.</w:t>
      </w:r>
    </w:p>
    <w:p w14:paraId="3B2D1AB6" w14:textId="77777777" w:rsidR="0060217E" w:rsidRPr="006F55C4" w:rsidRDefault="0060217E" w:rsidP="0060217E">
      <w:pPr>
        <w:numPr>
          <w:ilvl w:val="0"/>
          <w:numId w:val="25"/>
        </w:numPr>
        <w:spacing w:after="80"/>
        <w:ind w:left="714" w:hanging="357"/>
        <w:jc w:val="both"/>
        <w:rPr>
          <w:rFonts w:eastAsia="Calibri"/>
          <w:lang w:val="en-US" w:eastAsia="en-CA"/>
        </w:rPr>
      </w:pPr>
      <w:r w:rsidRPr="006F55C4">
        <w:rPr>
          <w:rFonts w:eastAsia="Calibri"/>
          <w:lang w:val="en-US" w:eastAsia="en-CA"/>
        </w:rPr>
        <w:t>Contact us to ask about the project.</w:t>
      </w:r>
    </w:p>
    <w:p w14:paraId="4C6699D3" w14:textId="77777777" w:rsidR="0060217E" w:rsidRPr="006F55C4" w:rsidRDefault="0060217E" w:rsidP="0060217E">
      <w:pPr>
        <w:numPr>
          <w:ilvl w:val="0"/>
          <w:numId w:val="25"/>
        </w:numPr>
        <w:spacing w:after="80"/>
        <w:ind w:left="714" w:hanging="357"/>
        <w:jc w:val="both"/>
        <w:rPr>
          <w:rFonts w:eastAsia="Calibri"/>
          <w:lang w:val="en-US" w:eastAsia="en-CA"/>
        </w:rPr>
      </w:pPr>
      <w:r w:rsidRPr="006F55C4">
        <w:rPr>
          <w:rFonts w:eastAsia="Calibri"/>
          <w:lang w:val="en-US" w:eastAsia="en-CA"/>
        </w:rPr>
        <w:t>Provide written submissions or comments on any of our reports.</w:t>
      </w:r>
    </w:p>
    <w:p w14:paraId="17280819" w14:textId="77777777" w:rsidR="0060217E" w:rsidRPr="006F55C4" w:rsidRDefault="0060217E" w:rsidP="0060217E">
      <w:pPr>
        <w:spacing w:after="80"/>
        <w:jc w:val="both"/>
        <w:rPr>
          <w:rFonts w:eastAsia="Calibri"/>
          <w:lang w:val="en-US" w:eastAsia="en-CA"/>
        </w:rPr>
      </w:pPr>
    </w:p>
    <w:p w14:paraId="75CB75C1" w14:textId="77777777" w:rsidR="0060217E" w:rsidRPr="006F55C4" w:rsidRDefault="0060217E" w:rsidP="0060217E">
      <w:pPr>
        <w:rPr>
          <w:rFonts w:ascii="Calibri" w:eastAsia="Calibri" w:hAnsi="Calibri" w:cs="Times New Roman"/>
          <w:b/>
          <w:bCs/>
          <w:lang w:eastAsia="en-CA"/>
        </w:rPr>
      </w:pPr>
      <w:r w:rsidRPr="006F55C4">
        <w:rPr>
          <w:rFonts w:ascii="Calibri" w:eastAsia="Calibri" w:hAnsi="Calibri" w:cs="Times New Roman"/>
          <w:b/>
          <w:bCs/>
          <w:lang w:eastAsia="en-CA"/>
        </w:rPr>
        <w:t>Project Lead and Contact</w:t>
      </w:r>
    </w:p>
    <w:p w14:paraId="07AE2CD3" w14:textId="77777777" w:rsidR="0060217E" w:rsidRDefault="0060217E" w:rsidP="0060217E">
      <w:pPr>
        <w:rPr>
          <w:rFonts w:ascii="Calibri" w:eastAsia="Calibri" w:hAnsi="Calibri" w:cs="Times New Roman"/>
          <w:lang w:eastAsia="en-CA"/>
        </w:rPr>
      </w:pPr>
    </w:p>
    <w:p w14:paraId="197162AE" w14:textId="0AB97445" w:rsidR="0060217E" w:rsidRPr="006F55C4" w:rsidRDefault="0060217E" w:rsidP="0060217E">
      <w:pPr>
        <w:rPr>
          <w:rFonts w:ascii="Calibri" w:eastAsia="Calibri" w:hAnsi="Calibri" w:cs="Calibri"/>
          <w:lang w:val="en-US" w:eastAsia="en-CA"/>
        </w:rPr>
      </w:pPr>
      <w:r w:rsidRPr="006F55C4">
        <w:rPr>
          <w:rFonts w:ascii="Calibri" w:eastAsia="Calibri" w:hAnsi="Calibri" w:cs="Times New Roman"/>
          <w:lang w:eastAsia="en-CA"/>
        </w:rPr>
        <w:t xml:space="preserve">The LCO Project Lead is Ryan Fritsch. He can be contacted at </w:t>
      </w:r>
      <w:hyperlink r:id="rId28" w:history="1">
        <w:r w:rsidRPr="006F55C4">
          <w:rPr>
            <w:rFonts w:ascii="Calibri" w:eastAsia="Calibri" w:hAnsi="Calibri" w:cs="Times New Roman"/>
            <w:color w:val="0563C1" w:themeColor="hyperlink"/>
            <w:u w:val="single"/>
            <w:lang w:eastAsia="en-CA"/>
          </w:rPr>
          <w:t>rfritsch@lco-cdo.org</w:t>
        </w:r>
      </w:hyperlink>
      <w:r w:rsidRPr="006F55C4">
        <w:rPr>
          <w:rFonts w:ascii="Calibri" w:eastAsia="Calibri" w:hAnsi="Calibri" w:cs="Times New Roman"/>
          <w:lang w:eastAsia="en-CA"/>
        </w:rPr>
        <w:t>.</w:t>
      </w:r>
    </w:p>
    <w:p w14:paraId="7E553386" w14:textId="77777777" w:rsidR="0060217E" w:rsidRDefault="0060217E" w:rsidP="0060217E">
      <w:pPr>
        <w:rPr>
          <w:rFonts w:ascii="Calibri" w:eastAsia="Calibri" w:hAnsi="Calibri" w:cs="Calibri"/>
          <w:lang w:val="en-US" w:eastAsia="en-CA"/>
        </w:rPr>
      </w:pPr>
    </w:p>
    <w:p w14:paraId="2DE3608A" w14:textId="3FFA3F25" w:rsidR="0060217E" w:rsidRDefault="0060217E" w:rsidP="0060217E">
      <w:pPr>
        <w:rPr>
          <w:rFonts w:ascii="Calibri" w:eastAsia="Calibri" w:hAnsi="Calibri" w:cs="Calibri"/>
          <w:lang w:val="en-US" w:eastAsia="en-CA"/>
        </w:rPr>
      </w:pPr>
      <w:r w:rsidRPr="006F55C4">
        <w:rPr>
          <w:rFonts w:ascii="Calibri" w:eastAsia="Calibri" w:hAnsi="Calibri" w:cs="Calibri"/>
          <w:lang w:val="en-US" w:eastAsia="en-CA"/>
        </w:rPr>
        <w:t>The LCO can be contacted at:</w:t>
      </w:r>
    </w:p>
    <w:p w14:paraId="00AEE1C5" w14:textId="77777777" w:rsidR="0060217E" w:rsidRPr="006F55C4" w:rsidRDefault="0060217E" w:rsidP="0060217E">
      <w:pPr>
        <w:rPr>
          <w:rFonts w:ascii="Calibri" w:eastAsia="Calibri" w:hAnsi="Calibri" w:cs="Calibri"/>
          <w:lang w:val="en-US" w:eastAsia="en-CA"/>
        </w:rPr>
      </w:pPr>
    </w:p>
    <w:tbl>
      <w:tblPr>
        <w:tblStyle w:val="TableGrid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243"/>
      </w:tblGrid>
      <w:tr w:rsidR="0060217E" w:rsidRPr="006F55C4" w14:paraId="499EFEA2" w14:textId="77777777" w:rsidTr="00FB074B">
        <w:tc>
          <w:tcPr>
            <w:tcW w:w="4675" w:type="dxa"/>
          </w:tcPr>
          <w:p w14:paraId="06FB51DF" w14:textId="77777777" w:rsidR="0060217E" w:rsidRPr="006F55C4" w:rsidRDefault="0060217E" w:rsidP="00FB074B">
            <w:pPr>
              <w:rPr>
                <w:lang w:val="en-US"/>
              </w:rPr>
            </w:pPr>
            <w:r w:rsidRPr="006F55C4">
              <w:rPr>
                <w:lang w:val="en-US"/>
              </w:rPr>
              <w:t>Law Commission of Ontario</w:t>
            </w:r>
            <w:r w:rsidRPr="006F55C4">
              <w:rPr>
                <w:lang w:val="en-US"/>
              </w:rPr>
              <w:br/>
              <w:t>Osgoode Hall Law School, York University</w:t>
            </w:r>
            <w:r w:rsidRPr="006F55C4">
              <w:rPr>
                <w:lang w:val="en-US"/>
              </w:rPr>
              <w:br/>
              <w:t>2032 Ignat Kaneff Building</w:t>
            </w:r>
            <w:r w:rsidRPr="006F55C4">
              <w:rPr>
                <w:lang w:val="en-US"/>
              </w:rPr>
              <w:br/>
              <w:t>4700 Keele Street Toronto</w:t>
            </w:r>
            <w:r w:rsidRPr="006F55C4">
              <w:rPr>
                <w:lang w:val="en-US"/>
              </w:rPr>
              <w:br/>
              <w:t>ON M3J 1P3</w:t>
            </w:r>
          </w:p>
        </w:tc>
        <w:tc>
          <w:tcPr>
            <w:tcW w:w="5243" w:type="dxa"/>
          </w:tcPr>
          <w:p w14:paraId="72809347" w14:textId="77777777" w:rsidR="0060217E" w:rsidRPr="006F55C4" w:rsidRDefault="0060217E" w:rsidP="00FB074B">
            <w:pPr>
              <w:rPr>
                <w:lang w:val="en-US"/>
              </w:rPr>
            </w:pPr>
            <w:r w:rsidRPr="006F55C4">
              <w:rPr>
                <w:lang w:val="en-US"/>
              </w:rPr>
              <w:t>Telephone: (416) 650-8406</w:t>
            </w:r>
            <w:r w:rsidRPr="006F55C4">
              <w:rPr>
                <w:lang w:val="en-US"/>
              </w:rPr>
              <w:br/>
              <w:t xml:space="preserve">Email: </w:t>
            </w:r>
            <w:hyperlink r:id="rId29">
              <w:r w:rsidRPr="006F55C4">
                <w:rPr>
                  <w:color w:val="0563C1" w:themeColor="hyperlink"/>
                  <w:u w:val="single"/>
                  <w:lang w:val="en-US"/>
                </w:rPr>
                <w:t>lawcommission@lco-cdo.org</w:t>
              </w:r>
            </w:hyperlink>
            <w:r w:rsidRPr="006F55C4">
              <w:rPr>
                <w:lang w:val="en-US"/>
              </w:rPr>
              <w:br/>
              <w:t xml:space="preserve">Web page: </w:t>
            </w:r>
            <w:hyperlink r:id="rId30">
              <w:r w:rsidRPr="006F55C4">
                <w:rPr>
                  <w:color w:val="0563C1" w:themeColor="hyperlink"/>
                  <w:u w:val="single"/>
                  <w:lang w:val="en-US"/>
                </w:rPr>
                <w:t>www.lco-cdo.org</w:t>
              </w:r>
            </w:hyperlink>
            <w:r w:rsidRPr="006F55C4">
              <w:rPr>
                <w:lang w:val="en-US"/>
              </w:rPr>
              <w:br/>
              <w:t>X/Twitter: @LCO_CDO</w:t>
            </w:r>
            <w:r w:rsidRPr="006F55C4">
              <w:rPr>
                <w:lang w:val="en-US"/>
              </w:rPr>
              <w:br/>
              <w:t xml:space="preserve">LinkedIn: </w:t>
            </w:r>
            <w:hyperlink r:id="rId31" w:history="1">
              <w:r w:rsidRPr="006F55C4">
                <w:rPr>
                  <w:color w:val="0563C1" w:themeColor="hyperlink"/>
                  <w:u w:val="single"/>
                  <w:lang w:val="en-US"/>
                </w:rPr>
                <w:t>https://linkedin.com/company/lco-cdo</w:t>
              </w:r>
            </w:hyperlink>
          </w:p>
        </w:tc>
      </w:tr>
    </w:tbl>
    <w:p w14:paraId="739B5FA5" w14:textId="77777777" w:rsidR="0060217E" w:rsidRPr="006F55C4" w:rsidRDefault="0060217E" w:rsidP="0060217E">
      <w:pPr>
        <w:spacing w:after="80"/>
        <w:jc w:val="both"/>
        <w:rPr>
          <w:rFonts w:eastAsia="Calibri"/>
          <w:lang w:val="en-US" w:eastAsia="en-CA"/>
        </w:rPr>
      </w:pPr>
    </w:p>
    <w:p w14:paraId="2AB13222" w14:textId="77777777" w:rsidR="0060217E" w:rsidRPr="006F55C4" w:rsidRDefault="0060217E" w:rsidP="0060217E">
      <w:pPr>
        <w:rPr>
          <w:rFonts w:ascii="Calibri" w:eastAsia="Calibri" w:hAnsi="Calibri" w:cs="Times New Roman"/>
          <w:b/>
          <w:bCs/>
          <w:lang w:eastAsia="en-CA"/>
        </w:rPr>
      </w:pPr>
      <w:r w:rsidRPr="006F55C4">
        <w:rPr>
          <w:rFonts w:ascii="Calibri" w:eastAsia="Calibri" w:hAnsi="Calibri" w:cs="Times New Roman"/>
          <w:b/>
          <w:bCs/>
          <w:lang w:eastAsia="en-CA"/>
        </w:rPr>
        <w:t>Author and Project Editors</w:t>
      </w:r>
    </w:p>
    <w:p w14:paraId="4346AA29" w14:textId="77777777" w:rsidR="0060217E" w:rsidRDefault="0060217E" w:rsidP="0060217E">
      <w:pPr>
        <w:rPr>
          <w:rFonts w:ascii="Calibri" w:eastAsia="Calibri" w:hAnsi="Calibri" w:cs="Times New Roman"/>
          <w:lang w:eastAsia="en-CA"/>
        </w:rPr>
      </w:pPr>
    </w:p>
    <w:p w14:paraId="6ADCF91F" w14:textId="37EC1D86" w:rsidR="0060217E" w:rsidRDefault="0060217E" w:rsidP="0060217E">
      <w:pPr>
        <w:rPr>
          <w:rFonts w:ascii="Calibri" w:eastAsia="Calibri" w:hAnsi="Calibri" w:cs="Times New Roman"/>
          <w:lang w:eastAsia="en-CA"/>
        </w:rPr>
      </w:pPr>
      <w:r w:rsidRPr="006F55C4">
        <w:rPr>
          <w:rFonts w:ascii="Calibri" w:eastAsia="Calibri" w:hAnsi="Calibri" w:cs="Times New Roman"/>
          <w:lang w:eastAsia="en-CA"/>
        </w:rPr>
        <w:t xml:space="preserve">This paper was written by </w:t>
      </w:r>
      <w:r>
        <w:rPr>
          <w:rFonts w:ascii="Calibri" w:eastAsia="Calibri" w:hAnsi="Calibri" w:cs="Times New Roman"/>
          <w:lang w:eastAsia="en-CA"/>
        </w:rPr>
        <w:t>Paula Thompson (</w:t>
      </w:r>
      <w:r w:rsidRPr="0060217E">
        <w:rPr>
          <w:rFonts w:ascii="Calibri" w:eastAsia="Calibri" w:hAnsi="Calibri" w:cs="Times New Roman"/>
          <w:lang w:eastAsia="en-CA"/>
        </w:rPr>
        <w:t>Strategic Initiatives, Ministry of the Attorney General</w:t>
      </w:r>
      <w:r>
        <w:rPr>
          <w:rFonts w:ascii="Calibri" w:eastAsia="Calibri" w:hAnsi="Calibri" w:cs="Times New Roman"/>
          <w:lang w:eastAsia="en-CA"/>
        </w:rPr>
        <w:t>) and Eric Neubauer (</w:t>
      </w:r>
      <w:r w:rsidRPr="0060217E">
        <w:rPr>
          <w:rFonts w:ascii="Calibri" w:eastAsia="Calibri" w:hAnsi="Calibri" w:cs="Times New Roman"/>
          <w:lang w:eastAsia="en-CA"/>
        </w:rPr>
        <w:t>Defense Counsel, Neubauer Law, and Co-Chair, Criminal Lawyers Association Technology Committee</w:t>
      </w:r>
      <w:r>
        <w:rPr>
          <w:rFonts w:ascii="Calibri" w:eastAsia="Calibri" w:hAnsi="Calibri" w:cs="Times New Roman"/>
          <w:lang w:eastAsia="en-CA"/>
        </w:rPr>
        <w:t xml:space="preserve">). </w:t>
      </w:r>
      <w:r w:rsidRPr="006F55C4">
        <w:rPr>
          <w:rFonts w:ascii="Calibri" w:eastAsia="Calibri" w:hAnsi="Calibri" w:cs="Times New Roman"/>
          <w:lang w:eastAsia="en-CA"/>
        </w:rPr>
        <w:t xml:space="preserve">Ryan Fritsch supported and edited the project Issue Papers. </w:t>
      </w:r>
    </w:p>
    <w:p w14:paraId="235A2018" w14:textId="77777777" w:rsidR="0060217E" w:rsidRPr="006F55C4" w:rsidRDefault="0060217E" w:rsidP="0060217E">
      <w:pPr>
        <w:rPr>
          <w:rFonts w:ascii="Calibri" w:eastAsia="Calibri" w:hAnsi="Calibri" w:cs="Times New Roman"/>
          <w:lang w:eastAsia="en-CA"/>
        </w:rPr>
      </w:pPr>
    </w:p>
    <w:p w14:paraId="3A4E11FF" w14:textId="77777777" w:rsidR="0060217E" w:rsidRDefault="0060217E" w:rsidP="0060217E">
      <w:pPr>
        <w:rPr>
          <w:rFonts w:ascii="Calibri" w:eastAsia="Calibri" w:hAnsi="Calibri" w:cs="Times New Roman"/>
          <w:lang w:eastAsia="en-CA"/>
        </w:rPr>
      </w:pPr>
      <w:r w:rsidRPr="006F55C4">
        <w:rPr>
          <w:rFonts w:ascii="Calibri" w:eastAsia="Calibri" w:hAnsi="Calibri" w:cs="Times New Roman"/>
          <w:lang w:eastAsia="en-CA"/>
        </w:rPr>
        <w:t>Project authors include:</w:t>
      </w:r>
    </w:p>
    <w:p w14:paraId="099C29F5" w14:textId="77777777" w:rsidR="0060217E" w:rsidRPr="006F55C4" w:rsidRDefault="0060217E" w:rsidP="0060217E">
      <w:pPr>
        <w:rPr>
          <w:rFonts w:ascii="Calibri" w:eastAsia="Calibri" w:hAnsi="Calibri" w:cs="Times New Roman"/>
          <w:lang w:eastAsia="en-CA"/>
        </w:rPr>
      </w:pPr>
    </w:p>
    <w:bookmarkStart w:id="15" w:name="_Hlk193443075"/>
    <w:p w14:paraId="60154784" w14:textId="77777777" w:rsidR="0060217E" w:rsidRPr="006F55C4" w:rsidRDefault="0060217E" w:rsidP="0060217E">
      <w:pPr>
        <w:numPr>
          <w:ilvl w:val="0"/>
          <w:numId w:val="141"/>
        </w:numPr>
        <w:spacing w:line="259" w:lineRule="auto"/>
        <w:rPr>
          <w:rFonts w:ascii="Calibri" w:eastAsia="Calibri" w:hAnsi="Calibri" w:cs="Calibri"/>
          <w:lang w:eastAsia="en-CA"/>
        </w:rPr>
      </w:pPr>
      <w:r>
        <w:fldChar w:fldCharType="begin"/>
      </w:r>
      <w:r>
        <w:instrText>HYPERLINK "https://law.ucalgary.ca/profiles/christian"</w:instrText>
      </w:r>
      <w:r>
        <w:fldChar w:fldCharType="separate"/>
      </w:r>
      <w:r w:rsidRPr="006F55C4">
        <w:rPr>
          <w:rFonts w:ascii="Calibri" w:eastAsia="Calibri" w:hAnsi="Calibri" w:cs="Calibri"/>
          <w:color w:val="0563C1" w:themeColor="hyperlink"/>
          <w:u w:val="single"/>
          <w:lang w:eastAsia="en-CA"/>
        </w:rPr>
        <w:t>Gideon Christian</w:t>
      </w:r>
      <w:r>
        <w:fldChar w:fldCharType="end"/>
      </w:r>
      <w:r w:rsidRPr="006F55C4">
        <w:rPr>
          <w:rFonts w:ascii="Calibri" w:eastAsia="Calibri" w:hAnsi="Calibri" w:cs="Calibri"/>
          <w:lang w:eastAsia="en-CA"/>
        </w:rPr>
        <w:t>, Professor of Law, Faculty of Law, University of Calgary</w:t>
      </w:r>
    </w:p>
    <w:p w14:paraId="2B6571AA" w14:textId="77777777" w:rsidR="0060217E" w:rsidRPr="006F55C4" w:rsidRDefault="0060217E" w:rsidP="0060217E">
      <w:pPr>
        <w:numPr>
          <w:ilvl w:val="0"/>
          <w:numId w:val="141"/>
        </w:numPr>
        <w:spacing w:line="259" w:lineRule="auto"/>
        <w:rPr>
          <w:rFonts w:ascii="Calibri" w:eastAsia="Calibri" w:hAnsi="Calibri" w:cs="Calibri"/>
          <w:lang w:eastAsia="en-CA"/>
        </w:rPr>
      </w:pPr>
      <w:hyperlink r:id="rId32" w:history="1">
        <w:r w:rsidRPr="006F55C4">
          <w:rPr>
            <w:rStyle w:val="Hyperlink"/>
            <w:rFonts w:ascii="Calibri" w:eastAsia="Calibri" w:hAnsi="Calibri" w:cs="Calibri"/>
            <w:lang w:eastAsia="en-CA"/>
          </w:rPr>
          <w:t>Armando D’Andrea</w:t>
        </w:r>
      </w:hyperlink>
      <w:r w:rsidRPr="006F55C4">
        <w:rPr>
          <w:rFonts w:ascii="Calibri" w:eastAsia="Calibri" w:hAnsi="Calibri" w:cs="Calibri"/>
          <w:lang w:eastAsia="en-CA"/>
        </w:rPr>
        <w:t>, Staff Lawyer, Provincial Office, Legal Aid Ontario</w:t>
      </w:r>
    </w:p>
    <w:p w14:paraId="6DC65102" w14:textId="77777777" w:rsidR="0060217E" w:rsidRPr="006F55C4" w:rsidRDefault="0060217E" w:rsidP="0060217E">
      <w:pPr>
        <w:numPr>
          <w:ilvl w:val="0"/>
          <w:numId w:val="141"/>
        </w:numPr>
        <w:spacing w:line="259" w:lineRule="auto"/>
        <w:rPr>
          <w:rFonts w:ascii="Calibri" w:eastAsia="Calibri" w:hAnsi="Calibri" w:cs="Calibri"/>
          <w:lang w:eastAsia="en-CA"/>
        </w:rPr>
      </w:pPr>
      <w:hyperlink r:id="rId33" w:history="1">
        <w:r w:rsidRPr="006F55C4">
          <w:rPr>
            <w:rStyle w:val="Hyperlink"/>
            <w:rFonts w:ascii="Calibri" w:eastAsia="Calibri" w:hAnsi="Calibri" w:cs="Calibri"/>
            <w:lang w:eastAsia="en-CA"/>
          </w:rPr>
          <w:t>Ryan Fritsch</w:t>
        </w:r>
      </w:hyperlink>
      <w:r w:rsidRPr="006F55C4">
        <w:rPr>
          <w:rFonts w:ascii="Calibri" w:eastAsia="Calibri" w:hAnsi="Calibri" w:cs="Calibri"/>
          <w:lang w:eastAsia="en-CA"/>
        </w:rPr>
        <w:t xml:space="preserve">, Counsel, Law Commission of Ontario </w:t>
      </w:r>
    </w:p>
    <w:p w14:paraId="6C1EBA27" w14:textId="77777777" w:rsidR="0060217E" w:rsidRPr="006F55C4" w:rsidRDefault="0060217E" w:rsidP="0060217E">
      <w:pPr>
        <w:numPr>
          <w:ilvl w:val="0"/>
          <w:numId w:val="141"/>
        </w:numPr>
        <w:spacing w:line="259" w:lineRule="auto"/>
        <w:rPr>
          <w:rFonts w:ascii="Calibri" w:eastAsia="Calibri" w:hAnsi="Calibri" w:cs="Calibri"/>
          <w:lang w:eastAsia="en-CA"/>
        </w:rPr>
      </w:pPr>
      <w:hyperlink r:id="rId34" w:history="1">
        <w:r w:rsidRPr="006F55C4">
          <w:rPr>
            <w:rFonts w:ascii="Calibri" w:eastAsia="Calibri" w:hAnsi="Calibri" w:cs="Calibri"/>
            <w:color w:val="0563C1" w:themeColor="hyperlink"/>
            <w:u w:val="single"/>
            <w:lang w:eastAsia="en-CA"/>
          </w:rPr>
          <w:t>Brenda McPhail</w:t>
        </w:r>
      </w:hyperlink>
      <w:r w:rsidRPr="006F55C4">
        <w:rPr>
          <w:rFonts w:ascii="Calibri" w:eastAsia="Calibri" w:hAnsi="Calibri" w:cs="Calibri"/>
          <w:lang w:eastAsia="en-CA"/>
        </w:rPr>
        <w:t>, Senior Technology &amp; Policy Advisor, Information and Privacy Commissioner of Ontario</w:t>
      </w:r>
    </w:p>
    <w:p w14:paraId="71D850BE" w14:textId="77777777" w:rsidR="0060217E" w:rsidRPr="006F55C4" w:rsidRDefault="0060217E" w:rsidP="0060217E">
      <w:pPr>
        <w:numPr>
          <w:ilvl w:val="0"/>
          <w:numId w:val="141"/>
        </w:numPr>
        <w:spacing w:after="160" w:line="259" w:lineRule="auto"/>
        <w:contextualSpacing/>
        <w:rPr>
          <w:rFonts w:ascii="Calibri" w:eastAsia="Calibri" w:hAnsi="Calibri" w:cs="Calibri"/>
          <w:lang w:eastAsia="en-CA"/>
        </w:rPr>
      </w:pPr>
      <w:hyperlink r:id="rId35" w:history="1">
        <w:r w:rsidRPr="006F55C4">
          <w:rPr>
            <w:rFonts w:ascii="Calibri" w:eastAsia="Calibri" w:hAnsi="Calibri" w:cs="Calibri"/>
            <w:color w:val="0563C1" w:themeColor="hyperlink"/>
            <w:u w:val="single"/>
            <w:lang w:eastAsia="en-CA"/>
          </w:rPr>
          <w:t>Eric Neubauer</w:t>
        </w:r>
      </w:hyperlink>
      <w:r w:rsidRPr="006F55C4">
        <w:rPr>
          <w:rFonts w:ascii="Calibri" w:eastAsia="Calibri" w:hAnsi="Calibri" w:cs="Calibri"/>
          <w:lang w:eastAsia="en-CA"/>
        </w:rPr>
        <w:t>, Defense Counsel, Neubauer Law, and Co-Chair, Criminal Lawyers Association Technology Committee</w:t>
      </w:r>
    </w:p>
    <w:p w14:paraId="129E7C7E" w14:textId="77777777" w:rsidR="0060217E" w:rsidRPr="006F55C4" w:rsidRDefault="0060217E" w:rsidP="0060217E">
      <w:pPr>
        <w:numPr>
          <w:ilvl w:val="0"/>
          <w:numId w:val="141"/>
        </w:numPr>
        <w:spacing w:after="160" w:line="259" w:lineRule="auto"/>
        <w:contextualSpacing/>
        <w:rPr>
          <w:rFonts w:ascii="Calibri" w:eastAsia="Calibri" w:hAnsi="Calibri" w:cs="Calibri"/>
          <w:lang w:eastAsia="en-CA"/>
        </w:rPr>
      </w:pPr>
      <w:hyperlink r:id="rId36" w:history="1">
        <w:r w:rsidRPr="006F55C4">
          <w:rPr>
            <w:rFonts w:ascii="Calibri" w:eastAsia="Calibri" w:hAnsi="Calibri" w:cs="Calibri"/>
            <w:color w:val="0563C1" w:themeColor="hyperlink"/>
            <w:u w:val="single"/>
            <w:lang w:eastAsia="en-CA"/>
          </w:rPr>
          <w:t>Marcus Pratt</w:t>
        </w:r>
      </w:hyperlink>
      <w:r w:rsidRPr="006F55C4">
        <w:rPr>
          <w:rFonts w:ascii="Calibri" w:eastAsia="Calibri" w:hAnsi="Calibri" w:cs="Calibri"/>
          <w:lang w:eastAsia="en-CA"/>
        </w:rPr>
        <w:t>, Senior Advisor, Policy Department, Legal Aid Ontario, and Chair of the LAO Test Case Committee</w:t>
      </w:r>
    </w:p>
    <w:p w14:paraId="651A9DCD" w14:textId="77777777" w:rsidR="0060217E" w:rsidRPr="006F55C4" w:rsidRDefault="0060217E" w:rsidP="0060217E">
      <w:pPr>
        <w:numPr>
          <w:ilvl w:val="0"/>
          <w:numId w:val="141"/>
        </w:numPr>
        <w:spacing w:after="160" w:line="259" w:lineRule="auto"/>
        <w:contextualSpacing/>
        <w:rPr>
          <w:rFonts w:ascii="Calibri" w:eastAsia="Calibri" w:hAnsi="Calibri" w:cs="Calibri"/>
          <w:lang w:eastAsia="en-CA"/>
        </w:rPr>
      </w:pPr>
      <w:hyperlink r:id="rId37" w:history="1">
        <w:r w:rsidRPr="006F55C4">
          <w:rPr>
            <w:rFonts w:ascii="Calibri" w:eastAsia="Calibri" w:hAnsi="Calibri" w:cs="Calibri"/>
            <w:color w:val="0563C1" w:themeColor="hyperlink"/>
            <w:u w:val="single"/>
            <w:lang w:eastAsia="en-CA"/>
          </w:rPr>
          <w:t>Jagtaran Singh</w:t>
        </w:r>
      </w:hyperlink>
      <w:r w:rsidRPr="006F55C4">
        <w:rPr>
          <w:rFonts w:ascii="Calibri" w:eastAsia="Calibri" w:hAnsi="Calibri" w:cs="Calibri"/>
          <w:lang w:eastAsia="en-CA"/>
        </w:rPr>
        <w:t>, Legal Counsel Ontario Human Rights Commission</w:t>
      </w:r>
    </w:p>
    <w:p w14:paraId="4924ABDF" w14:textId="77777777" w:rsidR="0060217E" w:rsidRPr="006F55C4" w:rsidRDefault="0060217E" w:rsidP="0060217E">
      <w:pPr>
        <w:numPr>
          <w:ilvl w:val="0"/>
          <w:numId w:val="141"/>
        </w:numPr>
        <w:spacing w:after="160" w:line="259" w:lineRule="auto"/>
        <w:contextualSpacing/>
        <w:rPr>
          <w:rFonts w:ascii="Calibri" w:eastAsia="Calibri" w:hAnsi="Calibri" w:cs="Calibri"/>
          <w:lang w:eastAsia="en-CA"/>
        </w:rPr>
      </w:pPr>
      <w:hyperlink r:id="rId38" w:history="1">
        <w:r w:rsidRPr="006F55C4">
          <w:rPr>
            <w:rStyle w:val="Hyperlink"/>
            <w:rFonts w:ascii="Calibri" w:eastAsia="Calibri" w:hAnsi="Calibri" w:cs="Calibri"/>
            <w:lang w:eastAsia="en-CA"/>
          </w:rPr>
          <w:t>Nye Thomas</w:t>
        </w:r>
      </w:hyperlink>
      <w:r w:rsidRPr="006F55C4">
        <w:rPr>
          <w:rFonts w:ascii="Calibri" w:eastAsia="Calibri" w:hAnsi="Calibri" w:cs="Calibri"/>
          <w:lang w:eastAsia="en-CA"/>
        </w:rPr>
        <w:t>, Executive Director, Law Commission of Ontario</w:t>
      </w:r>
    </w:p>
    <w:p w14:paraId="1EE26128" w14:textId="77777777" w:rsidR="0060217E" w:rsidRPr="006F55C4" w:rsidRDefault="0060217E" w:rsidP="0060217E">
      <w:pPr>
        <w:numPr>
          <w:ilvl w:val="0"/>
          <w:numId w:val="141"/>
        </w:numPr>
        <w:spacing w:after="160" w:line="259" w:lineRule="auto"/>
        <w:contextualSpacing/>
        <w:rPr>
          <w:rFonts w:ascii="Calibri" w:eastAsia="Calibri" w:hAnsi="Calibri" w:cs="Calibri"/>
          <w:lang w:eastAsia="en-CA"/>
        </w:rPr>
      </w:pPr>
      <w:r w:rsidRPr="006F55C4">
        <w:rPr>
          <w:rFonts w:ascii="Calibri" w:eastAsia="Calibri" w:hAnsi="Calibri" w:cs="Calibri"/>
          <w:lang w:eastAsia="en-CA"/>
        </w:rPr>
        <w:t>Paula Thompson, Strategic Initiatives, Ministry of the Attorney General</w:t>
      </w:r>
      <w:bookmarkEnd w:id="15"/>
    </w:p>
    <w:p w14:paraId="6DB5F885" w14:textId="77777777" w:rsidR="0060217E" w:rsidRPr="006F55C4" w:rsidRDefault="0060217E" w:rsidP="0060217E">
      <w:pPr>
        <w:rPr>
          <w:rFonts w:ascii="Calibri" w:eastAsia="Times New Roman" w:hAnsi="Calibri"/>
          <w:b/>
          <w:bCs/>
          <w:lang w:eastAsia="en-CA"/>
        </w:rPr>
      </w:pPr>
    </w:p>
    <w:p w14:paraId="5C8E37A2" w14:textId="77777777" w:rsidR="0060217E" w:rsidRPr="006F55C4" w:rsidRDefault="0060217E" w:rsidP="0060217E">
      <w:pPr>
        <w:rPr>
          <w:rFonts w:ascii="Calibri" w:eastAsia="Times New Roman" w:hAnsi="Calibri"/>
          <w:b/>
          <w:bCs/>
          <w:lang w:eastAsia="en-CA"/>
        </w:rPr>
      </w:pPr>
      <w:r w:rsidRPr="006F55C4">
        <w:rPr>
          <w:rFonts w:ascii="Calibri" w:eastAsia="Times New Roman" w:hAnsi="Calibri"/>
          <w:b/>
          <w:bCs/>
          <w:lang w:eastAsia="en-CA"/>
        </w:rPr>
        <w:t xml:space="preserve">Advisory Committee </w:t>
      </w:r>
    </w:p>
    <w:p w14:paraId="3DC9FDB4" w14:textId="77777777" w:rsidR="0060217E" w:rsidRDefault="0060217E" w:rsidP="0060217E">
      <w:pPr>
        <w:rPr>
          <w:rFonts w:ascii="Calibri" w:eastAsia="Calibri" w:hAnsi="Calibri" w:cs="Calibri"/>
          <w:lang w:eastAsia="en-CA"/>
        </w:rPr>
      </w:pPr>
    </w:p>
    <w:p w14:paraId="56F92056" w14:textId="4702497C" w:rsidR="0060217E" w:rsidRPr="006F55C4" w:rsidRDefault="0060217E" w:rsidP="0060217E">
      <w:pPr>
        <w:rPr>
          <w:rFonts w:ascii="Calibri" w:eastAsia="Calibri" w:hAnsi="Calibri" w:cs="Calibri"/>
          <w:lang w:eastAsia="en-CA"/>
        </w:rPr>
      </w:pPr>
      <w:r w:rsidRPr="006F55C4">
        <w:rPr>
          <w:rFonts w:ascii="Calibri" w:eastAsia="Calibri" w:hAnsi="Calibri" w:cs="Calibri"/>
          <w:lang w:eastAsia="en-CA"/>
        </w:rPr>
        <w:t>An external Advisory Committee oversees the project and provides ongoing feedback through the research, drafting, and consultation process.</w:t>
      </w:r>
      <w:r>
        <w:rPr>
          <w:rFonts w:ascii="Calibri" w:eastAsia="Calibri" w:hAnsi="Calibri" w:cs="Calibri"/>
          <w:lang w:eastAsia="en-CA"/>
        </w:rPr>
        <w:t xml:space="preserve"> </w:t>
      </w:r>
      <w:r w:rsidRPr="006F55C4">
        <w:rPr>
          <w:rFonts w:ascii="Calibri" w:eastAsia="Calibri" w:hAnsi="Calibri" w:cs="Calibri"/>
          <w:lang w:eastAsia="en-CA"/>
        </w:rPr>
        <w:t>Advisory Committee members include:</w:t>
      </w:r>
    </w:p>
    <w:p w14:paraId="2E5A5EF5" w14:textId="77777777" w:rsidR="0060217E" w:rsidRPr="006F55C4" w:rsidRDefault="0060217E" w:rsidP="0060217E">
      <w:pPr>
        <w:numPr>
          <w:ilvl w:val="0"/>
          <w:numId w:val="142"/>
        </w:numPr>
        <w:spacing w:after="160" w:line="259" w:lineRule="auto"/>
        <w:contextualSpacing/>
        <w:rPr>
          <w:rFonts w:ascii="Calibri" w:eastAsia="Calibri" w:hAnsi="Calibri" w:cs="Calibri"/>
          <w:lang w:eastAsia="en-CA"/>
        </w:rPr>
      </w:pPr>
      <w:r w:rsidRPr="006F55C4">
        <w:rPr>
          <w:rFonts w:ascii="Calibri" w:eastAsia="Calibri" w:hAnsi="Calibri" w:cs="Calibri"/>
          <w:lang w:eastAsia="en-CA"/>
        </w:rPr>
        <w:t>Alpha Chan, Chief Information Security Officer, Information &amp; Technology Command, Toronto Police Services</w:t>
      </w:r>
    </w:p>
    <w:p w14:paraId="5BF99D11" w14:textId="77777777" w:rsidR="0060217E" w:rsidRPr="006F55C4" w:rsidRDefault="0060217E" w:rsidP="0060217E">
      <w:pPr>
        <w:numPr>
          <w:ilvl w:val="0"/>
          <w:numId w:val="142"/>
        </w:numPr>
        <w:spacing w:line="259" w:lineRule="auto"/>
        <w:contextualSpacing/>
        <w:rPr>
          <w:rFonts w:ascii="Calibri" w:eastAsia="Calibri" w:hAnsi="Calibri" w:cs="Calibri"/>
          <w:lang w:eastAsia="en-CA"/>
        </w:rPr>
      </w:pPr>
      <w:r w:rsidRPr="006F55C4">
        <w:rPr>
          <w:rFonts w:ascii="Calibri" w:eastAsia="Calibri" w:hAnsi="Calibri" w:cs="Calibri"/>
          <w:lang w:eastAsia="en-CA"/>
        </w:rPr>
        <w:t>Marco Galluzzo, Office of the Chief Justice, Ontario Superior Court of Justice</w:t>
      </w:r>
    </w:p>
    <w:p w14:paraId="120B7AA2" w14:textId="77777777" w:rsidR="0060217E" w:rsidRPr="006F55C4" w:rsidRDefault="0060217E" w:rsidP="0060217E">
      <w:pPr>
        <w:numPr>
          <w:ilvl w:val="0"/>
          <w:numId w:val="142"/>
        </w:numPr>
        <w:spacing w:line="259" w:lineRule="auto"/>
        <w:contextualSpacing/>
        <w:rPr>
          <w:rFonts w:ascii="Calibri" w:eastAsia="Calibri" w:hAnsi="Calibri" w:cs="Calibri"/>
          <w:lang w:eastAsia="en-CA"/>
        </w:rPr>
      </w:pPr>
      <w:r w:rsidRPr="006F55C4">
        <w:rPr>
          <w:rFonts w:ascii="Calibri" w:eastAsia="Calibri" w:hAnsi="Calibri" w:cs="Calibri"/>
          <w:lang w:eastAsia="en-CA"/>
        </w:rPr>
        <w:t>Rosanna Giancristiano, Director, Court Operations, Ministry of the Attorney General</w:t>
      </w:r>
    </w:p>
    <w:p w14:paraId="5D6C4A14" w14:textId="77777777" w:rsidR="0060217E" w:rsidRPr="006F55C4" w:rsidRDefault="0060217E" w:rsidP="0060217E">
      <w:pPr>
        <w:numPr>
          <w:ilvl w:val="0"/>
          <w:numId w:val="142"/>
        </w:numPr>
        <w:tabs>
          <w:tab w:val="left" w:pos="4928"/>
        </w:tabs>
        <w:spacing w:line="259" w:lineRule="auto"/>
        <w:contextualSpacing/>
        <w:rPr>
          <w:rFonts w:ascii="Calibri" w:eastAsia="Calibri" w:hAnsi="Calibri" w:cs="Calibri"/>
          <w:lang w:eastAsia="en-CA"/>
        </w:rPr>
      </w:pPr>
      <w:r w:rsidRPr="006F55C4">
        <w:rPr>
          <w:rFonts w:ascii="Calibri" w:eastAsia="Calibri" w:hAnsi="Calibri" w:cs="Calibri"/>
          <w:lang w:eastAsia="en-CA"/>
        </w:rPr>
        <w:t>Associate Professor Daniel Konikoff, Department of Sociology, University of Alberta</w:t>
      </w:r>
    </w:p>
    <w:p w14:paraId="1E62C812" w14:textId="77777777" w:rsidR="0060217E" w:rsidRPr="006F55C4" w:rsidRDefault="0060217E" w:rsidP="0060217E">
      <w:pPr>
        <w:numPr>
          <w:ilvl w:val="0"/>
          <w:numId w:val="142"/>
        </w:numPr>
        <w:spacing w:line="259" w:lineRule="auto"/>
        <w:contextualSpacing/>
        <w:rPr>
          <w:rFonts w:ascii="Calibri" w:eastAsia="Calibri" w:hAnsi="Calibri" w:cs="Calibri"/>
          <w:lang w:eastAsia="en-CA"/>
        </w:rPr>
      </w:pPr>
      <w:r w:rsidRPr="006F55C4">
        <w:rPr>
          <w:rFonts w:ascii="Calibri" w:eastAsia="Calibri" w:hAnsi="Calibri" w:cs="Calibri"/>
          <w:lang w:eastAsia="en-CA"/>
        </w:rPr>
        <w:t>Rosemarie Juginovic, Office of the Chief Justice, Ontario Superior Court of Justice</w:t>
      </w:r>
    </w:p>
    <w:p w14:paraId="4EA2161B" w14:textId="77777777" w:rsidR="0060217E" w:rsidRPr="006F55C4" w:rsidRDefault="0060217E" w:rsidP="0060217E">
      <w:pPr>
        <w:numPr>
          <w:ilvl w:val="0"/>
          <w:numId w:val="142"/>
        </w:numPr>
        <w:spacing w:line="259" w:lineRule="auto"/>
        <w:contextualSpacing/>
        <w:rPr>
          <w:rFonts w:ascii="Calibri" w:eastAsia="Calibri" w:hAnsi="Calibri" w:cs="Calibri"/>
          <w:lang w:eastAsia="en-CA"/>
        </w:rPr>
      </w:pPr>
      <w:r w:rsidRPr="006F55C4">
        <w:rPr>
          <w:rFonts w:ascii="Calibri" w:eastAsia="Calibri" w:hAnsi="Calibri" w:cs="Calibri"/>
          <w:lang w:eastAsia="en-CA"/>
        </w:rPr>
        <w:t>Michelina Longo, Director, External Relations, Ministry of the Solicitor General</w:t>
      </w:r>
    </w:p>
    <w:p w14:paraId="3B36F329" w14:textId="77777777" w:rsidR="0060217E" w:rsidRPr="006F55C4" w:rsidRDefault="0060217E" w:rsidP="0060217E">
      <w:pPr>
        <w:numPr>
          <w:ilvl w:val="0"/>
          <w:numId w:val="142"/>
        </w:numPr>
        <w:spacing w:line="259" w:lineRule="auto"/>
        <w:contextualSpacing/>
        <w:rPr>
          <w:rFonts w:ascii="Calibri" w:eastAsia="Calibri" w:hAnsi="Calibri" w:cs="Calibri"/>
          <w:lang w:eastAsia="en-CA"/>
        </w:rPr>
      </w:pPr>
      <w:r w:rsidRPr="006F55C4">
        <w:rPr>
          <w:rFonts w:ascii="Calibri" w:eastAsia="Calibri" w:hAnsi="Calibri" w:cs="Calibri"/>
          <w:lang w:eastAsia="en-CA"/>
        </w:rPr>
        <w:t>Jessica Mahon, Ministry of the Solicitor General</w:t>
      </w:r>
    </w:p>
    <w:p w14:paraId="461B2E35" w14:textId="77777777" w:rsidR="0060217E" w:rsidRPr="006F55C4" w:rsidRDefault="0060217E" w:rsidP="0060217E">
      <w:pPr>
        <w:numPr>
          <w:ilvl w:val="0"/>
          <w:numId w:val="142"/>
        </w:numPr>
        <w:spacing w:line="259" w:lineRule="auto"/>
        <w:contextualSpacing/>
        <w:rPr>
          <w:rFonts w:ascii="Calibri" w:eastAsia="Calibri" w:hAnsi="Calibri" w:cs="Calibri"/>
          <w:lang w:eastAsia="en-CA"/>
        </w:rPr>
      </w:pPr>
      <w:r w:rsidRPr="006F55C4">
        <w:rPr>
          <w:rFonts w:ascii="Calibri" w:eastAsia="Calibri" w:hAnsi="Calibri" w:cs="Calibri"/>
          <w:lang w:eastAsia="en-CA"/>
        </w:rPr>
        <w:t>Jane Mallen, Ministry of the Attorney General and LCO Board of Governors</w:t>
      </w:r>
    </w:p>
    <w:p w14:paraId="1BC87794" w14:textId="77777777" w:rsidR="0060217E" w:rsidRPr="006F55C4" w:rsidRDefault="0060217E" w:rsidP="0060217E">
      <w:pPr>
        <w:numPr>
          <w:ilvl w:val="0"/>
          <w:numId w:val="142"/>
        </w:numPr>
        <w:spacing w:after="160" w:line="259" w:lineRule="auto"/>
        <w:contextualSpacing/>
        <w:rPr>
          <w:rFonts w:ascii="Calibri" w:eastAsia="Calibri" w:hAnsi="Calibri" w:cs="Calibri"/>
          <w:lang w:eastAsia="en-CA"/>
        </w:rPr>
      </w:pPr>
      <w:r w:rsidRPr="006F55C4">
        <w:rPr>
          <w:rFonts w:ascii="Calibri" w:eastAsia="Calibri" w:hAnsi="Calibri" w:cs="Calibri"/>
          <w:lang w:eastAsia="en-CA"/>
        </w:rPr>
        <w:t>Elena Middelkamp, Crown Law Office – Criminal Ministry of the Attorney General</w:t>
      </w:r>
    </w:p>
    <w:p w14:paraId="74A037D0" w14:textId="77777777" w:rsidR="0060217E" w:rsidRPr="006F55C4" w:rsidRDefault="0060217E" w:rsidP="0060217E">
      <w:pPr>
        <w:numPr>
          <w:ilvl w:val="0"/>
          <w:numId w:val="142"/>
        </w:numPr>
        <w:spacing w:line="259" w:lineRule="auto"/>
        <w:contextualSpacing/>
        <w:rPr>
          <w:rFonts w:ascii="Calibri" w:eastAsia="Calibri" w:hAnsi="Calibri" w:cs="Calibri"/>
          <w:lang w:eastAsia="en-CA"/>
        </w:rPr>
      </w:pPr>
      <w:r w:rsidRPr="006F55C4">
        <w:rPr>
          <w:rFonts w:ascii="Calibri" w:eastAsia="Calibri" w:hAnsi="Calibri" w:cs="Calibri"/>
          <w:lang w:eastAsia="en-CA"/>
        </w:rPr>
        <w:t>Savio Pereira, Ministry of the Solicitor General</w:t>
      </w:r>
    </w:p>
    <w:p w14:paraId="418A189B" w14:textId="77777777" w:rsidR="0060217E" w:rsidRPr="006F55C4" w:rsidRDefault="0060217E" w:rsidP="0060217E">
      <w:pPr>
        <w:numPr>
          <w:ilvl w:val="0"/>
          <w:numId w:val="142"/>
        </w:numPr>
        <w:spacing w:line="259" w:lineRule="auto"/>
        <w:contextualSpacing/>
        <w:rPr>
          <w:rFonts w:eastAsia="Calibri"/>
          <w:lang w:eastAsia="en-CA"/>
        </w:rPr>
      </w:pPr>
      <w:r w:rsidRPr="006F55C4">
        <w:rPr>
          <w:color w:val="000000"/>
          <w:lang w:val="en-US"/>
        </w:rPr>
        <w:t>Professor Ben Perrin, Peter A. Allard School of Law,</w:t>
      </w:r>
      <w:r>
        <w:rPr>
          <w:color w:val="000000"/>
          <w:lang w:val="en-US"/>
        </w:rPr>
        <w:t xml:space="preserve"> </w:t>
      </w:r>
      <w:r w:rsidRPr="006F55C4">
        <w:rPr>
          <w:color w:val="000000"/>
          <w:lang w:val="en-US"/>
        </w:rPr>
        <w:t>University of British Columbia</w:t>
      </w:r>
    </w:p>
    <w:p w14:paraId="69DEB751" w14:textId="77777777" w:rsidR="0060217E" w:rsidRPr="006F55C4" w:rsidRDefault="0060217E" w:rsidP="0060217E">
      <w:pPr>
        <w:numPr>
          <w:ilvl w:val="0"/>
          <w:numId w:val="142"/>
        </w:numPr>
        <w:spacing w:line="259" w:lineRule="auto"/>
        <w:contextualSpacing/>
        <w:rPr>
          <w:rFonts w:ascii="Calibri" w:eastAsia="Calibri" w:hAnsi="Calibri" w:cs="Calibri"/>
          <w:lang w:eastAsia="en-CA"/>
        </w:rPr>
      </w:pPr>
      <w:r w:rsidRPr="006F55C4">
        <w:rPr>
          <w:rFonts w:ascii="Calibri" w:eastAsia="Calibri" w:hAnsi="Calibri" w:cs="Calibri"/>
          <w:lang w:eastAsia="en-CA"/>
        </w:rPr>
        <w:t>Michael Swinburne, Senior Policy Advisor, Canadian Human Rights Commission</w:t>
      </w:r>
    </w:p>
    <w:p w14:paraId="202B836E" w14:textId="3F674F7A" w:rsidR="0060217E" w:rsidRPr="006F55C4" w:rsidRDefault="0060217E" w:rsidP="0060217E">
      <w:pPr>
        <w:numPr>
          <w:ilvl w:val="0"/>
          <w:numId w:val="142"/>
        </w:numPr>
        <w:spacing w:line="259" w:lineRule="auto"/>
        <w:contextualSpacing/>
        <w:rPr>
          <w:rFonts w:ascii="Calibri" w:eastAsia="Calibri" w:hAnsi="Calibri" w:cs="Calibri"/>
          <w:lang w:eastAsia="en-CA"/>
        </w:rPr>
      </w:pPr>
      <w:r w:rsidRPr="006F55C4">
        <w:rPr>
          <w:rFonts w:ascii="Calibri" w:eastAsia="Calibri" w:hAnsi="Calibri" w:cs="Calibri"/>
          <w:lang w:eastAsia="en-CA"/>
        </w:rPr>
        <w:t>Professor David Murakami Wood, Department of Criminology, University of Ottawa</w:t>
      </w:r>
      <w:r w:rsidR="00A11FAE">
        <w:rPr>
          <w:rFonts w:ascii="Calibri" w:eastAsia="Calibri" w:hAnsi="Calibri" w:cs="Calibri"/>
          <w:lang w:eastAsia="en-CA"/>
        </w:rPr>
        <w:t>.</w:t>
      </w:r>
    </w:p>
    <w:p w14:paraId="464D3BE5" w14:textId="77777777" w:rsidR="00630390" w:rsidRPr="00D6562E" w:rsidRDefault="00630390" w:rsidP="0069073E"/>
    <w:p w14:paraId="1BFFA4F9" w14:textId="77777777" w:rsidR="00630390" w:rsidRPr="00D6562E" w:rsidRDefault="00630390" w:rsidP="0069073E"/>
    <w:p w14:paraId="3968A3B2" w14:textId="77777777" w:rsidR="00630390" w:rsidRPr="00D6562E" w:rsidRDefault="00630390" w:rsidP="0069073E"/>
    <w:p w14:paraId="7E5CC930" w14:textId="77777777" w:rsidR="00630390" w:rsidRPr="00D6562E" w:rsidRDefault="00630390">
      <w:r w:rsidRPr="00D6562E">
        <w:br w:type="page"/>
      </w:r>
    </w:p>
    <w:p w14:paraId="489F3B5C" w14:textId="1F3A9DF0" w:rsidR="00630390" w:rsidRPr="00D6562E" w:rsidRDefault="00630390" w:rsidP="00AE49AB">
      <w:pPr>
        <w:pStyle w:val="Heading1"/>
        <w:numPr>
          <w:ilvl w:val="0"/>
          <w:numId w:val="16"/>
        </w:numPr>
        <w:ind w:left="709" w:hanging="709"/>
        <w:rPr>
          <w:rFonts w:asciiTheme="minorHAnsi" w:eastAsia="Arial" w:hAnsiTheme="minorHAnsi" w:cstheme="minorHAnsi"/>
        </w:rPr>
      </w:pPr>
      <w:bookmarkStart w:id="16" w:name="_Toc195597974"/>
      <w:r>
        <w:rPr>
          <w:rFonts w:asciiTheme="minorHAnsi" w:eastAsia="Arial" w:hAnsiTheme="minorHAnsi" w:cstheme="minorHAnsi"/>
        </w:rPr>
        <w:lastRenderedPageBreak/>
        <w:t>AI in Criminal Trials and on Appeal</w:t>
      </w:r>
      <w:bookmarkEnd w:id="16"/>
    </w:p>
    <w:p w14:paraId="1FB51B41" w14:textId="77777777" w:rsidR="00630390" w:rsidRPr="00D6562E" w:rsidRDefault="00630390" w:rsidP="008405E0"/>
    <w:p w14:paraId="5788BE55" w14:textId="47274F9E" w:rsidR="00630390" w:rsidRDefault="00630390" w:rsidP="007C1AD2">
      <w:r>
        <w:t>This section explores the first key questions in this paper, namely:</w:t>
      </w:r>
    </w:p>
    <w:p w14:paraId="326918DA" w14:textId="77777777" w:rsidR="00630390" w:rsidRDefault="00630390" w:rsidP="007C1AD2"/>
    <w:p w14:paraId="01C6B259" w14:textId="3233DB41" w:rsidR="00630390" w:rsidRDefault="00630390" w:rsidP="00A24C3F">
      <w:pPr>
        <w:pStyle w:val="ListParagraph"/>
        <w:numPr>
          <w:ilvl w:val="0"/>
          <w:numId w:val="102"/>
        </w:numPr>
      </w:pPr>
      <w:r>
        <w:t>What are the range of legal and other instruments in criminal law that are certain or likely to engage and test AI-enabled technology?</w:t>
      </w:r>
    </w:p>
    <w:p w14:paraId="7B78979D" w14:textId="1AE3A812" w:rsidR="00630390" w:rsidRDefault="00630390" w:rsidP="00A24C3F">
      <w:pPr>
        <w:pStyle w:val="ListParagraph"/>
        <w:numPr>
          <w:ilvl w:val="0"/>
          <w:numId w:val="102"/>
        </w:numPr>
      </w:pPr>
      <w:r>
        <w:t>How might these instruments interpret AI-enabled technology through the lens of existing law, precedent, practices and principles?</w:t>
      </w:r>
    </w:p>
    <w:p w14:paraId="221D1135" w14:textId="5ECD1002" w:rsidR="00630390" w:rsidRDefault="00630390" w:rsidP="00E15CD3">
      <w:pPr>
        <w:pStyle w:val="ListParagraph"/>
        <w:numPr>
          <w:ilvl w:val="0"/>
          <w:numId w:val="102"/>
        </w:numPr>
      </w:pPr>
      <w:r>
        <w:t>What does this analysis tell us about the likely impacts of AI on criminal trials and appeals, and what does it suggest are areas that may need bolstering if criminal justice is to continue upholding high Canadian legal standards for rights and procedural fairness?</w:t>
      </w:r>
    </w:p>
    <w:p w14:paraId="1A53B6D2" w14:textId="77777777" w:rsidR="00630390" w:rsidRDefault="00630390" w:rsidP="007C1AD2"/>
    <w:p w14:paraId="0011C59A" w14:textId="77777777" w:rsidR="00630390" w:rsidRDefault="00630390" w:rsidP="007C1AD2">
      <w:r>
        <w:t>Before moving on, however, it is necessary to establish a baseline understanding of what a criminal trial is and what it is for. This will make it easier to analyze and weigh the impact of the introduction of AI into criminal litigation.</w:t>
      </w:r>
    </w:p>
    <w:p w14:paraId="39B2B940" w14:textId="77777777" w:rsidR="00630390" w:rsidRDefault="00630390" w:rsidP="007C1AD2"/>
    <w:p w14:paraId="59A907A9" w14:textId="77777777" w:rsidR="00630390" w:rsidRDefault="00630390" w:rsidP="007C1AD2">
      <w:r>
        <w:t>The criminal trial process is designed to fairly resolve criminal disputes and fairly punish criminal wrongdoing, within the shadow of a fair review process. In a criminal trial, the state is required to prove criminal allegations beyond a reasonable doubt. In a criminal appeal the result is reviewed to ensure errors in the process did not render the result a miscarriage of justice.</w:t>
      </w:r>
    </w:p>
    <w:p w14:paraId="0B75481E" w14:textId="77777777" w:rsidR="00630390" w:rsidRDefault="00630390" w:rsidP="007C1AD2"/>
    <w:p w14:paraId="44D644DD" w14:textId="4497B7DC" w:rsidR="00630390" w:rsidRDefault="00630390" w:rsidP="007C1AD2">
      <w:r>
        <w:t>Key to this process is ensuring no finding of guilt or punishment occurs except when premised on reliable evidence, and a fair process, proving guilt beyond a reasonable doubt. Necessarily then, the criminal trial process fails when it allows for convictions on unreliable evidence, and/or pursuant to an unfair process.</w:t>
      </w:r>
    </w:p>
    <w:p w14:paraId="0E21EF51" w14:textId="77777777" w:rsidR="00630390" w:rsidRDefault="00630390" w:rsidP="007C1AD2"/>
    <w:p w14:paraId="55335010" w14:textId="45F14F34" w:rsidR="00630390" w:rsidRPr="00D6562E" w:rsidRDefault="00630390" w:rsidP="007C1AD2">
      <w:r>
        <w:t xml:space="preserve">The introduction of AI raises concerns on both fronts. While AI </w:t>
      </w:r>
      <w:r w:rsidR="00380169">
        <w:t>brings the</w:t>
      </w:r>
      <w:r>
        <w:t xml:space="preserve"> alluring promises of </w:t>
      </w:r>
      <w:r w:rsidR="00380169">
        <w:t xml:space="preserve">procedural </w:t>
      </w:r>
      <w:r>
        <w:t xml:space="preserve">efficiency, it also carries </w:t>
      </w:r>
      <w:r w:rsidR="00380169">
        <w:t xml:space="preserve">a </w:t>
      </w:r>
      <w:r>
        <w:t xml:space="preserve">risk of introducing unreliable evidence and procedural unfairness. The question is: are existing </w:t>
      </w:r>
      <w:r w:rsidR="00380169">
        <w:t>checks and balances</w:t>
      </w:r>
      <w:r>
        <w:t xml:space="preserve"> capable of </w:t>
      </w:r>
      <w:r w:rsidR="00380169">
        <w:t xml:space="preserve">gaining the benefits while managing the risks? </w:t>
      </w:r>
      <w:r>
        <w:t>Each of these are reviewed immediately below.</w:t>
      </w:r>
    </w:p>
    <w:p w14:paraId="7521E1AE" w14:textId="75FF5A80" w:rsidR="00630390" w:rsidRPr="00D6562E" w:rsidRDefault="00630390" w:rsidP="008405E0">
      <w:pPr>
        <w:rPr>
          <w:iCs/>
        </w:rPr>
      </w:pPr>
    </w:p>
    <w:p w14:paraId="7E8266BC" w14:textId="6BAC4716" w:rsidR="00630390" w:rsidRPr="00B56547" w:rsidRDefault="00630390" w:rsidP="00B56547">
      <w:pPr>
        <w:pStyle w:val="Heading2"/>
        <w:ind w:left="720" w:hanging="720"/>
      </w:pPr>
      <w:bookmarkStart w:id="17" w:name="_Toc176724453"/>
      <w:bookmarkStart w:id="18" w:name="_Toc195597975"/>
      <w:r w:rsidRPr="00D6562E">
        <w:rPr>
          <w:rFonts w:asciiTheme="minorHAnsi" w:hAnsiTheme="minorHAnsi" w:cstheme="minorHAnsi"/>
        </w:rPr>
        <w:t>2.1</w:t>
      </w:r>
      <w:r w:rsidRPr="00D6562E">
        <w:rPr>
          <w:rFonts w:asciiTheme="minorHAnsi" w:hAnsiTheme="minorHAnsi" w:cstheme="minorHAnsi"/>
        </w:rPr>
        <w:tab/>
      </w:r>
      <w:bookmarkEnd w:id="17"/>
      <w:r w:rsidRPr="005C0479">
        <w:t xml:space="preserve">How </w:t>
      </w:r>
      <w:r>
        <w:t>does complex or controversial technology generally figure in criminal trails and appeals?</w:t>
      </w:r>
      <w:bookmarkEnd w:id="18"/>
    </w:p>
    <w:p w14:paraId="0979FD5D" w14:textId="77777777" w:rsidR="00630390" w:rsidRPr="00D6562E" w:rsidRDefault="00630390" w:rsidP="0069073E"/>
    <w:p w14:paraId="0C8A841A" w14:textId="7B05AEDC" w:rsidR="00630390" w:rsidRDefault="00630390" w:rsidP="00C64F3F">
      <w:r>
        <w:t xml:space="preserve">Criminal trials and appeals have always had to adapt to novel and complex technologies. Many of these technologies are controversial or used in controversial ways, including wiretaps, cell tower data dumps, mobile phone tracking and triangulation, aerial surveillance, body worn cameras, tasers, decryption, </w:t>
      </w:r>
      <w:r w:rsidR="007C267B">
        <w:t xml:space="preserve">automated </w:t>
      </w:r>
      <w:r w:rsidR="006E4FF7">
        <w:t>fingerprint</w:t>
      </w:r>
      <w:r w:rsidR="007C267B">
        <w:t xml:space="preserve"> readers, </w:t>
      </w:r>
      <w:r>
        <w:t>automated license plate readers, probabilistic genotyping, and so forth.</w:t>
      </w:r>
    </w:p>
    <w:p w14:paraId="4D5169B5" w14:textId="77777777" w:rsidR="00630390" w:rsidRDefault="00630390" w:rsidP="00C64F3F"/>
    <w:p w14:paraId="645ADA8D" w14:textId="72FC4BA1" w:rsidR="00630390" w:rsidRPr="00D6562E" w:rsidRDefault="00630390" w:rsidP="00C64F3F">
      <w:r w:rsidRPr="003A23B4">
        <w:rPr>
          <w:shd w:val="clear" w:color="auto" w:fill="D5DCE4" w:themeFill="text2" w:themeFillTint="33"/>
          <w:lang w:eastAsia="en-CA"/>
        </w:rPr>
        <w:lastRenderedPageBreak/>
        <w:t xml:space="preserve">[SIDEBAR] See Paper 2 in this series, </w:t>
      </w:r>
      <w:r w:rsidRPr="003A23B4">
        <w:rPr>
          <w:i/>
          <w:iCs/>
          <w:shd w:val="clear" w:color="auto" w:fill="D5DCE4" w:themeFill="text2" w:themeFillTint="33"/>
          <w:lang w:eastAsia="en-CA"/>
        </w:rPr>
        <w:t xml:space="preserve">Use of AI by Law Enforcement </w:t>
      </w:r>
      <w:r w:rsidRPr="003A23B4">
        <w:rPr>
          <w:shd w:val="clear" w:color="auto" w:fill="D5DCE4" w:themeFill="text2" w:themeFillTint="33"/>
          <w:lang w:eastAsia="en-CA"/>
        </w:rPr>
        <w:t>for an introduction to a range of AI tools used in law enforcement investigations in Canada and elsewhere.</w:t>
      </w:r>
    </w:p>
    <w:p w14:paraId="0BF8D6F3" w14:textId="77777777" w:rsidR="00630390" w:rsidRDefault="00630390" w:rsidP="00C64F3F"/>
    <w:p w14:paraId="1052BEE9" w14:textId="51C7D1AA" w:rsidR="00630390" w:rsidRPr="00D6562E" w:rsidRDefault="00630390" w:rsidP="00C64F3F">
      <w:r>
        <w:t>The concerns raised by use of new investigative technology by law enforcement inevitably come before the criminal courts to adjudicate. This system is constituted by several pieces of legislation, fundamental principles of law, and policy instruments including the following.</w:t>
      </w:r>
    </w:p>
    <w:p w14:paraId="5172A937" w14:textId="77777777" w:rsidR="00630390" w:rsidRPr="00D6562E" w:rsidRDefault="00630390" w:rsidP="0069073E"/>
    <w:p w14:paraId="36D28224" w14:textId="5FC42E4F" w:rsidR="00630390" w:rsidRPr="00D6562E" w:rsidRDefault="00630390" w:rsidP="00EF5DA8">
      <w:pPr>
        <w:pStyle w:val="Heading3"/>
        <w:numPr>
          <w:ilvl w:val="2"/>
          <w:numId w:val="79"/>
        </w:numPr>
        <w:rPr>
          <w:rFonts w:asciiTheme="minorHAnsi" w:hAnsiTheme="minorHAnsi" w:cstheme="minorHAnsi"/>
        </w:rPr>
      </w:pPr>
      <w:bookmarkStart w:id="19" w:name="_Toc195597976"/>
      <w:r>
        <w:rPr>
          <w:rFonts w:asciiTheme="minorHAnsi" w:hAnsiTheme="minorHAnsi" w:cstheme="minorHAnsi"/>
        </w:rPr>
        <w:t>Procedural Fairness in Common Law</w:t>
      </w:r>
      <w:bookmarkEnd w:id="19"/>
    </w:p>
    <w:p w14:paraId="44D76CC7" w14:textId="77777777" w:rsidR="00630390" w:rsidRPr="00D6562E" w:rsidRDefault="00630390" w:rsidP="0069073E">
      <w:pPr>
        <w:pStyle w:val="Heading4"/>
        <w:rPr>
          <w:rFonts w:asciiTheme="minorHAnsi" w:hAnsiTheme="minorHAnsi" w:cstheme="minorHAnsi"/>
        </w:rPr>
      </w:pPr>
    </w:p>
    <w:p w14:paraId="679CDDFC" w14:textId="77777777" w:rsidR="00630390" w:rsidRDefault="00630390" w:rsidP="00E64ED1">
      <w:r>
        <w:t>Procedural fairness articulates</w:t>
      </w:r>
      <w:r w:rsidRPr="00101C9D">
        <w:t xml:space="preserve"> concerns for fundamental fairness</w:t>
      </w:r>
      <w:r>
        <w:t xml:space="preserve"> in legal and administrative decision making. It includes principles </w:t>
      </w:r>
      <w:r w:rsidRPr="00101C9D">
        <w:t>like</w:t>
      </w:r>
      <w:r>
        <w:t>:</w:t>
      </w:r>
    </w:p>
    <w:p w14:paraId="0EA318AC" w14:textId="77777777" w:rsidR="00630390" w:rsidRDefault="00630390" w:rsidP="00E64ED1"/>
    <w:p w14:paraId="7EC3DFB7" w14:textId="454CBB9E" w:rsidR="00630390" w:rsidRDefault="004A3191" w:rsidP="00266C6B">
      <w:pPr>
        <w:pStyle w:val="ListParagraph"/>
        <w:numPr>
          <w:ilvl w:val="0"/>
          <w:numId w:val="78"/>
        </w:numPr>
      </w:pPr>
      <w:r>
        <w:t>N</w:t>
      </w:r>
      <w:r w:rsidR="00630390" w:rsidRPr="00101C9D">
        <w:t>otice</w:t>
      </w:r>
    </w:p>
    <w:p w14:paraId="3D1F7590" w14:textId="76C9FE4E" w:rsidR="00630390" w:rsidRDefault="004A3191" w:rsidP="00266C6B">
      <w:pPr>
        <w:pStyle w:val="ListParagraph"/>
        <w:numPr>
          <w:ilvl w:val="0"/>
          <w:numId w:val="78"/>
        </w:numPr>
      </w:pPr>
      <w:r>
        <w:t>H</w:t>
      </w:r>
      <w:r w:rsidR="00630390" w:rsidRPr="00101C9D">
        <w:t>earing</w:t>
      </w:r>
      <w:r w:rsidR="00630390">
        <w:t>s</w:t>
      </w:r>
    </w:p>
    <w:p w14:paraId="3554299E" w14:textId="028ED25F" w:rsidR="00630390" w:rsidRDefault="004A3191" w:rsidP="00266C6B">
      <w:pPr>
        <w:pStyle w:val="ListParagraph"/>
        <w:numPr>
          <w:ilvl w:val="0"/>
          <w:numId w:val="78"/>
        </w:numPr>
      </w:pPr>
      <w:r>
        <w:t>D</w:t>
      </w:r>
      <w:r w:rsidR="00630390" w:rsidRPr="00101C9D">
        <w:t>isclosure of all evidence and the right to challenge it</w:t>
      </w:r>
    </w:p>
    <w:p w14:paraId="1ECB6F06" w14:textId="15070C10" w:rsidR="00630390" w:rsidRDefault="004A3191" w:rsidP="00266C6B">
      <w:pPr>
        <w:pStyle w:val="ListParagraph"/>
        <w:numPr>
          <w:ilvl w:val="0"/>
          <w:numId w:val="78"/>
        </w:numPr>
      </w:pPr>
      <w:r>
        <w:t>R</w:t>
      </w:r>
      <w:r w:rsidR="00630390" w:rsidRPr="00101C9D">
        <w:t>easons for</w:t>
      </w:r>
      <w:r w:rsidR="00630390">
        <w:t xml:space="preserve"> </w:t>
      </w:r>
      <w:r w:rsidR="00630390" w:rsidRPr="00101C9D">
        <w:t>decisions</w:t>
      </w:r>
    </w:p>
    <w:p w14:paraId="1990FDC2" w14:textId="56B174EF" w:rsidR="00630390" w:rsidRDefault="004A3191" w:rsidP="00266C6B">
      <w:pPr>
        <w:pStyle w:val="ListParagraph"/>
        <w:numPr>
          <w:ilvl w:val="0"/>
          <w:numId w:val="78"/>
        </w:numPr>
      </w:pPr>
      <w:r>
        <w:t>A</w:t>
      </w:r>
      <w:r w:rsidR="00630390" w:rsidRPr="00101C9D">
        <w:t xml:space="preserve">ppeals and remedies at </w:t>
      </w:r>
      <w:r w:rsidR="00630390">
        <w:t xml:space="preserve">an </w:t>
      </w:r>
      <w:r w:rsidR="00630390" w:rsidRPr="00101C9D">
        <w:t>individual and systemic level.</w:t>
      </w:r>
    </w:p>
    <w:p w14:paraId="0CD6FCD8" w14:textId="77777777" w:rsidR="00630390" w:rsidRDefault="00630390" w:rsidP="00E64ED1"/>
    <w:p w14:paraId="6243125D" w14:textId="6A63AC54" w:rsidR="00630390" w:rsidRDefault="00630390" w:rsidP="00E64ED1">
      <w:r>
        <w:t>Procedural fairness is generally understood as a sliding-scale of rights. The greater the impact a decision has on a person, the greater the procedural fairness rights they must enjoy ensuring the decision is justified. Given the risk to fundamental civil liberties, criminal law asserts among the highest standards of procedural fairness in Canadian law.</w:t>
      </w:r>
    </w:p>
    <w:p w14:paraId="289B5F9A" w14:textId="77777777" w:rsidR="00630390" w:rsidRDefault="00630390" w:rsidP="00E64ED1"/>
    <w:p w14:paraId="422462E9" w14:textId="7E54E125" w:rsidR="00630390" w:rsidRPr="00266C6B" w:rsidRDefault="00630390" w:rsidP="00E64ED1">
      <w:r w:rsidRPr="00266C6B">
        <w:t xml:space="preserve">Historically, procedural fairness was ensured through protections built into the common law. However, since the advent of the </w:t>
      </w:r>
      <w:r w:rsidRPr="00266C6B">
        <w:rPr>
          <w:i/>
          <w:iCs/>
        </w:rPr>
        <w:t xml:space="preserve">Canadian Charter of Rights and Freedoms, </w:t>
      </w:r>
      <w:r w:rsidRPr="00266C6B">
        <w:t xml:space="preserve">many of these protections have been reinforced, if not subsumed, by the rights and freedoms guaranteed by the </w:t>
      </w:r>
      <w:r w:rsidRPr="00266C6B">
        <w:rPr>
          <w:i/>
          <w:iCs/>
        </w:rPr>
        <w:t>Charter</w:t>
      </w:r>
      <w:r w:rsidRPr="00266C6B">
        <w:t xml:space="preserve">. In some cases, procedural fairness finds dual protection both in the common law and the </w:t>
      </w:r>
      <w:r w:rsidRPr="00266C6B">
        <w:rPr>
          <w:i/>
          <w:iCs/>
        </w:rPr>
        <w:t xml:space="preserve">Charter. </w:t>
      </w:r>
      <w:r w:rsidRPr="00266C6B">
        <w:t>One such example are the protections afforded under the section 7 protected right to silence, and the common law “confessions rule.” Both provide overlapping and distinct protection of an accused’s right against self-incrimination – a foundational principle of fairness animating the criminal law.</w:t>
      </w:r>
      <w:r w:rsidRPr="00266C6B">
        <w:rPr>
          <w:rStyle w:val="EndnoteReference"/>
        </w:rPr>
        <w:endnoteReference w:id="14"/>
      </w:r>
    </w:p>
    <w:p w14:paraId="557D3619" w14:textId="77777777" w:rsidR="00630390" w:rsidRPr="00266C6B" w:rsidRDefault="00630390" w:rsidP="00E64ED1"/>
    <w:p w14:paraId="08F3586B" w14:textId="635EF4A6" w:rsidR="00630390" w:rsidRDefault="00630390" w:rsidP="00E64ED1">
      <w:r w:rsidRPr="00266C6B">
        <w:t xml:space="preserve">Whether procedural fairness is protected via the </w:t>
      </w:r>
      <w:r w:rsidRPr="00266C6B">
        <w:rPr>
          <w:i/>
          <w:iCs/>
        </w:rPr>
        <w:t>Charter</w:t>
      </w:r>
      <w:r w:rsidRPr="00266C6B">
        <w:t xml:space="preserve"> or traditional common law, AI raises many concerns regarding how the criminal justice process will continue to uphold this high standard. For instance</w:t>
      </w:r>
      <w:r>
        <w:t>:</w:t>
      </w:r>
    </w:p>
    <w:p w14:paraId="42E8F6E7" w14:textId="77777777" w:rsidR="00630390" w:rsidRPr="00101C9D" w:rsidRDefault="00630390" w:rsidP="00E64ED1"/>
    <w:p w14:paraId="7A93B731" w14:textId="51414F4D" w:rsidR="00630390" w:rsidRDefault="00630390" w:rsidP="00E64ED1">
      <w:pPr>
        <w:pStyle w:val="ListParagraph"/>
        <w:numPr>
          <w:ilvl w:val="0"/>
          <w:numId w:val="80"/>
        </w:numPr>
        <w:spacing w:after="160" w:line="259" w:lineRule="auto"/>
      </w:pPr>
      <w:r>
        <w:t>H</w:t>
      </w:r>
      <w:r w:rsidRPr="00266C6B">
        <w:t xml:space="preserve">ow will </w:t>
      </w:r>
      <w:r>
        <w:t xml:space="preserve">an </w:t>
      </w:r>
      <w:r w:rsidRPr="00266C6B">
        <w:t>accuse</w:t>
      </w:r>
      <w:r>
        <w:t>d</w:t>
      </w:r>
      <w:r w:rsidRPr="00101C9D">
        <w:t xml:space="preserve"> </w:t>
      </w:r>
      <w:r>
        <w:t>r</w:t>
      </w:r>
      <w:r w:rsidRPr="00101C9D">
        <w:t xml:space="preserve">eceive notice that AI </w:t>
      </w:r>
      <w:r>
        <w:t>has been used (such as during an investigation by law enforcement) or is being used (such as to mount the case against them, or aid in determining issue like bail or sentencing)? Does AI require notice in every circumstance, or is there a threshold, or a distinction between its use in a process as opposed to a decision?</w:t>
      </w:r>
    </w:p>
    <w:p w14:paraId="49CD9399" w14:textId="349BF2EC" w:rsidR="00630390" w:rsidRDefault="00630390" w:rsidP="00E64ED1">
      <w:pPr>
        <w:pStyle w:val="ListParagraph"/>
        <w:numPr>
          <w:ilvl w:val="0"/>
          <w:numId w:val="80"/>
        </w:numPr>
        <w:spacing w:after="160" w:line="259" w:lineRule="auto"/>
      </w:pPr>
      <w:r>
        <w:lastRenderedPageBreak/>
        <w:t>How will an accused (or the Crown) r</w:t>
      </w:r>
      <w:r w:rsidRPr="00101C9D">
        <w:t>eceive disclosure of evidenc</w:t>
      </w:r>
      <w:r>
        <w:t xml:space="preserve">e generated, augmented or analyzed by AI? What is required to be disclosed to ensure reliability and validity: source code, training data, technical assessment or audit reports, </w:t>
      </w:r>
      <w:r w:rsidR="004A3191">
        <w:t xml:space="preserve">efficacy studies, </w:t>
      </w:r>
      <w:r>
        <w:t>or other?</w:t>
      </w:r>
    </w:p>
    <w:p w14:paraId="6EA4310B" w14:textId="20BE03A8" w:rsidR="00630390" w:rsidRDefault="00630390" w:rsidP="00E64ED1">
      <w:pPr>
        <w:pStyle w:val="ListParagraph"/>
        <w:numPr>
          <w:ilvl w:val="0"/>
          <w:numId w:val="80"/>
        </w:numPr>
        <w:spacing w:after="160" w:line="259" w:lineRule="auto"/>
      </w:pPr>
      <w:r>
        <w:t>How will AI</w:t>
      </w:r>
      <w:r w:rsidR="004A3191">
        <w:t>-</w:t>
      </w:r>
      <w:r>
        <w:t>generated evidence and data comport</w:t>
      </w:r>
      <w:r w:rsidRPr="00101C9D">
        <w:t xml:space="preserve"> with the rules of evidence</w:t>
      </w:r>
      <w:r>
        <w:t>? For instance, what AI outputs may be expert or opinion evidence? What may be admissible for fact or weight? What AI outputs or training data constitutes hearsay?</w:t>
      </w:r>
    </w:p>
    <w:p w14:paraId="2BFA5262" w14:textId="3DC21ECA" w:rsidR="00630390" w:rsidRDefault="00630390" w:rsidP="00E64ED1">
      <w:pPr>
        <w:pStyle w:val="ListParagraph"/>
        <w:numPr>
          <w:ilvl w:val="0"/>
          <w:numId w:val="80"/>
        </w:numPr>
        <w:spacing w:after="160" w:line="259" w:lineRule="auto"/>
      </w:pPr>
      <w:r>
        <w:t xml:space="preserve">Who may be called as an expert qualified to testify, </w:t>
      </w:r>
      <w:r w:rsidRPr="00101C9D">
        <w:t xml:space="preserve">explain and justify </w:t>
      </w:r>
      <w:r w:rsidR="004A3191">
        <w:t xml:space="preserve">AI recommendations, </w:t>
      </w:r>
      <w:r w:rsidRPr="00101C9D">
        <w:t xml:space="preserve">decisions, </w:t>
      </w:r>
      <w:r w:rsidR="00913926">
        <w:t xml:space="preserve">or </w:t>
      </w:r>
      <w:r w:rsidRPr="00101C9D">
        <w:t>evidentiary analysis?</w:t>
      </w:r>
    </w:p>
    <w:p w14:paraId="3D3735EB" w14:textId="675CA116" w:rsidR="00630390" w:rsidRPr="00101C9D" w:rsidRDefault="00630390" w:rsidP="00E64ED1">
      <w:pPr>
        <w:pStyle w:val="ListParagraph"/>
        <w:numPr>
          <w:ilvl w:val="0"/>
          <w:numId w:val="80"/>
        </w:numPr>
        <w:spacing w:after="160" w:line="259" w:lineRule="auto"/>
      </w:pPr>
      <w:r>
        <w:t xml:space="preserve">What access to justice provisions will ensure accused are afforded the right to a full and fair defense against AI systems? </w:t>
      </w:r>
      <w:r w:rsidRPr="00101C9D">
        <w:t xml:space="preserve">AI‐related rights issues </w:t>
      </w:r>
      <w:r>
        <w:t xml:space="preserve">are certain to be litigated </w:t>
      </w:r>
      <w:r w:rsidRPr="00101C9D">
        <w:t xml:space="preserve">but what resources </w:t>
      </w:r>
      <w:r>
        <w:t xml:space="preserve">are required, </w:t>
      </w:r>
      <w:r w:rsidRPr="00101C9D">
        <w:t>where will</w:t>
      </w:r>
      <w:r>
        <w:t xml:space="preserve"> they </w:t>
      </w:r>
      <w:r w:rsidRPr="00101C9D">
        <w:t xml:space="preserve">come from, and in what circumstances </w:t>
      </w:r>
      <w:r>
        <w:t xml:space="preserve">and to what extent </w:t>
      </w:r>
      <w:r w:rsidRPr="00101C9D">
        <w:t>should they be available?</w:t>
      </w:r>
    </w:p>
    <w:p w14:paraId="0A1C5AAE" w14:textId="77777777" w:rsidR="00630390" w:rsidRDefault="00630390" w:rsidP="00E64ED1">
      <w:r>
        <w:t>Several of these immanent concerns find precedent in case law.</w:t>
      </w:r>
    </w:p>
    <w:p w14:paraId="3E10F49F" w14:textId="77777777" w:rsidR="00630390" w:rsidRDefault="00630390" w:rsidP="005B53AD"/>
    <w:p w14:paraId="11B85BD0" w14:textId="25C54F5A" w:rsidR="00630390" w:rsidRDefault="00630390" w:rsidP="005B53AD">
      <w:r w:rsidRPr="0036376C">
        <w:t xml:space="preserve">Writing for the majority, Justice LaForest in </w:t>
      </w:r>
      <w:r w:rsidRPr="0036376C">
        <w:rPr>
          <w:i/>
          <w:iCs/>
        </w:rPr>
        <w:t>R. v. Lyons</w:t>
      </w:r>
      <w:r w:rsidRPr="0036376C">
        <w:t xml:space="preserve"> noted: “It is clear that, at a minimum, the requirements of fundamental justice embrace the requirements of procedural fairness.”</w:t>
      </w:r>
      <w:r>
        <w:rPr>
          <w:rStyle w:val="EndnoteReference"/>
        </w:rPr>
        <w:endnoteReference w:id="15"/>
      </w:r>
      <w:r>
        <w:t xml:space="preserve"> </w:t>
      </w:r>
      <w:r w:rsidRPr="0036376C">
        <w:t>The Supreme Court of Canada has also held that:</w:t>
      </w:r>
    </w:p>
    <w:p w14:paraId="583D1483" w14:textId="77777777" w:rsidR="00630390" w:rsidRPr="0036376C" w:rsidRDefault="00630390" w:rsidP="005B53AD"/>
    <w:p w14:paraId="68A6FE85" w14:textId="617323FD" w:rsidR="00630390" w:rsidRPr="006B7FED" w:rsidRDefault="005B621A" w:rsidP="005B53AD">
      <w:pPr>
        <w:pStyle w:val="ListParagraph"/>
        <w:numPr>
          <w:ilvl w:val="0"/>
          <w:numId w:val="80"/>
        </w:numPr>
        <w:spacing w:after="160" w:line="259" w:lineRule="auto"/>
      </w:pPr>
      <w:r>
        <w:t>S</w:t>
      </w:r>
      <w:r w:rsidR="00630390" w:rsidRPr="0036376C">
        <w:t xml:space="preserve">tate conduct which infringes s. 7 of the </w:t>
      </w:r>
      <w:r w:rsidR="00630390" w:rsidRPr="0036376C">
        <w:rPr>
          <w:i/>
          <w:iCs/>
        </w:rPr>
        <w:t>Charter</w:t>
      </w:r>
      <w:r w:rsidR="00630390" w:rsidRPr="0036376C">
        <w:t xml:space="preserve"> requires that judges go beyond a review of procedural fairness to also consider substantive fairness</w:t>
      </w:r>
      <w:r w:rsidR="00630390">
        <w:t>.</w:t>
      </w:r>
      <w:r w:rsidR="00630390">
        <w:rPr>
          <w:rStyle w:val="EndnoteReference"/>
        </w:rPr>
        <w:endnoteReference w:id="16"/>
      </w:r>
    </w:p>
    <w:p w14:paraId="697F2ADA" w14:textId="2B56150C" w:rsidR="00630390" w:rsidRPr="00C01DAA" w:rsidRDefault="005B621A" w:rsidP="005B53AD">
      <w:pPr>
        <w:pStyle w:val="ListParagraph"/>
        <w:numPr>
          <w:ilvl w:val="0"/>
          <w:numId w:val="80"/>
        </w:numPr>
        <w:spacing w:after="160" w:line="259" w:lineRule="auto"/>
      </w:pPr>
      <w:r>
        <w:t>P</w:t>
      </w:r>
      <w:r w:rsidR="00630390" w:rsidRPr="00C01DAA">
        <w:t xml:space="preserve">rocedural </w:t>
      </w:r>
      <w:r w:rsidR="00630390" w:rsidRPr="00C01DAA">
        <w:rPr>
          <w:b/>
          <w:bCs/>
          <w:i/>
          <w:iCs/>
        </w:rPr>
        <w:t>un</w:t>
      </w:r>
      <w:r w:rsidR="00630390" w:rsidRPr="00C01DAA">
        <w:t>fairness is an independent basis for review of decisions affecting an individual’s rights and interests.</w:t>
      </w:r>
      <w:r w:rsidR="00630390">
        <w:rPr>
          <w:rStyle w:val="EndnoteReference"/>
        </w:rPr>
        <w:endnoteReference w:id="17"/>
      </w:r>
      <w:r w:rsidR="00630390">
        <w:t xml:space="preserve"> </w:t>
      </w:r>
      <w:r w:rsidR="00630390" w:rsidRPr="00C01DAA">
        <w:t xml:space="preserve"> </w:t>
      </w:r>
    </w:p>
    <w:p w14:paraId="4E9BD4AC" w14:textId="77777777" w:rsidR="00630390" w:rsidRDefault="00630390" w:rsidP="005B53AD">
      <w:r w:rsidRPr="00C01DAA">
        <w:t>The following issues, all of which implicate decision making, have been considered as invoking procedural fairness:</w:t>
      </w:r>
    </w:p>
    <w:p w14:paraId="7502F01D" w14:textId="77777777" w:rsidR="00630390" w:rsidRPr="00C01DAA" w:rsidRDefault="00630390" w:rsidP="005B53AD"/>
    <w:p w14:paraId="4B3A9E67" w14:textId="58288378" w:rsidR="00630390" w:rsidRPr="00C01DAA" w:rsidRDefault="005B621A" w:rsidP="005B53AD">
      <w:pPr>
        <w:pStyle w:val="ListParagraph"/>
        <w:numPr>
          <w:ilvl w:val="0"/>
          <w:numId w:val="80"/>
        </w:numPr>
        <w:spacing w:after="160" w:line="259" w:lineRule="auto"/>
      </w:pPr>
      <w:r>
        <w:t>A</w:t>
      </w:r>
      <w:r w:rsidR="00630390" w:rsidRPr="00C01DAA">
        <w:t>dequate notice of the case to be met</w:t>
      </w:r>
      <w:r w:rsidR="007B21B3">
        <w:t>,</w:t>
      </w:r>
      <w:r w:rsidR="00630390">
        <w:rPr>
          <w:rStyle w:val="EndnoteReference"/>
        </w:rPr>
        <w:endnoteReference w:id="18"/>
      </w:r>
      <w:r w:rsidR="00630390" w:rsidRPr="00C01DAA">
        <w:t xml:space="preserve"> </w:t>
      </w:r>
      <w:r w:rsidR="007B21B3">
        <w:t>including</w:t>
      </w:r>
      <w:r w:rsidR="00630390" w:rsidRPr="00C01DAA">
        <w:t xml:space="preserve"> entitlement </w:t>
      </w:r>
      <w:r>
        <w:t xml:space="preserve">of an accused </w:t>
      </w:r>
      <w:r w:rsidR="00630390" w:rsidRPr="00C01DAA">
        <w:t>to some disclosure of the basis upon which the Crown requested a jury trial (where extensive pre-trial publicity and other evidentiary issues involving risk of prejudice to accused if tried before a jury)</w:t>
      </w:r>
      <w:r w:rsidR="007B21B3">
        <w:t>;</w:t>
      </w:r>
      <w:r w:rsidR="00630390">
        <w:rPr>
          <w:rStyle w:val="EndnoteReference"/>
        </w:rPr>
        <w:endnoteReference w:id="19"/>
      </w:r>
    </w:p>
    <w:p w14:paraId="22DBC00B" w14:textId="691271DC" w:rsidR="00630390" w:rsidRPr="00C01DAA" w:rsidRDefault="005B621A" w:rsidP="005B53AD">
      <w:pPr>
        <w:pStyle w:val="ListParagraph"/>
        <w:numPr>
          <w:ilvl w:val="0"/>
          <w:numId w:val="80"/>
        </w:numPr>
        <w:spacing w:after="160" w:line="259" w:lineRule="auto"/>
      </w:pPr>
      <w:r>
        <w:t>T</w:t>
      </w:r>
      <w:r w:rsidR="00630390" w:rsidRPr="00C01DAA">
        <w:t>he right to conduct one’s own defence</w:t>
      </w:r>
      <w:r>
        <w:t xml:space="preserve">, including </w:t>
      </w:r>
      <w:r w:rsidR="00630390" w:rsidRPr="00C01DAA">
        <w:t>empowerment of an accused</w:t>
      </w:r>
      <w:r>
        <w:t xml:space="preserve"> </w:t>
      </w:r>
      <w:r w:rsidR="00630390" w:rsidRPr="00C01DAA">
        <w:t>to control some key strategic decisions during the litigation process</w:t>
      </w:r>
      <w:r>
        <w:t>;</w:t>
      </w:r>
      <w:r w:rsidR="00630390">
        <w:rPr>
          <w:rStyle w:val="EndnoteReference"/>
        </w:rPr>
        <w:endnoteReference w:id="20"/>
      </w:r>
    </w:p>
    <w:p w14:paraId="63632BAD" w14:textId="69D9834B" w:rsidR="00630390" w:rsidRPr="00C01DAA" w:rsidRDefault="005B621A" w:rsidP="005B53AD">
      <w:pPr>
        <w:pStyle w:val="ListParagraph"/>
        <w:numPr>
          <w:ilvl w:val="0"/>
          <w:numId w:val="80"/>
        </w:numPr>
        <w:spacing w:after="160" w:line="259" w:lineRule="auto"/>
      </w:pPr>
      <w:r>
        <w:t>T</w:t>
      </w:r>
      <w:r w:rsidR="00630390" w:rsidRPr="00C01DAA">
        <w:t>he prohibition against the Crown raising new theories of liability for the first time upon appeal</w:t>
      </w:r>
      <w:r>
        <w:t>;</w:t>
      </w:r>
      <w:r w:rsidR="00630390">
        <w:rPr>
          <w:rStyle w:val="EndnoteReference"/>
        </w:rPr>
        <w:endnoteReference w:id="21"/>
      </w:r>
    </w:p>
    <w:p w14:paraId="6E8F8933" w14:textId="1712DE69" w:rsidR="00630390" w:rsidRPr="00C01DAA" w:rsidRDefault="005B621A" w:rsidP="005B53AD">
      <w:pPr>
        <w:pStyle w:val="ListParagraph"/>
        <w:numPr>
          <w:ilvl w:val="0"/>
          <w:numId w:val="80"/>
        </w:numPr>
        <w:spacing w:after="160" w:line="259" w:lineRule="auto"/>
      </w:pPr>
      <w:r>
        <w:t>T</w:t>
      </w:r>
      <w:r w:rsidR="00630390" w:rsidRPr="00C01DAA">
        <w:t>he ability to instruct counsel</w:t>
      </w:r>
      <w:r>
        <w:t xml:space="preserve">, </w:t>
      </w:r>
      <w:r w:rsidR="00630390" w:rsidRPr="00C01DAA">
        <w:t>the right to make submissions (including oral as opposed to written)</w:t>
      </w:r>
      <w:r>
        <w:t xml:space="preserve">, </w:t>
      </w:r>
      <w:r w:rsidR="00630390" w:rsidRPr="00C01DAA">
        <w:t>and the right to be heard</w:t>
      </w:r>
      <w:r>
        <w:t>;</w:t>
      </w:r>
      <w:r w:rsidR="00630390">
        <w:rPr>
          <w:rStyle w:val="EndnoteReference"/>
        </w:rPr>
        <w:endnoteReference w:id="22"/>
      </w:r>
      <w:r w:rsidR="00630390" w:rsidRPr="00C01DAA">
        <w:t xml:space="preserve"> </w:t>
      </w:r>
    </w:p>
    <w:p w14:paraId="138F6550" w14:textId="59D76FE0" w:rsidR="00630390" w:rsidRPr="00777B0A" w:rsidRDefault="005B621A" w:rsidP="005B53AD">
      <w:pPr>
        <w:pStyle w:val="ListParagraph"/>
        <w:numPr>
          <w:ilvl w:val="0"/>
          <w:numId w:val="80"/>
        </w:numPr>
        <w:spacing w:after="160" w:line="259" w:lineRule="auto"/>
      </w:pPr>
      <w:r>
        <w:t>J</w:t>
      </w:r>
      <w:r w:rsidR="00630390" w:rsidRPr="00C01DAA">
        <w:t xml:space="preserve">udicial duty to give </w:t>
      </w:r>
      <w:bookmarkStart w:id="20" w:name="_Hlk158748075"/>
      <w:r w:rsidR="00630390" w:rsidRPr="00C01DAA">
        <w:t>reasons when circumstances require</w:t>
      </w:r>
      <w:r w:rsidR="00630390">
        <w:t xml:space="preserve"> it</w:t>
      </w:r>
      <w:r w:rsidR="00630390" w:rsidRPr="00C01DAA">
        <w:t>.</w:t>
      </w:r>
      <w:r w:rsidR="00630390">
        <w:rPr>
          <w:rStyle w:val="EndnoteReference"/>
        </w:rPr>
        <w:endnoteReference w:id="23"/>
      </w:r>
      <w:bookmarkEnd w:id="20"/>
      <w:r w:rsidR="00630390">
        <w:t xml:space="preserve"> </w:t>
      </w:r>
    </w:p>
    <w:p w14:paraId="1D20904A" w14:textId="5B8F0CCF" w:rsidR="00630390" w:rsidRPr="00D6562E" w:rsidRDefault="00630390" w:rsidP="00E64ED1"/>
    <w:p w14:paraId="56C6A89F" w14:textId="6431006E" w:rsidR="00630390" w:rsidRPr="00D6562E" w:rsidRDefault="00630390" w:rsidP="005B53AD">
      <w:pPr>
        <w:pStyle w:val="Heading3"/>
        <w:numPr>
          <w:ilvl w:val="2"/>
          <w:numId w:val="79"/>
        </w:numPr>
        <w:rPr>
          <w:rFonts w:asciiTheme="minorHAnsi" w:hAnsiTheme="minorHAnsi" w:cstheme="minorHAnsi"/>
        </w:rPr>
      </w:pPr>
      <w:bookmarkStart w:id="21" w:name="_Toc195597977"/>
      <w:r>
        <w:rPr>
          <w:rFonts w:asciiTheme="minorHAnsi" w:hAnsiTheme="minorHAnsi" w:cstheme="minorHAnsi"/>
        </w:rPr>
        <w:lastRenderedPageBreak/>
        <w:t>The Charter of Rights and Freedoms</w:t>
      </w:r>
      <w:bookmarkEnd w:id="21"/>
    </w:p>
    <w:p w14:paraId="1E3FD047" w14:textId="77777777" w:rsidR="00630390" w:rsidRPr="00D6562E" w:rsidRDefault="00630390" w:rsidP="0069073E"/>
    <w:p w14:paraId="404EC973" w14:textId="3C83C42C" w:rsidR="00630390" w:rsidRPr="00AB0048" w:rsidRDefault="00630390" w:rsidP="00AB0048">
      <w:pPr>
        <w:rPr>
          <w:i/>
          <w:iCs/>
        </w:rPr>
      </w:pPr>
      <w:r w:rsidRPr="00AB0048">
        <w:rPr>
          <w:rStyle w:val="Emphasis"/>
          <w:i w:val="0"/>
          <w:iCs w:val="0"/>
        </w:rPr>
        <w:t xml:space="preserve">The deployment of AI in the context of the criminal trial will also be subject to the constitutional limits imposed by the </w:t>
      </w:r>
      <w:r w:rsidRPr="00F26B19">
        <w:rPr>
          <w:rStyle w:val="Emphasis"/>
        </w:rPr>
        <w:t>Charter</w:t>
      </w:r>
      <w:r>
        <w:rPr>
          <w:rStyle w:val="Emphasis"/>
        </w:rPr>
        <w:t xml:space="preserve"> of Rights and Freedoms</w:t>
      </w:r>
      <w:r w:rsidRPr="00AB0048">
        <w:rPr>
          <w:rStyle w:val="Emphasis"/>
          <w:i w:val="0"/>
          <w:iCs w:val="0"/>
        </w:rPr>
        <w:t>.</w:t>
      </w:r>
    </w:p>
    <w:p w14:paraId="0B195BD6" w14:textId="77777777" w:rsidR="00630390" w:rsidRPr="00AB0048" w:rsidRDefault="00630390" w:rsidP="004876A7"/>
    <w:p w14:paraId="5852E181" w14:textId="0A31D681" w:rsidR="00630390" w:rsidRPr="00AB0048" w:rsidRDefault="00630390" w:rsidP="004876A7">
      <w:pPr>
        <w:rPr>
          <w:rStyle w:val="Emphasis"/>
          <w:i w:val="0"/>
          <w:iCs w:val="0"/>
        </w:rPr>
      </w:pPr>
      <w:r w:rsidRPr="00AB0048">
        <w:t xml:space="preserve">All state action, including criminal litigation, is subject to the limitations imposed by Canada’s </w:t>
      </w:r>
      <w:r w:rsidRPr="00AB0048">
        <w:rPr>
          <w:i/>
          <w:iCs/>
        </w:rPr>
        <w:t>Charter</w:t>
      </w:r>
      <w:r w:rsidRPr="00AB0048">
        <w:t xml:space="preserve">. The Supreme Court of Canada describes the “primary purpose” of the </w:t>
      </w:r>
      <w:r w:rsidRPr="00AB0048">
        <w:rPr>
          <w:i/>
          <w:iCs/>
        </w:rPr>
        <w:t>Charter</w:t>
      </w:r>
      <w:r w:rsidRPr="00AB0048">
        <w:t xml:space="preserve"> is “to constrain government action in conformity with certain individual rights and freedoms, the preservation of which are essential to the continuation of a democratic, functioning society in which the basic dignity of all is recognized.”</w:t>
      </w:r>
      <w:r w:rsidRPr="00AB0048">
        <w:rPr>
          <w:rStyle w:val="EndnoteReference"/>
        </w:rPr>
        <w:endnoteReference w:id="24"/>
      </w:r>
      <w:r w:rsidRPr="00AB0048">
        <w:t xml:space="preserve"> The </w:t>
      </w:r>
      <w:r w:rsidRPr="00AB0048">
        <w:rPr>
          <w:i/>
          <w:iCs/>
        </w:rPr>
        <w:t xml:space="preserve">Charter’s </w:t>
      </w:r>
      <w:r w:rsidRPr="00AB0048">
        <w:t>protections are not absolute</w:t>
      </w:r>
      <w:r w:rsidR="00D26B52">
        <w:t>. However,</w:t>
      </w:r>
      <w:r w:rsidRPr="00AB0048">
        <w:t xml:space="preserve"> they are </w:t>
      </w:r>
      <w:r w:rsidRPr="00AB0048">
        <w:rPr>
          <w:i/>
          <w:iCs/>
        </w:rPr>
        <w:t>“</w:t>
      </w:r>
      <w:r w:rsidRPr="00D26B52">
        <w:t>subject</w:t>
      </w:r>
      <w:r w:rsidRPr="00AB0048">
        <w:rPr>
          <w:rStyle w:val="Emphasis"/>
          <w:i w:val="0"/>
          <w:iCs w:val="0"/>
        </w:rPr>
        <w:t xml:space="preserve"> only to such reasonable limits prescribed by law as can be demonstrably justified in a free and democratic society."</w:t>
      </w:r>
      <w:r w:rsidRPr="00AB0048">
        <w:rPr>
          <w:rStyle w:val="EndnoteReference"/>
        </w:rPr>
        <w:endnoteReference w:id="25"/>
      </w:r>
    </w:p>
    <w:p w14:paraId="0C66574F" w14:textId="77777777" w:rsidR="00630390" w:rsidRPr="005B53AD" w:rsidRDefault="00630390" w:rsidP="005B53AD"/>
    <w:p w14:paraId="4C81D056" w14:textId="1FCF2CC4" w:rsidR="00630390" w:rsidRDefault="00630390" w:rsidP="005B53AD">
      <w:r w:rsidRPr="005B53AD">
        <w:t xml:space="preserve">In some provisions, the </w:t>
      </w:r>
      <w:r w:rsidRPr="005B53AD">
        <w:rPr>
          <w:i/>
          <w:iCs/>
        </w:rPr>
        <w:t>Charter</w:t>
      </w:r>
      <w:r w:rsidRPr="005B53AD">
        <w:t xml:space="preserve"> bestows a positive right upon accused persons</w:t>
      </w:r>
      <w:r w:rsidR="00D26B52">
        <w:t xml:space="preserve">. Examples of positive rights include </w:t>
      </w:r>
      <w:r w:rsidRPr="005B53AD">
        <w:t>the s.7 right to life, liberty, and security of the person (which encapsulates the right to silence and to make full answer and defence), the right to counsel s. 10(b), and to trial in a reasonable time s.11(b).</w:t>
      </w:r>
    </w:p>
    <w:p w14:paraId="694E965E" w14:textId="77777777" w:rsidR="00630390" w:rsidRPr="005B53AD" w:rsidRDefault="00630390" w:rsidP="005B53AD"/>
    <w:p w14:paraId="6CC395F2" w14:textId="09D15B04" w:rsidR="00630390" w:rsidRDefault="00630390" w:rsidP="002D31CD">
      <w:r w:rsidRPr="00E26F78">
        <w:t xml:space="preserve">Other sections of the </w:t>
      </w:r>
      <w:r w:rsidRPr="00E26F78">
        <w:rPr>
          <w:i/>
          <w:iCs/>
        </w:rPr>
        <w:t>Charter</w:t>
      </w:r>
      <w:r w:rsidRPr="00E26F78">
        <w:t xml:space="preserve"> confer </w:t>
      </w:r>
      <w:r w:rsidR="00D26B52">
        <w:t>negative rights to be free from interference. This includes protections</w:t>
      </w:r>
      <w:r w:rsidRPr="00E26F78">
        <w:t xml:space="preserve"> to be secure against unreasonable search and seizure (s.8), arbitrary detention (s.9), </w:t>
      </w:r>
      <w:r w:rsidR="00D26B52">
        <w:t>or</w:t>
      </w:r>
      <w:r w:rsidRPr="00E26F78">
        <w:t xml:space="preserve"> cruel and unusual punishment (s.12). </w:t>
      </w:r>
    </w:p>
    <w:p w14:paraId="1D106734" w14:textId="77777777" w:rsidR="00630390" w:rsidRDefault="00630390" w:rsidP="002D31CD"/>
    <w:p w14:paraId="265C5682" w14:textId="7413366D" w:rsidR="00630390" w:rsidRDefault="00630390" w:rsidP="002D31CD">
      <w:r w:rsidRPr="00E26F78">
        <w:rPr>
          <w:i/>
          <w:iCs/>
        </w:rPr>
        <w:t>Charter</w:t>
      </w:r>
      <w:r w:rsidRPr="00E26F78">
        <w:t xml:space="preserve"> jurisprudence </w:t>
      </w:r>
      <w:r w:rsidR="00D26B52">
        <w:t xml:space="preserve">also </w:t>
      </w:r>
      <w:r w:rsidRPr="00E26F78">
        <w:t>delineates permissible state action.</w:t>
      </w:r>
      <w:r>
        <w:t xml:space="preserve"> </w:t>
      </w:r>
      <w:r w:rsidRPr="00E26F78">
        <w:t>It defines</w:t>
      </w:r>
      <w:r>
        <w:t xml:space="preserve"> activities like:</w:t>
      </w:r>
    </w:p>
    <w:p w14:paraId="46A1E4FD" w14:textId="77777777" w:rsidR="00630390" w:rsidRDefault="00630390" w:rsidP="002D31CD"/>
    <w:p w14:paraId="3F6F7ACA" w14:textId="3E911D98" w:rsidR="00630390" w:rsidRDefault="00D26B52" w:rsidP="002D31CD">
      <w:pPr>
        <w:pStyle w:val="ListParagraph"/>
        <w:numPr>
          <w:ilvl w:val="0"/>
          <w:numId w:val="82"/>
        </w:numPr>
        <w:spacing w:after="160" w:line="259" w:lineRule="auto"/>
      </w:pPr>
      <w:r>
        <w:t>R</w:t>
      </w:r>
      <w:r w:rsidR="00630390" w:rsidRPr="00846429">
        <w:t>easonable search</w:t>
      </w:r>
      <w:r>
        <w:t>;</w:t>
      </w:r>
      <w:r w:rsidR="00630390">
        <w:rPr>
          <w:rStyle w:val="EndnoteReference"/>
        </w:rPr>
        <w:endnoteReference w:id="26"/>
      </w:r>
    </w:p>
    <w:p w14:paraId="32C66EC0" w14:textId="232BB68F" w:rsidR="00630390" w:rsidRDefault="00D26B52" w:rsidP="002D31CD">
      <w:pPr>
        <w:pStyle w:val="ListParagraph"/>
        <w:numPr>
          <w:ilvl w:val="0"/>
          <w:numId w:val="82"/>
        </w:numPr>
        <w:spacing w:after="160" w:line="259" w:lineRule="auto"/>
      </w:pPr>
      <w:r>
        <w:t>C</w:t>
      </w:r>
      <w:r w:rsidR="00630390" w:rsidRPr="00846429">
        <w:t>ircumstances amounting to a detention</w:t>
      </w:r>
      <w:r>
        <w:t>;</w:t>
      </w:r>
      <w:r w:rsidR="00630390">
        <w:rPr>
          <w:rStyle w:val="EndnoteReference"/>
        </w:rPr>
        <w:endnoteReference w:id="27"/>
      </w:r>
      <w:r w:rsidR="00630390" w:rsidRPr="00846429">
        <w:t xml:space="preserve"> and</w:t>
      </w:r>
    </w:p>
    <w:p w14:paraId="01938DA7" w14:textId="4EC115D2" w:rsidR="00630390" w:rsidRPr="00EC0197" w:rsidRDefault="00D26B52" w:rsidP="002D31CD">
      <w:pPr>
        <w:pStyle w:val="ListParagraph"/>
        <w:numPr>
          <w:ilvl w:val="0"/>
          <w:numId w:val="82"/>
        </w:numPr>
        <w:spacing w:after="160" w:line="259" w:lineRule="auto"/>
      </w:pPr>
      <w:r>
        <w:t>T</w:t>
      </w:r>
      <w:r w:rsidR="00630390" w:rsidRPr="00EC0197">
        <w:t xml:space="preserve">he extent of individual freedom, namely balancing the rights of </w:t>
      </w:r>
      <w:r>
        <w:t>an</w:t>
      </w:r>
      <w:r w:rsidR="00630390" w:rsidRPr="00EC0197">
        <w:t xml:space="preserve"> accused against the state’s interest in investigation and enforcement of the criminal law (for example</w:t>
      </w:r>
      <w:r w:rsidR="00630390">
        <w:t xml:space="preserve">, </w:t>
      </w:r>
      <w:r w:rsidR="000368D0">
        <w:t>the interests of</w:t>
      </w:r>
      <w:r w:rsidR="00630390">
        <w:t xml:space="preserve"> law enforcement </w:t>
      </w:r>
      <w:r w:rsidR="00630390" w:rsidRPr="00EC0197">
        <w:rPr>
          <w:color w:val="212121"/>
          <w:shd w:val="clear" w:color="auto" w:fill="FFFFFF"/>
        </w:rPr>
        <w:t xml:space="preserve">served by searches incidental to arrest </w:t>
      </w:r>
      <w:r w:rsidR="00630390">
        <w:rPr>
          <w:color w:val="212121"/>
          <w:shd w:val="clear" w:color="auto" w:fill="FFFFFF"/>
        </w:rPr>
        <w:t xml:space="preserve">versus </w:t>
      </w:r>
      <w:r w:rsidR="000368D0">
        <w:rPr>
          <w:color w:val="212121"/>
          <w:shd w:val="clear" w:color="auto" w:fill="FFFFFF"/>
        </w:rPr>
        <w:t xml:space="preserve">the </w:t>
      </w:r>
      <w:r w:rsidR="00630390" w:rsidRPr="00EC0197">
        <w:rPr>
          <w:color w:val="212121"/>
          <w:shd w:val="clear" w:color="auto" w:fill="FFFFFF"/>
        </w:rPr>
        <w:t>significant privacy interests at stake in cell phone searches</w:t>
      </w:r>
      <w:r w:rsidR="00630390">
        <w:rPr>
          <w:color w:val="212121"/>
          <w:shd w:val="clear" w:color="auto" w:fill="FFFFFF"/>
        </w:rPr>
        <w:t>).</w:t>
      </w:r>
      <w:r w:rsidR="00630390">
        <w:rPr>
          <w:rStyle w:val="EndnoteReference"/>
          <w:color w:val="212121"/>
          <w:shd w:val="clear" w:color="auto" w:fill="FFFFFF"/>
        </w:rPr>
        <w:endnoteReference w:id="28"/>
      </w:r>
      <w:r w:rsidR="00630390">
        <w:rPr>
          <w:color w:val="212121"/>
          <w:shd w:val="clear" w:color="auto" w:fill="FFFFFF"/>
        </w:rPr>
        <w:t xml:space="preserve"> </w:t>
      </w:r>
    </w:p>
    <w:p w14:paraId="14ADE13D" w14:textId="77777777" w:rsidR="00630390" w:rsidRDefault="00630390" w:rsidP="002D31CD">
      <w:r w:rsidRPr="00846429">
        <w:t xml:space="preserve">The </w:t>
      </w:r>
      <w:r w:rsidRPr="00846429">
        <w:rPr>
          <w:i/>
          <w:iCs/>
        </w:rPr>
        <w:t>Charter</w:t>
      </w:r>
      <w:r w:rsidRPr="00846429">
        <w:t xml:space="preserve"> also balances the rights of other parties against those of the accused (i.e., complainant</w:t>
      </w:r>
      <w:r>
        <w:t>s’</w:t>
      </w:r>
      <w:r w:rsidRPr="00846429">
        <w:t xml:space="preserve"> and witness</w:t>
      </w:r>
      <w:r>
        <w:t>es</w:t>
      </w:r>
      <w:r w:rsidRPr="00846429">
        <w:t>’ right to privacy against the accused</w:t>
      </w:r>
      <w:r>
        <w:t xml:space="preserve">’s </w:t>
      </w:r>
      <w:r w:rsidRPr="00846429">
        <w:t>right to a fair trial and to make full answer defence</w:t>
      </w:r>
      <w:r>
        <w:t>).</w:t>
      </w:r>
      <w:r>
        <w:rPr>
          <w:rStyle w:val="EndnoteReference"/>
        </w:rPr>
        <w:endnoteReference w:id="29"/>
      </w:r>
      <w:r w:rsidRPr="00846429">
        <w:t xml:space="preserve"> </w:t>
      </w:r>
    </w:p>
    <w:p w14:paraId="1B6CB8E4" w14:textId="77777777" w:rsidR="00630390" w:rsidRPr="00846429" w:rsidRDefault="00630390" w:rsidP="002D31CD"/>
    <w:p w14:paraId="6DA6A305" w14:textId="77777777" w:rsidR="00630390" w:rsidRDefault="00630390" w:rsidP="002D31CD">
      <w:r>
        <w:t>T</w:t>
      </w:r>
      <w:r w:rsidRPr="00E26F78">
        <w:t xml:space="preserve">he </w:t>
      </w:r>
      <w:r w:rsidRPr="00E26F78">
        <w:rPr>
          <w:i/>
          <w:iCs/>
        </w:rPr>
        <w:t xml:space="preserve">Charter </w:t>
      </w:r>
      <w:r w:rsidRPr="00E26F78">
        <w:t xml:space="preserve">operates such that its own impact is </w:t>
      </w:r>
      <w:r>
        <w:t xml:space="preserve">also </w:t>
      </w:r>
      <w:r w:rsidRPr="00E26F78">
        <w:t>weighed and balanced between circumstances in which state conduct or the interference with the accused’s rights necessitates a stay of proceedings</w:t>
      </w:r>
      <w:r>
        <w:t xml:space="preserve">, and circumstances in which the infringement is adequately addressed by the exclusion of the impugned evidence (ss </w:t>
      </w:r>
      <w:r w:rsidRPr="00E26F78">
        <w:t>24(1</w:t>
      </w:r>
      <w:r>
        <w:t xml:space="preserve"> and 2</w:t>
      </w:r>
      <w:r w:rsidRPr="00E26F78">
        <w:t>)</w:t>
      </w:r>
      <w:r>
        <w:t>).</w:t>
      </w:r>
    </w:p>
    <w:p w14:paraId="61FDC1C5" w14:textId="77777777" w:rsidR="00FB50C5" w:rsidRDefault="00FB50C5" w:rsidP="002D31CD"/>
    <w:p w14:paraId="2CC8F58F" w14:textId="49B5E422" w:rsidR="00630390" w:rsidRDefault="00630390" w:rsidP="002D31CD">
      <w:r>
        <w:t xml:space="preserve">Finally, the </w:t>
      </w:r>
      <w:r w:rsidRPr="0083126B">
        <w:rPr>
          <w:i/>
          <w:iCs/>
        </w:rPr>
        <w:t>Charter</w:t>
      </w:r>
      <w:r w:rsidRPr="00E26F78">
        <w:t xml:space="preserve"> </w:t>
      </w:r>
      <w:r>
        <w:t>evaluates</w:t>
      </w:r>
      <w:r w:rsidRPr="00E26F78">
        <w:t xml:space="preserve"> the constitutional validity of other laws enacted and applied in the criminal law context and determines whether limits prescribed by law on </w:t>
      </w:r>
      <w:r>
        <w:t>individual</w:t>
      </w:r>
      <w:r w:rsidRPr="00E26F78">
        <w:t xml:space="preserve"> rights are reasonable and demonstrably justified in a free and democratic </w:t>
      </w:r>
      <w:r w:rsidRPr="00E26F78">
        <w:lastRenderedPageBreak/>
        <w:t>society (s.1).</w:t>
      </w:r>
      <w:r>
        <w:t xml:space="preserve"> The onus is on a government actor seeking to </w:t>
      </w:r>
      <w:r w:rsidRPr="00E26F78">
        <w:t xml:space="preserve">uphold a limitation on a constitutional right </w:t>
      </w:r>
      <w:r>
        <w:t>to prove that the limitation is justified.</w:t>
      </w:r>
    </w:p>
    <w:p w14:paraId="06588837" w14:textId="77777777" w:rsidR="00630390" w:rsidRDefault="00630390" w:rsidP="002D31CD"/>
    <w:p w14:paraId="1F0C1057" w14:textId="658EBA1B" w:rsidR="00FB50C5" w:rsidRDefault="00630390" w:rsidP="00FB50C5">
      <w:r>
        <w:t>The onus will only be met by demonstrating on a</w:t>
      </w:r>
      <w:r w:rsidRPr="00E26F78">
        <w:t xml:space="preserve"> “preponderance of probabilit</w:t>
      </w:r>
      <w:r>
        <w:t>y</w:t>
      </w:r>
      <w:r w:rsidRPr="00E26F78">
        <w:t>” that the limitation is justified.</w:t>
      </w:r>
      <w:r>
        <w:rPr>
          <w:rStyle w:val="EndnoteReference"/>
        </w:rPr>
        <w:endnoteReference w:id="30"/>
      </w:r>
      <w:r w:rsidRPr="00E26F78">
        <w:t xml:space="preserve"> </w:t>
      </w:r>
      <w:r>
        <w:t xml:space="preserve">The </w:t>
      </w:r>
      <w:r w:rsidRPr="001E0EDC">
        <w:rPr>
          <w:i/>
          <w:iCs/>
        </w:rPr>
        <w:t>Oakes</w:t>
      </w:r>
      <w:r>
        <w:t xml:space="preserve"> case outlines how this is assessed in a four-part test</w:t>
      </w:r>
      <w:r w:rsidR="00FB50C5">
        <w:t>.</w:t>
      </w:r>
      <w:r>
        <w:rPr>
          <w:rStyle w:val="EndnoteReference"/>
        </w:rPr>
        <w:endnoteReference w:id="31"/>
      </w:r>
      <w:r w:rsidR="00FB50C5" w:rsidRPr="00FB50C5">
        <w:t xml:space="preserve"> </w:t>
      </w:r>
      <w:r w:rsidR="00FB50C5" w:rsidRPr="00E26F78">
        <w:t>As AI impacts various rights in different ways,</w:t>
      </w:r>
      <w:r w:rsidR="00FB50C5">
        <w:t xml:space="preserve"> the </w:t>
      </w:r>
      <w:r w:rsidR="00FB50C5" w:rsidRPr="00E35E05">
        <w:rPr>
          <w:i/>
          <w:iCs/>
        </w:rPr>
        <w:t>Oakes</w:t>
      </w:r>
      <w:r w:rsidR="00FB50C5">
        <w:t xml:space="preserve"> test may very well drive analysis of the validity and permissible uses of an AI system</w:t>
      </w:r>
      <w:r w:rsidR="00FB50C5" w:rsidRPr="0082606B">
        <w:t xml:space="preserve"> </w:t>
      </w:r>
      <w:r w:rsidR="00FB50C5">
        <w:t xml:space="preserve">particularly as the law expands to enact legislation that serves to enable and/or limit government actors’ utilization of artificial intelligence technology. According to </w:t>
      </w:r>
      <w:r w:rsidR="00FB50C5" w:rsidRPr="00FB50C5">
        <w:rPr>
          <w:i/>
          <w:iCs/>
        </w:rPr>
        <w:t>Oakes</w:t>
      </w:r>
      <w:r w:rsidR="00FB50C5">
        <w:t>, for any such law authorizing the use of AI to survive:</w:t>
      </w:r>
    </w:p>
    <w:p w14:paraId="34813F0C" w14:textId="2CDB9DCB" w:rsidR="00630390" w:rsidRDefault="00630390" w:rsidP="002D31CD"/>
    <w:p w14:paraId="5D5C8FDE" w14:textId="18709DF1" w:rsidR="00630390" w:rsidRPr="0083126B" w:rsidRDefault="00630390" w:rsidP="002D31CD">
      <w:pPr>
        <w:pStyle w:val="ListParagraph"/>
        <w:numPr>
          <w:ilvl w:val="0"/>
          <w:numId w:val="81"/>
        </w:numPr>
        <w:spacing w:after="160" w:line="259" w:lineRule="auto"/>
      </w:pPr>
      <w:r>
        <w:t xml:space="preserve">The impugned law must address </w:t>
      </w:r>
      <w:r w:rsidRPr="0083126B">
        <w:t>a “pressing and substantial</w:t>
      </w:r>
      <w:r>
        <w:t>”</w:t>
      </w:r>
      <w:r w:rsidRPr="0083126B">
        <w:t xml:space="preserve"> objective</w:t>
      </w:r>
      <w:r>
        <w:t>.</w:t>
      </w:r>
      <w:r w:rsidRPr="0083126B">
        <w:t xml:space="preserve"> </w:t>
      </w:r>
      <w:r>
        <w:t xml:space="preserve">The objective must be sufficiently important to </w:t>
      </w:r>
      <w:r w:rsidRPr="0083126B">
        <w:t>warrant</w:t>
      </w:r>
      <w:r>
        <w:t xml:space="preserve"> </w:t>
      </w:r>
      <w:r w:rsidRPr="0083126B">
        <w:t>overriding a constitutionally protected right or freedom</w:t>
      </w:r>
      <w:r>
        <w:t>.</w:t>
      </w:r>
      <w:r w:rsidR="00FB50C5">
        <w:rPr>
          <w:rStyle w:val="EndnoteReference"/>
        </w:rPr>
        <w:endnoteReference w:id="32"/>
      </w:r>
    </w:p>
    <w:p w14:paraId="43080FB0" w14:textId="77777777" w:rsidR="00630390" w:rsidRPr="00E26F78" w:rsidRDefault="00630390" w:rsidP="002D31CD">
      <w:pPr>
        <w:pStyle w:val="ListParagraph"/>
        <w:numPr>
          <w:ilvl w:val="0"/>
          <w:numId w:val="81"/>
        </w:numPr>
        <w:spacing w:after="160" w:line="259" w:lineRule="auto"/>
      </w:pPr>
      <w:r w:rsidRPr="00E26F78">
        <w:rPr>
          <w:color w:val="212121"/>
        </w:rPr>
        <w:t xml:space="preserve">The impugned law or policy must be </w:t>
      </w:r>
      <w:r>
        <w:rPr>
          <w:color w:val="212121"/>
        </w:rPr>
        <w:t>“</w:t>
      </w:r>
      <w:r w:rsidRPr="0083126B">
        <w:rPr>
          <w:color w:val="212121"/>
        </w:rPr>
        <w:t>rationally connected</w:t>
      </w:r>
      <w:r>
        <w:rPr>
          <w:color w:val="212121"/>
        </w:rPr>
        <w:t>”</w:t>
      </w:r>
      <w:r w:rsidRPr="0083126B">
        <w:rPr>
          <w:color w:val="212121"/>
        </w:rPr>
        <w:t xml:space="preserve"> </w:t>
      </w:r>
      <w:r w:rsidRPr="00E26F78">
        <w:rPr>
          <w:color w:val="212121"/>
        </w:rPr>
        <w:t xml:space="preserve">to </w:t>
      </w:r>
      <w:r>
        <w:rPr>
          <w:color w:val="212121"/>
        </w:rPr>
        <w:t>the</w:t>
      </w:r>
      <w:r w:rsidRPr="00E26F78">
        <w:rPr>
          <w:color w:val="212121"/>
        </w:rPr>
        <w:t xml:space="preserve"> pressing and substantial objective.</w:t>
      </w:r>
      <w:r>
        <w:rPr>
          <w:rStyle w:val="EndnoteReference"/>
          <w:color w:val="212121"/>
        </w:rPr>
        <w:endnoteReference w:id="33"/>
      </w:r>
    </w:p>
    <w:p w14:paraId="274EBD30" w14:textId="77777777" w:rsidR="00630390" w:rsidRPr="0083126B" w:rsidRDefault="00630390" w:rsidP="002D31CD">
      <w:pPr>
        <w:pStyle w:val="ListParagraph"/>
        <w:numPr>
          <w:ilvl w:val="0"/>
          <w:numId w:val="81"/>
        </w:numPr>
        <w:spacing w:after="160" w:line="259" w:lineRule="auto"/>
      </w:pPr>
      <w:r w:rsidRPr="0083126B">
        <w:rPr>
          <w:color w:val="212121"/>
        </w:rPr>
        <w:t xml:space="preserve">There must be minimal impairment in that the means employed to limit the right must be reasonable and demonstrably justified. The law must impair the </w:t>
      </w:r>
      <w:r w:rsidRPr="0083126B">
        <w:rPr>
          <w:i/>
          <w:iCs/>
          <w:color w:val="212121"/>
        </w:rPr>
        <w:t>Charter</w:t>
      </w:r>
      <w:r w:rsidRPr="0083126B">
        <w:rPr>
          <w:color w:val="212121"/>
        </w:rPr>
        <w:t xml:space="preserve"> right as little as possible or be “within a range of reasonably supportable alternatives.”</w:t>
      </w:r>
      <w:r>
        <w:rPr>
          <w:rStyle w:val="EndnoteReference"/>
          <w:color w:val="212121"/>
        </w:rPr>
        <w:endnoteReference w:id="34"/>
      </w:r>
    </w:p>
    <w:p w14:paraId="12BCA3A5" w14:textId="77777777" w:rsidR="00630390" w:rsidRPr="0083126B" w:rsidRDefault="00630390" w:rsidP="002D31CD">
      <w:pPr>
        <w:pStyle w:val="ListParagraph"/>
        <w:numPr>
          <w:ilvl w:val="0"/>
          <w:numId w:val="81"/>
        </w:numPr>
        <w:spacing w:after="160" w:line="259" w:lineRule="auto"/>
      </w:pPr>
      <w:r w:rsidRPr="0083126B">
        <w:t xml:space="preserve">There must be proportionality established between the effects of the limiting measure and the objective. “The more severe </w:t>
      </w:r>
      <w:r>
        <w:t>the</w:t>
      </w:r>
      <w:r w:rsidRPr="0083126B">
        <w:t xml:space="preserve"> deleterious effects of </w:t>
      </w:r>
      <w:r>
        <w:t>a</w:t>
      </w:r>
      <w:r w:rsidRPr="0083126B">
        <w:t xml:space="preserve"> limiting measure, the more important the objective must be.”</w:t>
      </w:r>
      <w:r>
        <w:rPr>
          <w:rStyle w:val="EndnoteReference"/>
        </w:rPr>
        <w:endnoteReference w:id="35"/>
      </w:r>
    </w:p>
    <w:p w14:paraId="15248150" w14:textId="3201B56F" w:rsidR="00630390" w:rsidRDefault="00FB50C5" w:rsidP="002D31CD">
      <w:r>
        <w:t>A</w:t>
      </w:r>
      <w:r w:rsidR="00630390">
        <w:t xml:space="preserve"> paper written by the David Asper Centre for Constitutional Rights considers how facial recognition technology</w:t>
      </w:r>
      <w:r w:rsidR="00204002">
        <w:t xml:space="preserve"> (FRT)</w:t>
      </w:r>
      <w:r w:rsidR="00630390">
        <w:t xml:space="preserve"> might be assessed against the </w:t>
      </w:r>
      <w:r w:rsidR="00630390" w:rsidRPr="00E35E05">
        <w:rPr>
          <w:i/>
          <w:iCs/>
        </w:rPr>
        <w:t xml:space="preserve">Oakes </w:t>
      </w:r>
      <w:r w:rsidR="00630390">
        <w:t>criteria.</w:t>
      </w:r>
      <w:r w:rsidR="00630390">
        <w:rPr>
          <w:rStyle w:val="EndnoteReference"/>
        </w:rPr>
        <w:endnoteReference w:id="36"/>
      </w:r>
    </w:p>
    <w:p w14:paraId="688FFF45" w14:textId="77777777" w:rsidR="00630390" w:rsidRDefault="00630390" w:rsidP="002D31CD"/>
    <w:p w14:paraId="4DA3402C" w14:textId="1EE2E0AD" w:rsidR="00630390" w:rsidRDefault="00630390" w:rsidP="002D31CD">
      <w:r>
        <w:t xml:space="preserve">In Asper’s analysis, courts are likely to find law enforcement use of facial recognition could meet the </w:t>
      </w:r>
      <w:r w:rsidRPr="00204002">
        <w:rPr>
          <w:i/>
          <w:iCs/>
        </w:rPr>
        <w:t>Oakes</w:t>
      </w:r>
      <w:r>
        <w:t xml:space="preserve"> criteria: that i</w:t>
      </w:r>
      <w:r w:rsidR="00204002">
        <w:t>t</w:t>
      </w:r>
      <w:r>
        <w:t xml:space="preserve"> serves a pressing and substantial objective; furthers effective and efficient policing; and that the use of FRT is rationally connected to those objectives.</w:t>
      </w:r>
    </w:p>
    <w:p w14:paraId="1083B0EA" w14:textId="77777777" w:rsidR="00630390" w:rsidRDefault="00630390" w:rsidP="002D31CD"/>
    <w:p w14:paraId="1FFFAFE5" w14:textId="090C53B3" w:rsidR="00630390" w:rsidRPr="00225845" w:rsidRDefault="00630390" w:rsidP="002D31CD">
      <w:r>
        <w:t>However, the analysis questions whether FRT would pass the minimal impairment test given its reliance on covert collection of biometric information, the increased risks incumbent with the immutable and personal nature of biometric data, and the availability of other investigative techniques</w:t>
      </w:r>
      <w:r w:rsidR="00204002">
        <w:t xml:space="preserve"> that could be used in the alternative</w:t>
      </w:r>
      <w:r>
        <w:t xml:space="preserve">. Notably, other investigative techniques do not need to be as effective as FRT, only that </w:t>
      </w:r>
      <w:r>
        <w:rPr>
          <w:rFonts w:eastAsia="ArialMT"/>
          <w:color w:val="050505"/>
        </w:rPr>
        <w:t>they “sufficiently achieve the intended goal.”</w:t>
      </w:r>
      <w:r>
        <w:rPr>
          <w:rStyle w:val="EndnoteReference"/>
          <w:rFonts w:eastAsia="ArialMT"/>
          <w:color w:val="050505"/>
        </w:rPr>
        <w:endnoteReference w:id="37"/>
      </w:r>
      <w:r>
        <w:rPr>
          <w:rFonts w:eastAsia="ArialMT"/>
          <w:color w:val="050505"/>
        </w:rPr>
        <w:t xml:space="preserve"> In this analysis, it remains uncertain whether the perceived benefits of FRT use by law enforcement would be found to outweigh its deleterious effects. It would also consider the disproportionate impact of technological inaccuracies upon minorities and FRT’s potential for built-in bias. At the same time, the analysis suggests that where technological flaws with FRT are found to </w:t>
      </w:r>
      <w:r>
        <w:rPr>
          <w:rFonts w:eastAsia="ArialMT"/>
          <w:color w:val="050505"/>
        </w:rPr>
        <w:lastRenderedPageBreak/>
        <w:t>be the result of novel or inaccurate training practices, courts may not find it more discriminatory than existing methods of identification. Finally, the paper opines that given the comparative speed at which FRT can identify suspects, that its use to “better identify perpetrators of crimes” potentially benefits “racialized people [who] are overrepresented as victims of crime,” the inference being that this would support a finding of proportionality.</w:t>
      </w:r>
      <w:r w:rsidR="004433F4">
        <w:rPr>
          <w:rStyle w:val="EndnoteReference"/>
          <w:rFonts w:eastAsia="ArialMT"/>
          <w:color w:val="050505"/>
        </w:rPr>
        <w:endnoteReference w:id="38"/>
      </w:r>
    </w:p>
    <w:p w14:paraId="62939695" w14:textId="77777777" w:rsidR="00630390" w:rsidRDefault="00630390" w:rsidP="002D31CD">
      <w:pPr>
        <w:rPr>
          <w:rFonts w:eastAsia="ArialMT"/>
          <w:color w:val="050505"/>
        </w:rPr>
      </w:pPr>
    </w:p>
    <w:p w14:paraId="796C65CD" w14:textId="14E61F06" w:rsidR="002C0B41" w:rsidRDefault="00CF5F0A" w:rsidP="002D31CD">
      <w:pPr>
        <w:rPr>
          <w:rFonts w:eastAsia="ArialMT"/>
          <w:color w:val="050505"/>
        </w:rPr>
      </w:pPr>
      <w:r>
        <w:rPr>
          <w:rFonts w:eastAsia="ArialMT"/>
          <w:color w:val="050505"/>
        </w:rPr>
        <w:t xml:space="preserve">Predictive policing tools offer another example that shows how </w:t>
      </w:r>
      <w:r w:rsidR="00630390">
        <w:rPr>
          <w:rFonts w:eastAsia="ArialMT"/>
          <w:color w:val="050505"/>
        </w:rPr>
        <w:t xml:space="preserve">the </w:t>
      </w:r>
      <w:r w:rsidR="00630390" w:rsidRPr="006A4597">
        <w:rPr>
          <w:rFonts w:eastAsia="ArialMT"/>
          <w:i/>
          <w:iCs/>
          <w:color w:val="050505"/>
        </w:rPr>
        <w:t>Oakes</w:t>
      </w:r>
      <w:r w:rsidR="00630390">
        <w:rPr>
          <w:rFonts w:eastAsia="ArialMT"/>
          <w:color w:val="050505"/>
        </w:rPr>
        <w:t xml:space="preserve"> test might be framed and applied differently in another context</w:t>
      </w:r>
      <w:r>
        <w:rPr>
          <w:rFonts w:eastAsia="ArialMT"/>
          <w:color w:val="050505"/>
        </w:rPr>
        <w:t xml:space="preserve">. </w:t>
      </w:r>
      <w:r w:rsidR="00630390">
        <w:rPr>
          <w:rFonts w:eastAsia="ArialMT"/>
          <w:color w:val="050505"/>
        </w:rPr>
        <w:t xml:space="preserve">It has been </w:t>
      </w:r>
      <w:r w:rsidR="00630390" w:rsidRPr="00486FCA">
        <w:rPr>
          <w:rFonts w:eastAsia="ArialMT"/>
          <w:color w:val="050505"/>
        </w:rPr>
        <w:t xml:space="preserve">argued that </w:t>
      </w:r>
      <w:r w:rsidR="00630390">
        <w:rPr>
          <w:rFonts w:eastAsia="ArialMT"/>
          <w:color w:val="050505"/>
        </w:rPr>
        <w:t>b</w:t>
      </w:r>
      <w:r w:rsidR="00630390" w:rsidRPr="00486FCA">
        <w:rPr>
          <w:rFonts w:eastAsia="ArialMT"/>
          <w:color w:val="050505"/>
        </w:rPr>
        <w:t xml:space="preserve">ias and discrimination </w:t>
      </w:r>
      <w:r w:rsidR="00630390">
        <w:rPr>
          <w:rFonts w:eastAsia="ArialMT"/>
          <w:color w:val="050505"/>
        </w:rPr>
        <w:t xml:space="preserve">are </w:t>
      </w:r>
      <w:r w:rsidR="00630390" w:rsidRPr="00486FCA">
        <w:rPr>
          <w:rFonts w:eastAsia="ArialMT"/>
          <w:color w:val="050505"/>
        </w:rPr>
        <w:t xml:space="preserve">built into </w:t>
      </w:r>
      <w:r>
        <w:rPr>
          <w:rFonts w:eastAsia="ArialMT"/>
          <w:color w:val="050505"/>
        </w:rPr>
        <w:t>predictive policing</w:t>
      </w:r>
      <w:r w:rsidR="00630390">
        <w:rPr>
          <w:rFonts w:eastAsia="ArialMT"/>
          <w:color w:val="050505"/>
        </w:rPr>
        <w:t xml:space="preserve"> </w:t>
      </w:r>
      <w:r w:rsidR="00630390" w:rsidRPr="00486FCA">
        <w:rPr>
          <w:rFonts w:eastAsia="ArialMT"/>
          <w:color w:val="050505"/>
        </w:rPr>
        <w:t xml:space="preserve">AI models </w:t>
      </w:r>
      <w:r w:rsidR="00630390">
        <w:rPr>
          <w:rFonts w:eastAsia="ArialMT"/>
          <w:color w:val="050505"/>
        </w:rPr>
        <w:t xml:space="preserve">by relying on </w:t>
      </w:r>
      <w:r w:rsidR="00630390" w:rsidRPr="00486FCA">
        <w:rPr>
          <w:rFonts w:eastAsia="ArialMT"/>
          <w:color w:val="050505"/>
        </w:rPr>
        <w:t>historical crime data</w:t>
      </w:r>
      <w:r w:rsidR="00630390">
        <w:rPr>
          <w:rFonts w:eastAsia="ArialMT"/>
          <w:color w:val="050505"/>
        </w:rPr>
        <w:t xml:space="preserve"> for training, and further, that this </w:t>
      </w:r>
      <w:r w:rsidR="00630390" w:rsidRPr="00486FCA">
        <w:rPr>
          <w:rFonts w:eastAsia="ArialMT"/>
          <w:color w:val="050505"/>
        </w:rPr>
        <w:t>threatens to perpetuate discriminatory policing practices and erode public trust in law enforcement.</w:t>
      </w:r>
      <w:r w:rsidR="00630390">
        <w:rPr>
          <w:rStyle w:val="EndnoteReference"/>
          <w:rFonts w:eastAsia="ArialMT"/>
          <w:color w:val="050505"/>
        </w:rPr>
        <w:endnoteReference w:id="39"/>
      </w:r>
      <w:r w:rsidR="00630390" w:rsidRPr="00486FCA">
        <w:rPr>
          <w:rFonts w:eastAsia="ArialMT"/>
          <w:color w:val="050505"/>
        </w:rPr>
        <w:t xml:space="preserve"> </w:t>
      </w:r>
      <w:r w:rsidR="00630390">
        <w:rPr>
          <w:rFonts w:eastAsia="ArialMT"/>
          <w:color w:val="050505"/>
        </w:rPr>
        <w:t>The analysis of the Asper Centre recognizes the potential for bias in FRT, framing several questions around the potential for the technology’s ability to “identify suspects” who then presumably may be singled out for further investigation.</w:t>
      </w:r>
      <w:r w:rsidR="00630390">
        <w:rPr>
          <w:rStyle w:val="EndnoteReference"/>
          <w:rFonts w:eastAsia="ArialMT"/>
          <w:color w:val="050505"/>
        </w:rPr>
        <w:endnoteReference w:id="40"/>
      </w:r>
    </w:p>
    <w:p w14:paraId="2D8694DF" w14:textId="77777777" w:rsidR="002C0B41" w:rsidRDefault="002C0B41" w:rsidP="002D31CD">
      <w:pPr>
        <w:rPr>
          <w:rFonts w:eastAsia="ArialMT"/>
          <w:color w:val="050505"/>
        </w:rPr>
      </w:pPr>
    </w:p>
    <w:p w14:paraId="2F0BABF9" w14:textId="4E8A5FB5" w:rsidR="00630390" w:rsidRPr="00EA1F75" w:rsidRDefault="00630390" w:rsidP="002D31CD">
      <w:pPr>
        <w:rPr>
          <w:rFonts w:eastAsia="ArialMT"/>
          <w:color w:val="050505"/>
        </w:rPr>
      </w:pPr>
      <w:r>
        <w:rPr>
          <w:rFonts w:eastAsia="ArialMT"/>
          <w:color w:val="050505"/>
        </w:rPr>
        <w:t>At the same time, they suggest that the presence of a “human in the loop” urges different conclusions regarding FRT than those which are likely to be drawn when predictive policing’s impact is characterized as detrimental to entire communities.  In the predictive policing context consider:</w:t>
      </w:r>
    </w:p>
    <w:p w14:paraId="6DD149BE" w14:textId="77777777" w:rsidR="00630390" w:rsidRPr="0056594C" w:rsidRDefault="00630390" w:rsidP="002D31CD">
      <w:pPr>
        <w:pStyle w:val="ListParagraph"/>
        <w:rPr>
          <w:rFonts w:eastAsia="ArialMT"/>
          <w:color w:val="050505"/>
        </w:rPr>
      </w:pPr>
    </w:p>
    <w:p w14:paraId="1106F982" w14:textId="70355E0C" w:rsidR="00630390" w:rsidRDefault="00630390" w:rsidP="002D31CD">
      <w:pPr>
        <w:pStyle w:val="ListParagraph"/>
        <w:numPr>
          <w:ilvl w:val="1"/>
          <w:numId w:val="83"/>
        </w:numPr>
        <w:spacing w:after="160" w:line="259" w:lineRule="auto"/>
        <w:rPr>
          <w:rFonts w:eastAsia="ArialMT"/>
          <w:color w:val="050505"/>
        </w:rPr>
      </w:pPr>
      <w:r>
        <w:rPr>
          <w:rFonts w:eastAsia="ArialMT"/>
          <w:color w:val="050505"/>
        </w:rPr>
        <w:t xml:space="preserve">Whether a tool </w:t>
      </w:r>
      <w:r w:rsidR="002C0B41">
        <w:rPr>
          <w:rFonts w:eastAsia="ArialMT"/>
          <w:color w:val="050505"/>
        </w:rPr>
        <w:t xml:space="preserve">which may be </w:t>
      </w:r>
      <w:r>
        <w:rPr>
          <w:rFonts w:eastAsia="ArialMT"/>
          <w:color w:val="050505"/>
        </w:rPr>
        <w:t>biased and discriminatory from its inception and in its application, could ever be found to be rationally connected to “efficacy” in policing</w:t>
      </w:r>
      <w:r w:rsidR="00B50F44">
        <w:rPr>
          <w:rFonts w:eastAsia="ArialMT"/>
          <w:color w:val="050505"/>
        </w:rPr>
        <w:t xml:space="preserve"> (and how such biased and discriminatory design might be investigated and tested in court).</w:t>
      </w:r>
    </w:p>
    <w:p w14:paraId="539EB0E4" w14:textId="77777777" w:rsidR="00630390" w:rsidRPr="009C1B4B" w:rsidRDefault="00630390" w:rsidP="002D31CD">
      <w:pPr>
        <w:pStyle w:val="ListParagraph"/>
        <w:numPr>
          <w:ilvl w:val="1"/>
          <w:numId w:val="83"/>
        </w:numPr>
        <w:spacing w:after="160" w:line="259" w:lineRule="auto"/>
        <w:rPr>
          <w:rFonts w:eastAsia="ArialMT"/>
          <w:color w:val="050505"/>
        </w:rPr>
      </w:pPr>
      <w:r>
        <w:rPr>
          <w:rFonts w:eastAsia="ArialMT"/>
          <w:color w:val="050505"/>
        </w:rPr>
        <w:t>How such a tool, applied to communities who have suffered historically from bias and discrimination in policing practices, can be found to “minimally impair” the rights in question.</w:t>
      </w:r>
    </w:p>
    <w:p w14:paraId="09F4EB4E" w14:textId="6B3DB8A6" w:rsidR="00630390" w:rsidRPr="003268AC" w:rsidRDefault="007D0C78" w:rsidP="002D31CD">
      <w:pPr>
        <w:pStyle w:val="ListParagraph"/>
        <w:numPr>
          <w:ilvl w:val="1"/>
          <w:numId w:val="83"/>
        </w:numPr>
        <w:spacing w:after="160" w:line="259" w:lineRule="auto"/>
        <w:rPr>
          <w:rFonts w:eastAsia="ArialMT"/>
          <w:color w:val="050505"/>
        </w:rPr>
      </w:pPr>
      <w:r>
        <w:rPr>
          <w:rFonts w:eastAsia="ArialMT"/>
          <w:color w:val="050505"/>
        </w:rPr>
        <w:t>Whether</w:t>
      </w:r>
      <w:r w:rsidR="00630390">
        <w:rPr>
          <w:rFonts w:eastAsia="ArialMT"/>
          <w:color w:val="050505"/>
        </w:rPr>
        <w:t xml:space="preserve"> the criticism that biased and discriminatory policing practices erode public trust in law enforcement </w:t>
      </w:r>
      <w:r>
        <w:rPr>
          <w:rFonts w:eastAsia="ArialMT"/>
          <w:color w:val="050505"/>
        </w:rPr>
        <w:t xml:space="preserve">can </w:t>
      </w:r>
      <w:r w:rsidR="00630390">
        <w:rPr>
          <w:rFonts w:eastAsia="ArialMT"/>
          <w:color w:val="050505"/>
        </w:rPr>
        <w:t xml:space="preserve">be cited as relevant to establishing the lack of a rational connection, considered elsewhere in the </w:t>
      </w:r>
      <w:r w:rsidR="00630390" w:rsidRPr="007D0C78">
        <w:rPr>
          <w:rFonts w:eastAsia="ArialMT"/>
          <w:i/>
          <w:iCs/>
          <w:color w:val="050505"/>
        </w:rPr>
        <w:t>Oakes</w:t>
      </w:r>
      <w:r w:rsidR="00630390">
        <w:rPr>
          <w:rFonts w:eastAsia="ArialMT"/>
          <w:color w:val="050505"/>
        </w:rPr>
        <w:t xml:space="preserve"> analysis, or considered at all?</w:t>
      </w:r>
    </w:p>
    <w:p w14:paraId="09FE31CE" w14:textId="77777777" w:rsidR="00630390" w:rsidRPr="00A77481" w:rsidRDefault="00630390" w:rsidP="002D31CD">
      <w:pPr>
        <w:pStyle w:val="ListParagraph"/>
        <w:numPr>
          <w:ilvl w:val="1"/>
          <w:numId w:val="83"/>
        </w:numPr>
        <w:spacing w:after="160" w:line="259" w:lineRule="auto"/>
        <w:rPr>
          <w:rFonts w:eastAsia="ArialMT"/>
          <w:color w:val="050505"/>
        </w:rPr>
      </w:pPr>
      <w:r>
        <w:rPr>
          <w:rFonts w:eastAsia="ArialMT"/>
          <w:color w:val="050505"/>
        </w:rPr>
        <w:t xml:space="preserve">Will the analysis change when the detrimental impact of the law related to the technology is assessed to affect an entire community versus some of its individual members (those identified as suspects through FRT)?  </w:t>
      </w:r>
    </w:p>
    <w:p w14:paraId="77C97197" w14:textId="77777777" w:rsidR="00630390" w:rsidRPr="00FA5E6D" w:rsidRDefault="00630390" w:rsidP="002D31CD">
      <w:pPr>
        <w:pStyle w:val="ListParagraph"/>
        <w:numPr>
          <w:ilvl w:val="1"/>
          <w:numId w:val="83"/>
        </w:numPr>
        <w:spacing w:after="160" w:line="259" w:lineRule="auto"/>
        <w:rPr>
          <w:rFonts w:eastAsia="ArialMT"/>
          <w:color w:val="050505"/>
        </w:rPr>
      </w:pPr>
      <w:r>
        <w:rPr>
          <w:rFonts w:eastAsia="ArialMT"/>
          <w:color w:val="050505"/>
        </w:rPr>
        <w:t>If the datasets that the tools are trained upon are biased, such that their accuracy is compromised, is there any meaningful distinction to be drawn when assessing the harm done by suggesting that the deleterious effects do not impact the community, but rather some of its individual members?</w:t>
      </w:r>
    </w:p>
    <w:p w14:paraId="0617B22F" w14:textId="23EA9212" w:rsidR="00630390" w:rsidRDefault="00630390" w:rsidP="002D31CD">
      <w:r>
        <w:t xml:space="preserve">Some indications regarding how an </w:t>
      </w:r>
      <w:r w:rsidRPr="00B50F44">
        <w:rPr>
          <w:i/>
          <w:iCs/>
        </w:rPr>
        <w:t>Oakes</w:t>
      </w:r>
      <w:r>
        <w:t xml:space="preserve"> analysis might interpret laws defining permissible utilization of AI </w:t>
      </w:r>
      <w:r w:rsidR="00445DB0">
        <w:t xml:space="preserve">is found in several cases in the following contexts. </w:t>
      </w:r>
    </w:p>
    <w:p w14:paraId="78009B56" w14:textId="77777777" w:rsidR="00630390" w:rsidRPr="00E26F78" w:rsidRDefault="00630390" w:rsidP="002D31CD"/>
    <w:p w14:paraId="561B6002" w14:textId="68A7C2EB" w:rsidR="00630390" w:rsidRDefault="00630390" w:rsidP="002D31CD">
      <w:pPr>
        <w:pStyle w:val="ListParagraph"/>
        <w:numPr>
          <w:ilvl w:val="0"/>
          <w:numId w:val="80"/>
        </w:numPr>
        <w:spacing w:after="160" w:line="259" w:lineRule="auto"/>
      </w:pPr>
      <w:r w:rsidRPr="007F7384">
        <w:rPr>
          <w:b/>
          <w:bCs/>
        </w:rPr>
        <w:lastRenderedPageBreak/>
        <w:t>Police investigations, tools and investigative techniques:</w:t>
      </w:r>
      <w:r>
        <w:rPr>
          <w:b/>
          <w:bCs/>
        </w:rPr>
        <w:t xml:space="preserve"> </w:t>
      </w:r>
      <w:r>
        <w:t xml:space="preserve">AI tools are often criticized for being used invisibly unless there are specific requirements for disclosure, transparency, and accountability. </w:t>
      </w:r>
      <w:r w:rsidR="0090522F">
        <w:t xml:space="preserve">For instance, </w:t>
      </w:r>
      <w:r w:rsidRPr="00E26F78">
        <w:rPr>
          <w:i/>
          <w:iCs/>
        </w:rPr>
        <w:t>R. v. Mentuck</w:t>
      </w:r>
      <w:r w:rsidRPr="00E26F78">
        <w:t xml:space="preserve"> </w:t>
      </w:r>
      <w:r>
        <w:t>found that</w:t>
      </w:r>
      <w:r w:rsidRPr="00E26F78">
        <w:t xml:space="preserve"> protecting police investigative techniques </w:t>
      </w:r>
      <w:r>
        <w:t xml:space="preserve">and </w:t>
      </w:r>
      <w:r w:rsidRPr="00E26F78">
        <w:t>operational methods</w:t>
      </w:r>
      <w:r>
        <w:t xml:space="preserve"> at issue was </w:t>
      </w:r>
      <w:r w:rsidRPr="00E26F78">
        <w:t xml:space="preserve">not justified but </w:t>
      </w:r>
      <w:r>
        <w:t xml:space="preserve">that a </w:t>
      </w:r>
      <w:r w:rsidR="00B50F44" w:rsidRPr="00E26F78">
        <w:t>one-year</w:t>
      </w:r>
      <w:r w:rsidRPr="00E26F78">
        <w:t xml:space="preserve"> ban on publication of the undercover officer’s identity </w:t>
      </w:r>
      <w:r>
        <w:t xml:space="preserve">was </w:t>
      </w:r>
      <w:r w:rsidRPr="00E26F78">
        <w:t>justified.</w:t>
      </w:r>
      <w:r w:rsidR="0090522F" w:rsidRPr="0090522F">
        <w:rPr>
          <w:rStyle w:val="EndnoteReference"/>
        </w:rPr>
        <w:endnoteReference w:id="41"/>
      </w:r>
    </w:p>
    <w:p w14:paraId="733F09A3" w14:textId="77777777" w:rsidR="00630390" w:rsidRPr="007F7384" w:rsidRDefault="00630390" w:rsidP="002D31CD">
      <w:pPr>
        <w:pStyle w:val="ListParagraph"/>
      </w:pPr>
    </w:p>
    <w:p w14:paraId="5461950B" w14:textId="397DF874" w:rsidR="00630390" w:rsidRDefault="00630390" w:rsidP="002D31CD">
      <w:pPr>
        <w:pStyle w:val="ListParagraph"/>
        <w:numPr>
          <w:ilvl w:val="0"/>
          <w:numId w:val="80"/>
        </w:numPr>
        <w:spacing w:after="160" w:line="259" w:lineRule="auto"/>
      </w:pPr>
      <w:r w:rsidRPr="007F7384">
        <w:rPr>
          <w:b/>
          <w:bCs/>
        </w:rPr>
        <w:t>Risk assessment and profiling:</w:t>
      </w:r>
      <w:r>
        <w:t xml:space="preserve"> The use of AI tools for risk assessment is often criticized for reproducing historically biased and discriminatory data sets, while also being ignorant of individual circumstances and social, political, and economic considerations that inform risk assessment.</w:t>
      </w:r>
      <w:r w:rsidR="00715D15">
        <w:t xml:space="preserve"> The case of</w:t>
      </w:r>
      <w:r>
        <w:t xml:space="preserve"> </w:t>
      </w:r>
      <w:r w:rsidRPr="009509BF">
        <w:rPr>
          <w:i/>
          <w:iCs/>
        </w:rPr>
        <w:t>R. v. Ndhlovu</w:t>
      </w:r>
      <w:r w:rsidR="00B727CD">
        <w:t>, determined that a sex offender registry was overbroad where any past history would result in mandatory registration. The case suggests that AI risk assessment will be subject to limitations where it is unable to show that the assessed risk is more than speculative and not connected to the prevention of offences.</w:t>
      </w:r>
      <w:r w:rsidR="00B727CD" w:rsidRPr="00715D15">
        <w:rPr>
          <w:rStyle w:val="EndnoteReference"/>
        </w:rPr>
        <w:endnoteReference w:id="42"/>
      </w:r>
    </w:p>
    <w:p w14:paraId="3E9FB750" w14:textId="77777777" w:rsidR="00630390" w:rsidRDefault="00630390" w:rsidP="002D31CD">
      <w:pPr>
        <w:pStyle w:val="ListParagraph"/>
      </w:pPr>
    </w:p>
    <w:p w14:paraId="10485C9F" w14:textId="77777777" w:rsidR="00630390" w:rsidRPr="00812A8F" w:rsidRDefault="00630390" w:rsidP="002D31CD">
      <w:pPr>
        <w:pStyle w:val="ListParagraph"/>
        <w:numPr>
          <w:ilvl w:val="0"/>
          <w:numId w:val="80"/>
        </w:numPr>
        <w:spacing w:after="160" w:line="259" w:lineRule="auto"/>
      </w:pPr>
      <w:r>
        <w:rPr>
          <w:b/>
          <w:bCs/>
          <w:color w:val="000000"/>
          <w:shd w:val="clear" w:color="auto" w:fill="FFFFFF"/>
        </w:rPr>
        <w:t>Risk assessments must take individual circumstances into account:</w:t>
      </w:r>
      <w:r>
        <w:rPr>
          <w:color w:val="000000"/>
          <w:shd w:val="clear" w:color="auto" w:fill="FFFFFF"/>
        </w:rPr>
        <w:t xml:space="preserve"> AI risk assessment tools are often criticized for not taking individual human circumstances into account, and for failing to adequately consider social context. </w:t>
      </w:r>
      <w:r w:rsidRPr="00E26F78">
        <w:rPr>
          <w:color w:val="000000"/>
          <w:shd w:val="clear" w:color="auto" w:fill="FFFFFF"/>
        </w:rPr>
        <w:t>Moreover, judges make risk assessments routinely, including those informed by expert assessments.</w:t>
      </w:r>
      <w:r>
        <w:rPr>
          <w:rStyle w:val="EndnoteReference"/>
          <w:color w:val="000000"/>
          <w:shd w:val="clear" w:color="auto" w:fill="FFFFFF"/>
        </w:rPr>
        <w:endnoteReference w:id="43"/>
      </w:r>
      <w:r>
        <w:rPr>
          <w:color w:val="000000"/>
          <w:shd w:val="clear" w:color="auto" w:fill="FFFFFF"/>
        </w:rPr>
        <w:t xml:space="preserve"> </w:t>
      </w:r>
    </w:p>
    <w:p w14:paraId="4315EA19" w14:textId="77777777" w:rsidR="00630390" w:rsidRDefault="00630390" w:rsidP="002D31CD">
      <w:pPr>
        <w:pStyle w:val="ListParagraph"/>
      </w:pPr>
    </w:p>
    <w:p w14:paraId="54991A1B" w14:textId="76E28D3E" w:rsidR="00630390" w:rsidRPr="003A724D" w:rsidRDefault="00630390" w:rsidP="003A724D">
      <w:pPr>
        <w:pStyle w:val="ListParagraph"/>
        <w:numPr>
          <w:ilvl w:val="0"/>
          <w:numId w:val="80"/>
        </w:numPr>
        <w:spacing w:after="160" w:line="288" w:lineRule="atLeast"/>
        <w:rPr>
          <w:rFonts w:eastAsia="Times New Roman"/>
          <w:color w:val="000000"/>
          <w:lang w:eastAsia="en-CA"/>
        </w:rPr>
      </w:pPr>
      <w:r w:rsidRPr="00F614B0">
        <w:rPr>
          <w:b/>
          <w:bCs/>
          <w:color w:val="000000"/>
          <w:shd w:val="clear" w:color="auto" w:fill="FFFFFF"/>
        </w:rPr>
        <w:t xml:space="preserve">Administrative </w:t>
      </w:r>
      <w:r w:rsidR="00455691">
        <w:rPr>
          <w:b/>
          <w:bCs/>
          <w:color w:val="000000"/>
          <w:shd w:val="clear" w:color="auto" w:fill="FFFFFF"/>
        </w:rPr>
        <w:t>i</w:t>
      </w:r>
      <w:r w:rsidRPr="00F614B0">
        <w:rPr>
          <w:b/>
          <w:bCs/>
          <w:color w:val="000000"/>
          <w:shd w:val="clear" w:color="auto" w:fill="FFFFFF"/>
        </w:rPr>
        <w:t xml:space="preserve">nconvenience and </w:t>
      </w:r>
      <w:r w:rsidR="00455691">
        <w:rPr>
          <w:b/>
          <w:bCs/>
          <w:color w:val="000000"/>
          <w:shd w:val="clear" w:color="auto" w:fill="FFFFFF"/>
        </w:rPr>
        <w:t>e</w:t>
      </w:r>
      <w:r w:rsidRPr="00F614B0">
        <w:rPr>
          <w:b/>
          <w:bCs/>
          <w:color w:val="000000"/>
          <w:shd w:val="clear" w:color="auto" w:fill="FFFFFF"/>
        </w:rPr>
        <w:t xml:space="preserve">nforcement </w:t>
      </w:r>
      <w:r w:rsidR="00455691">
        <w:rPr>
          <w:b/>
          <w:bCs/>
          <w:color w:val="000000"/>
          <w:shd w:val="clear" w:color="auto" w:fill="FFFFFF"/>
        </w:rPr>
        <w:t>d</w:t>
      </w:r>
      <w:r w:rsidRPr="00F614B0">
        <w:rPr>
          <w:b/>
          <w:bCs/>
          <w:color w:val="000000"/>
          <w:shd w:val="clear" w:color="auto" w:fill="FFFFFF"/>
        </w:rPr>
        <w:t xml:space="preserve">o not </w:t>
      </w:r>
      <w:r w:rsidR="00455691">
        <w:rPr>
          <w:b/>
          <w:bCs/>
          <w:color w:val="000000"/>
          <w:shd w:val="clear" w:color="auto" w:fill="FFFFFF"/>
        </w:rPr>
        <w:t>o</w:t>
      </w:r>
      <w:r w:rsidRPr="00F614B0">
        <w:rPr>
          <w:b/>
          <w:bCs/>
          <w:color w:val="000000"/>
          <w:shd w:val="clear" w:color="auto" w:fill="FFFFFF"/>
        </w:rPr>
        <w:t xml:space="preserve">verride </w:t>
      </w:r>
      <w:r w:rsidR="00455691">
        <w:rPr>
          <w:b/>
          <w:bCs/>
          <w:color w:val="000000"/>
          <w:shd w:val="clear" w:color="auto" w:fill="FFFFFF"/>
        </w:rPr>
        <w:t>c</w:t>
      </w:r>
      <w:r w:rsidRPr="00F614B0">
        <w:rPr>
          <w:b/>
          <w:bCs/>
          <w:color w:val="000000"/>
          <w:shd w:val="clear" w:color="auto" w:fill="FFFFFF"/>
        </w:rPr>
        <w:t xml:space="preserve">ivil </w:t>
      </w:r>
      <w:r w:rsidR="00455691">
        <w:rPr>
          <w:b/>
          <w:bCs/>
          <w:color w:val="000000"/>
          <w:shd w:val="clear" w:color="auto" w:fill="FFFFFF"/>
        </w:rPr>
        <w:t>l</w:t>
      </w:r>
      <w:r w:rsidRPr="00F614B0">
        <w:rPr>
          <w:b/>
          <w:bCs/>
          <w:color w:val="000000"/>
          <w:shd w:val="clear" w:color="auto" w:fill="FFFFFF"/>
        </w:rPr>
        <w:t xml:space="preserve">iberties: </w:t>
      </w:r>
      <w:r w:rsidRPr="00F614B0">
        <w:rPr>
          <w:color w:val="000000"/>
          <w:shd w:val="clear" w:color="auto" w:fill="FFFFFF"/>
        </w:rPr>
        <w:t xml:space="preserve">A key benefit of AI-enabled systems is expediency. But the expediency that AI affords is often criticized as negatively impacting constitutional rights, including civil liberties. </w:t>
      </w:r>
      <w:r w:rsidR="004D2CFD">
        <w:rPr>
          <w:color w:val="000000"/>
          <w:shd w:val="clear" w:color="auto" w:fill="FFFFFF"/>
        </w:rPr>
        <w:t xml:space="preserve">Several cases – including </w:t>
      </w:r>
      <w:r w:rsidRPr="00F614B0">
        <w:rPr>
          <w:i/>
          <w:iCs/>
        </w:rPr>
        <w:t>R. v. Ndhlovu</w:t>
      </w:r>
      <w:r w:rsidRPr="00F614B0">
        <w:t>,</w:t>
      </w:r>
      <w:r>
        <w:rPr>
          <w:rStyle w:val="EndnoteReference"/>
        </w:rPr>
        <w:endnoteReference w:id="44"/>
      </w:r>
      <w:r>
        <w:t xml:space="preserve"> </w:t>
      </w:r>
      <w:r w:rsidRPr="00F614B0">
        <w:rPr>
          <w:i/>
          <w:iCs/>
        </w:rPr>
        <w:t>Canada (Attorney General) v. Bedford</w:t>
      </w:r>
      <w:r>
        <w:t>,</w:t>
      </w:r>
      <w:r w:rsidRPr="003B6CA8">
        <w:rPr>
          <w:rStyle w:val="EndnoteReference"/>
        </w:rPr>
        <w:endnoteReference w:id="45"/>
      </w:r>
      <w:r w:rsidRPr="00F614B0">
        <w:t xml:space="preserve"> </w:t>
      </w:r>
      <w:r w:rsidRPr="00F614B0">
        <w:rPr>
          <w:i/>
          <w:iCs/>
        </w:rPr>
        <w:t>Carter v. Canada (Attorney General)</w:t>
      </w:r>
      <w:r>
        <w:t>,</w:t>
      </w:r>
      <w:r w:rsidRPr="003B6CA8">
        <w:rPr>
          <w:rStyle w:val="EndnoteReference"/>
        </w:rPr>
        <w:endnoteReference w:id="46"/>
      </w:r>
      <w:r>
        <w:t xml:space="preserve"> and</w:t>
      </w:r>
      <w:r w:rsidRPr="00F614B0">
        <w:t xml:space="preserve"> </w:t>
      </w:r>
      <w:r w:rsidRPr="00F614B0">
        <w:rPr>
          <w:i/>
          <w:iCs/>
        </w:rPr>
        <w:t>R. v. Safarzadeh-Markhali</w:t>
      </w:r>
      <w:r w:rsidRPr="003B6CA8">
        <w:rPr>
          <w:rStyle w:val="EndnoteReference"/>
        </w:rPr>
        <w:endnoteReference w:id="47"/>
      </w:r>
      <w:r w:rsidR="004D2CFD">
        <w:rPr>
          <w:color w:val="000000"/>
          <w:shd w:val="clear" w:color="auto" w:fill="FFFFFF"/>
        </w:rPr>
        <w:t>–</w:t>
      </w:r>
      <w:r w:rsidR="004D2CFD">
        <w:rPr>
          <w:rFonts w:eastAsia="Times New Roman"/>
          <w:color w:val="000000"/>
          <w:lang w:eastAsia="en-CA"/>
        </w:rPr>
        <w:t xml:space="preserve"> all </w:t>
      </w:r>
      <w:r w:rsidRPr="00F614B0">
        <w:rPr>
          <w:rFonts w:eastAsia="Times New Roman"/>
          <w:color w:val="000000"/>
          <w:lang w:eastAsia="en-CA"/>
        </w:rPr>
        <w:t xml:space="preserve">affirm that Parliament cannot rely on administrative convenience </w:t>
      </w:r>
      <w:r w:rsidR="004D2CFD" w:rsidRPr="00F614B0">
        <w:rPr>
          <w:rFonts w:eastAsia="Times New Roman"/>
          <w:color w:val="000000"/>
          <w:lang w:eastAsia="en-CA"/>
        </w:rPr>
        <w:t>enforcement practicalit</w:t>
      </w:r>
      <w:r w:rsidR="004D2CFD">
        <w:rPr>
          <w:rFonts w:eastAsia="Times New Roman"/>
          <w:color w:val="000000"/>
          <w:lang w:eastAsia="en-CA"/>
        </w:rPr>
        <w:t>ies</w:t>
      </w:r>
      <w:r w:rsidR="004D2CFD" w:rsidRPr="00F614B0">
        <w:rPr>
          <w:rFonts w:eastAsia="Times New Roman"/>
          <w:color w:val="000000"/>
          <w:lang w:eastAsia="en-CA"/>
        </w:rPr>
        <w:t xml:space="preserve"> </w:t>
      </w:r>
      <w:r w:rsidRPr="00F614B0">
        <w:rPr>
          <w:rFonts w:eastAsia="Times New Roman"/>
          <w:color w:val="000000"/>
          <w:lang w:eastAsia="en-CA"/>
        </w:rPr>
        <w:t xml:space="preserve">to immunize a law from overbreadth under s. 7 of </w:t>
      </w:r>
      <w:r w:rsidR="000A36AF">
        <w:rPr>
          <w:rFonts w:eastAsia="Times New Roman"/>
          <w:color w:val="000000"/>
          <w:lang w:eastAsia="en-CA"/>
        </w:rPr>
        <w:t xml:space="preserve">the </w:t>
      </w:r>
      <w:r w:rsidRPr="000A36AF">
        <w:rPr>
          <w:rFonts w:eastAsia="Times New Roman"/>
          <w:i/>
          <w:iCs/>
          <w:color w:val="000000"/>
          <w:lang w:eastAsia="en-CA"/>
        </w:rPr>
        <w:t>Charter</w:t>
      </w:r>
      <w:r w:rsidRPr="00F614B0">
        <w:rPr>
          <w:rFonts w:eastAsia="Times New Roman"/>
          <w:color w:val="000000"/>
          <w:lang w:eastAsia="en-CA"/>
        </w:rPr>
        <w:t>.</w:t>
      </w:r>
    </w:p>
    <w:p w14:paraId="13F5BB5F" w14:textId="77777777" w:rsidR="004D2CFD" w:rsidRPr="00E95199" w:rsidRDefault="004D2CFD" w:rsidP="002D31CD">
      <w:pPr>
        <w:pStyle w:val="ListParagraph"/>
        <w:rPr>
          <w:highlight w:val="cyan"/>
        </w:rPr>
      </w:pPr>
    </w:p>
    <w:p w14:paraId="5E953744" w14:textId="225D3349" w:rsidR="00630390" w:rsidRPr="00D6562E" w:rsidRDefault="00630390" w:rsidP="00CC46CA">
      <w:pPr>
        <w:pStyle w:val="Heading3"/>
        <w:numPr>
          <w:ilvl w:val="2"/>
          <w:numId w:val="79"/>
        </w:numPr>
        <w:rPr>
          <w:rFonts w:asciiTheme="minorHAnsi" w:hAnsiTheme="minorHAnsi" w:cstheme="minorHAnsi"/>
        </w:rPr>
      </w:pPr>
      <w:bookmarkStart w:id="22" w:name="_Toc176724456"/>
      <w:bookmarkStart w:id="23" w:name="_Toc195597978"/>
      <w:r>
        <w:rPr>
          <w:rFonts w:asciiTheme="minorHAnsi" w:hAnsiTheme="minorHAnsi" w:cstheme="minorHAnsi"/>
        </w:rPr>
        <w:t>The Canada Evidence Act</w:t>
      </w:r>
      <w:bookmarkEnd w:id="22"/>
      <w:bookmarkEnd w:id="23"/>
    </w:p>
    <w:p w14:paraId="1D761B46" w14:textId="77777777" w:rsidR="00630390" w:rsidRPr="00D6562E" w:rsidRDefault="00630390" w:rsidP="0069073E"/>
    <w:p w14:paraId="296E6443" w14:textId="46EEE5A3" w:rsidR="00630390" w:rsidRDefault="00630390" w:rsidP="00F968D9">
      <w:r w:rsidRPr="00D427C3">
        <w:t xml:space="preserve">The </w:t>
      </w:r>
      <w:r w:rsidRPr="00D427C3">
        <w:rPr>
          <w:i/>
          <w:iCs/>
        </w:rPr>
        <w:t>Canada Evidence Act</w:t>
      </w:r>
      <w:r w:rsidRPr="00D427C3">
        <w:t xml:space="preserve"> (</w:t>
      </w:r>
      <w:r w:rsidRPr="00D427C3">
        <w:rPr>
          <w:i/>
          <w:iCs/>
        </w:rPr>
        <w:t>CEA</w:t>
      </w:r>
      <w:r w:rsidRPr="00D427C3">
        <w:t>)</w:t>
      </w:r>
      <w:r>
        <w:rPr>
          <w:rStyle w:val="EndnoteReference"/>
        </w:rPr>
        <w:endnoteReference w:id="48"/>
      </w:r>
      <w:r w:rsidRPr="00D427C3">
        <w:t xml:space="preserve"> codifies rules of evidence in court proceedings conducted under federal statutes</w:t>
      </w:r>
      <w:r>
        <w:t xml:space="preserve"> such as the </w:t>
      </w:r>
      <w:r w:rsidRPr="0058757B">
        <w:rPr>
          <w:i/>
          <w:iCs/>
        </w:rPr>
        <w:t>Criminal Code</w:t>
      </w:r>
      <w:r>
        <w:t xml:space="preserve"> and the </w:t>
      </w:r>
      <w:r w:rsidRPr="0058757B">
        <w:rPr>
          <w:i/>
          <w:iCs/>
        </w:rPr>
        <w:t>Controlled Drugs and Substances Act</w:t>
      </w:r>
      <w:r w:rsidR="00F769FE">
        <w:t>,</w:t>
      </w:r>
      <w:r w:rsidR="00F769FE">
        <w:rPr>
          <w:rStyle w:val="EndnoteReference"/>
        </w:rPr>
        <w:endnoteReference w:id="49"/>
      </w:r>
      <w:r w:rsidRPr="00F769FE">
        <w:t xml:space="preserve"> </w:t>
      </w:r>
      <w:r>
        <w:t>pursuant to which most criminal litigation is conducted</w:t>
      </w:r>
      <w:r w:rsidRPr="00D427C3">
        <w:t>.</w:t>
      </w:r>
      <w:r>
        <w:t xml:space="preserve"> </w:t>
      </w:r>
      <w:r w:rsidR="009F4FFA">
        <w:rPr>
          <w:color w:val="000000"/>
        </w:rPr>
        <w:t>Artificial intelligence seems poised to befuddle the existing provisions of the CEA in numerous ways.</w:t>
      </w:r>
      <w:r w:rsidR="009F4FFA">
        <w:t xml:space="preserve"> T</w:t>
      </w:r>
      <w:r w:rsidRPr="00D427C3">
        <w:t xml:space="preserve">he </w:t>
      </w:r>
      <w:r w:rsidRPr="00167335">
        <w:t>CEA</w:t>
      </w:r>
      <w:r w:rsidRPr="00D427C3">
        <w:t xml:space="preserve"> governs both aspects of witness testimony and</w:t>
      </w:r>
      <w:r>
        <w:t xml:space="preserve"> the admissibility of</w:t>
      </w:r>
      <w:r w:rsidRPr="00D427C3">
        <w:t xml:space="preserve"> “documentary” evidence.</w:t>
      </w:r>
    </w:p>
    <w:p w14:paraId="624D9FE5" w14:textId="77777777" w:rsidR="009F4FFA" w:rsidRDefault="009F4FFA" w:rsidP="00F968D9"/>
    <w:p w14:paraId="0B09352F" w14:textId="5CA758E6" w:rsidR="00630390" w:rsidRDefault="00630390" w:rsidP="00F968D9">
      <w:r w:rsidRPr="00D427C3">
        <w:t xml:space="preserve">With respect to witnesses, the </w:t>
      </w:r>
      <w:r w:rsidRPr="00C325D4">
        <w:t>CEA</w:t>
      </w:r>
      <w:r w:rsidRPr="00D427C3">
        <w:rPr>
          <w:i/>
          <w:iCs/>
        </w:rPr>
        <w:t xml:space="preserve"> </w:t>
      </w:r>
      <w:r w:rsidRPr="00D427C3">
        <w:t>defines</w:t>
      </w:r>
      <w:r>
        <w:t>:</w:t>
      </w:r>
    </w:p>
    <w:p w14:paraId="4F535D08" w14:textId="77777777" w:rsidR="00630390" w:rsidRDefault="00630390" w:rsidP="00F968D9"/>
    <w:p w14:paraId="7B4A138D" w14:textId="3397DD5A" w:rsidR="00630390" w:rsidRPr="00C44FFB" w:rsidRDefault="00F769FE" w:rsidP="00F968D9">
      <w:pPr>
        <w:pStyle w:val="ListParagraph"/>
        <w:numPr>
          <w:ilvl w:val="0"/>
          <w:numId w:val="84"/>
        </w:numPr>
        <w:spacing w:after="160" w:line="259" w:lineRule="auto"/>
        <w:rPr>
          <w:color w:val="000000"/>
        </w:rPr>
      </w:pPr>
      <w:r>
        <w:lastRenderedPageBreak/>
        <w:t>T</w:t>
      </w:r>
      <w:r w:rsidR="00630390" w:rsidRPr="00C44FFB">
        <w:t>estimonial competence</w:t>
      </w:r>
      <w:r w:rsidR="00790056">
        <w:t>, including compellability and capacity (ss. 4(1) and 4(2));</w:t>
      </w:r>
    </w:p>
    <w:p w14:paraId="63DD135D" w14:textId="5C0AC869" w:rsidR="00630390" w:rsidRPr="00C44FFB" w:rsidRDefault="00F769FE" w:rsidP="00F968D9">
      <w:pPr>
        <w:pStyle w:val="ListParagraph"/>
        <w:numPr>
          <w:ilvl w:val="0"/>
          <w:numId w:val="84"/>
        </w:numPr>
        <w:spacing w:after="160" w:line="259" w:lineRule="auto"/>
        <w:rPr>
          <w:color w:val="000000"/>
        </w:rPr>
      </w:pPr>
      <w:r>
        <w:t>P</w:t>
      </w:r>
      <w:r w:rsidR="00630390" w:rsidRPr="00C44FFB">
        <w:t>rotective measures designed to facilitate the participation of vulnerable witnesses in the trial process (s. 16 – 16.1)</w:t>
      </w:r>
      <w:r w:rsidR="00790056">
        <w:t>;</w:t>
      </w:r>
    </w:p>
    <w:p w14:paraId="333CBC77" w14:textId="7CFC66A5" w:rsidR="00630390" w:rsidRPr="00C44FFB" w:rsidRDefault="00F769FE" w:rsidP="00F968D9">
      <w:pPr>
        <w:pStyle w:val="ListParagraph"/>
        <w:numPr>
          <w:ilvl w:val="0"/>
          <w:numId w:val="84"/>
        </w:numPr>
        <w:spacing w:after="160" w:line="259" w:lineRule="auto"/>
        <w:rPr>
          <w:color w:val="000000"/>
        </w:rPr>
      </w:pPr>
      <w:r>
        <w:t>P</w:t>
      </w:r>
      <w:r w:rsidR="00630390" w:rsidRPr="00C44FFB">
        <w:t>rocedures to be followed when impeaching an adverse or recanting witness (ss. 9(1) and 9(2))</w:t>
      </w:r>
      <w:r w:rsidR="00790056">
        <w:t>; and</w:t>
      </w:r>
    </w:p>
    <w:p w14:paraId="3C16E75D" w14:textId="229F187A" w:rsidR="00630390" w:rsidRPr="00C44FFB" w:rsidRDefault="00F769FE" w:rsidP="00F968D9">
      <w:pPr>
        <w:pStyle w:val="ListParagraph"/>
        <w:numPr>
          <w:ilvl w:val="0"/>
          <w:numId w:val="84"/>
        </w:numPr>
        <w:spacing w:after="160" w:line="259" w:lineRule="auto"/>
        <w:rPr>
          <w:color w:val="000000"/>
        </w:rPr>
      </w:pPr>
      <w:r>
        <w:t>D</w:t>
      </w:r>
      <w:r w:rsidR="00630390">
        <w:t xml:space="preserve">escribes </w:t>
      </w:r>
      <w:r w:rsidR="00630390" w:rsidRPr="00C44FFB">
        <w:t xml:space="preserve">the process for impeaching a witness on prior statements (s. 10 and 11) or convictions (s.12). </w:t>
      </w:r>
    </w:p>
    <w:p w14:paraId="55B6B539" w14:textId="77777777" w:rsidR="00630390" w:rsidRDefault="00630390" w:rsidP="00F968D9">
      <w:r w:rsidRPr="00C44FFB">
        <w:t xml:space="preserve">Regarding documents, the </w:t>
      </w:r>
      <w:r w:rsidRPr="00C325D4">
        <w:t>CEA</w:t>
      </w:r>
      <w:r w:rsidRPr="00C44FFB">
        <w:t xml:space="preserve"> </w:t>
      </w:r>
      <w:r>
        <w:t>governs:</w:t>
      </w:r>
    </w:p>
    <w:p w14:paraId="4182586C" w14:textId="77777777" w:rsidR="00630390" w:rsidRDefault="00630390" w:rsidP="00F968D9"/>
    <w:p w14:paraId="5D532EC3" w14:textId="432678F5" w:rsidR="00630390" w:rsidRPr="00C44FFB" w:rsidRDefault="00790056" w:rsidP="00F968D9">
      <w:pPr>
        <w:pStyle w:val="ListParagraph"/>
        <w:numPr>
          <w:ilvl w:val="0"/>
          <w:numId w:val="85"/>
        </w:numPr>
        <w:spacing w:after="160" w:line="259" w:lineRule="auto"/>
        <w:rPr>
          <w:color w:val="000000"/>
        </w:rPr>
      </w:pPr>
      <w:r>
        <w:t>T</w:t>
      </w:r>
      <w:r w:rsidR="00630390" w:rsidRPr="00C44FFB">
        <w:t>he admissibility of bank (s.29) and business records (s.30)</w:t>
      </w:r>
      <w:r>
        <w:t>;</w:t>
      </w:r>
    </w:p>
    <w:p w14:paraId="5B35CD9F" w14:textId="35FB3009" w:rsidR="00630390" w:rsidRPr="00C44FFB" w:rsidRDefault="00790056" w:rsidP="00F968D9">
      <w:pPr>
        <w:pStyle w:val="ListParagraph"/>
        <w:numPr>
          <w:ilvl w:val="0"/>
          <w:numId w:val="85"/>
        </w:numPr>
        <w:spacing w:after="160" w:line="259" w:lineRule="auto"/>
        <w:rPr>
          <w:color w:val="000000"/>
        </w:rPr>
      </w:pPr>
      <w:r>
        <w:t>T</w:t>
      </w:r>
      <w:r w:rsidR="00630390">
        <w:t xml:space="preserve">he admissibility </w:t>
      </w:r>
      <w:r w:rsidR="00630390" w:rsidRPr="00C44FFB">
        <w:t>of electronic documents (ss.31.1 – 31.8)</w:t>
      </w:r>
      <w:r>
        <w:t>;</w:t>
      </w:r>
      <w:r w:rsidR="00630390">
        <w:t xml:space="preserve"> and</w:t>
      </w:r>
    </w:p>
    <w:p w14:paraId="3A1E4459" w14:textId="6819A4DA" w:rsidR="00630390" w:rsidRPr="00C44FFB" w:rsidRDefault="00790056" w:rsidP="00F968D9">
      <w:pPr>
        <w:pStyle w:val="ListParagraph"/>
        <w:numPr>
          <w:ilvl w:val="0"/>
          <w:numId w:val="85"/>
        </w:numPr>
        <w:spacing w:after="160" w:line="259" w:lineRule="auto"/>
        <w:rPr>
          <w:color w:val="000000"/>
        </w:rPr>
      </w:pPr>
      <w:r>
        <w:t>S</w:t>
      </w:r>
      <w:r w:rsidR="00630390" w:rsidRPr="00C44FFB">
        <w:t>everal</w:t>
      </w:r>
      <w:r w:rsidR="00630390" w:rsidRPr="00C44FFB">
        <w:rPr>
          <w:color w:val="000000"/>
        </w:rPr>
        <w:t xml:space="preserve"> sections </w:t>
      </w:r>
      <w:r w:rsidR="00630390">
        <w:rPr>
          <w:color w:val="000000"/>
        </w:rPr>
        <w:t xml:space="preserve">allow </w:t>
      </w:r>
      <w:r w:rsidR="00630390" w:rsidRPr="00C44FFB">
        <w:rPr>
          <w:color w:val="000000"/>
        </w:rPr>
        <w:t>copies</w:t>
      </w:r>
      <w:r w:rsidR="00630390">
        <w:rPr>
          <w:color w:val="000000"/>
        </w:rPr>
        <w:t xml:space="preserve"> of documents</w:t>
      </w:r>
      <w:r w:rsidR="00630390" w:rsidRPr="00C44FFB">
        <w:rPr>
          <w:color w:val="000000"/>
        </w:rPr>
        <w:t xml:space="preserve"> (or documents describing an original) </w:t>
      </w:r>
      <w:r w:rsidR="00630390">
        <w:rPr>
          <w:color w:val="000000"/>
        </w:rPr>
        <w:t xml:space="preserve">to be admitted </w:t>
      </w:r>
      <w:r w:rsidR="00630390" w:rsidRPr="00C44FFB">
        <w:rPr>
          <w:color w:val="000000"/>
        </w:rPr>
        <w:t>pursuant to statute.</w:t>
      </w:r>
      <w:r w:rsidR="00630390">
        <w:rPr>
          <w:rStyle w:val="EndnoteReference"/>
          <w:color w:val="000000"/>
        </w:rPr>
        <w:endnoteReference w:id="50"/>
      </w:r>
    </w:p>
    <w:p w14:paraId="3630E047" w14:textId="77777777" w:rsidR="00630390" w:rsidRDefault="00630390" w:rsidP="00F968D9">
      <w:pPr>
        <w:rPr>
          <w:color w:val="000000"/>
        </w:rPr>
      </w:pPr>
      <w:r w:rsidRPr="00D427C3">
        <w:rPr>
          <w:color w:val="000000"/>
        </w:rPr>
        <w:t xml:space="preserve">The </w:t>
      </w:r>
      <w:r w:rsidRPr="00D427C3">
        <w:rPr>
          <w:i/>
          <w:iCs/>
          <w:color w:val="000000"/>
        </w:rPr>
        <w:t xml:space="preserve">Act </w:t>
      </w:r>
      <w:r w:rsidRPr="00D427C3">
        <w:rPr>
          <w:color w:val="000000"/>
        </w:rPr>
        <w:t xml:space="preserve">also suppresses the disclosure of information in the interests of protecting the national and </w:t>
      </w:r>
      <w:r>
        <w:rPr>
          <w:color w:val="000000"/>
        </w:rPr>
        <w:t xml:space="preserve">public </w:t>
      </w:r>
      <w:r w:rsidRPr="00D427C3">
        <w:rPr>
          <w:color w:val="000000"/>
        </w:rPr>
        <w:t>interest.</w:t>
      </w:r>
      <w:r>
        <w:rPr>
          <w:color w:val="000000"/>
        </w:rPr>
        <w:t xml:space="preserve"> </w:t>
      </w:r>
      <w:r w:rsidRPr="00D427C3">
        <w:rPr>
          <w:color w:val="000000"/>
        </w:rPr>
        <w:t>Section 37 protects against disclosure of information protected by a specified public interest and articulates the procedural and substantive rules which govern the court’s review of objections to disclosure that would violate the privilege.</w:t>
      </w:r>
      <w:r>
        <w:rPr>
          <w:color w:val="000000"/>
        </w:rPr>
        <w:t xml:space="preserve"> </w:t>
      </w:r>
      <w:r w:rsidRPr="00D427C3">
        <w:rPr>
          <w:color w:val="000000"/>
        </w:rPr>
        <w:t>Section 37 may also be invoked to uphold informer privilege.</w:t>
      </w:r>
    </w:p>
    <w:p w14:paraId="586655BD" w14:textId="77777777" w:rsidR="00630390" w:rsidRDefault="00630390" w:rsidP="00F968D9">
      <w:pPr>
        <w:rPr>
          <w:color w:val="000000"/>
        </w:rPr>
      </w:pPr>
    </w:p>
    <w:p w14:paraId="0C18C462" w14:textId="29C3D244" w:rsidR="00630390" w:rsidRDefault="00630390" w:rsidP="00F968D9">
      <w:pPr>
        <w:rPr>
          <w:color w:val="333333"/>
          <w:shd w:val="clear" w:color="auto" w:fill="FFFFFF"/>
        </w:rPr>
      </w:pPr>
      <w:r w:rsidRPr="00D427C3">
        <w:rPr>
          <w:color w:val="000000"/>
        </w:rPr>
        <w:t xml:space="preserve">National interests are </w:t>
      </w:r>
      <w:r>
        <w:rPr>
          <w:color w:val="000000"/>
        </w:rPr>
        <w:t xml:space="preserve">further </w:t>
      </w:r>
      <w:r w:rsidRPr="00D427C3">
        <w:rPr>
          <w:color w:val="000000"/>
        </w:rPr>
        <w:t>considered under s. 38, which protects against disclosure of i</w:t>
      </w:r>
      <w:r w:rsidRPr="00D427C3">
        <w:rPr>
          <w:color w:val="333333"/>
          <w:shd w:val="clear" w:color="auto" w:fill="FFFFFF"/>
        </w:rPr>
        <w:t>nformation that, if it were disclosed to the public, could injure international relations, national defence or national security.</w:t>
      </w:r>
      <w:r>
        <w:rPr>
          <w:color w:val="333333"/>
          <w:shd w:val="clear" w:color="auto" w:fill="FFFFFF"/>
        </w:rPr>
        <w:t xml:space="preserve"> </w:t>
      </w:r>
      <w:r w:rsidRPr="00D427C3">
        <w:rPr>
          <w:color w:val="333333"/>
          <w:shd w:val="clear" w:color="auto" w:fill="FFFFFF"/>
        </w:rPr>
        <w:t>When invoked, s. 38(2) requires that the potentially injurious information is not disclosed other than in accordance with the provisions of the CEA.</w:t>
      </w:r>
    </w:p>
    <w:p w14:paraId="61315D6F" w14:textId="77777777" w:rsidR="009F4FFA" w:rsidRDefault="009F4FFA" w:rsidP="00F968D9">
      <w:pPr>
        <w:rPr>
          <w:color w:val="333333"/>
          <w:shd w:val="clear" w:color="auto" w:fill="FFFFFF"/>
        </w:rPr>
      </w:pPr>
    </w:p>
    <w:p w14:paraId="2D32AD1C" w14:textId="1467286F" w:rsidR="00630390" w:rsidRDefault="009F4FFA" w:rsidP="00F968D9">
      <w:pPr>
        <w:rPr>
          <w:color w:val="000000"/>
        </w:rPr>
      </w:pPr>
      <w:r>
        <w:rPr>
          <w:color w:val="333333"/>
          <w:shd w:val="clear" w:color="auto" w:fill="FFFFFF"/>
        </w:rPr>
        <w:t>It is therefore conceivable that disclosing the use of AI by hostile nations and actors to attack key infrastructure could trigger even further widespread attacks, and thus limit disclosure of such information.</w:t>
      </w:r>
    </w:p>
    <w:p w14:paraId="1671E561" w14:textId="77777777" w:rsidR="00630390" w:rsidRDefault="00630390" w:rsidP="00F968D9">
      <w:pPr>
        <w:rPr>
          <w:color w:val="000000"/>
        </w:rPr>
      </w:pPr>
    </w:p>
    <w:p w14:paraId="0C27C5EB" w14:textId="114A8F93" w:rsidR="00630390" w:rsidRDefault="009F4FFA" w:rsidP="00F968D9">
      <w:pPr>
        <w:rPr>
          <w:color w:val="000000"/>
        </w:rPr>
      </w:pPr>
      <w:r>
        <w:rPr>
          <w:color w:val="000000"/>
        </w:rPr>
        <w:t>Other examples where disclosure of AI use may be questionably suppressed under the existing CEA might be where:</w:t>
      </w:r>
    </w:p>
    <w:p w14:paraId="10616C6C" w14:textId="77777777" w:rsidR="00630390" w:rsidRDefault="00630390" w:rsidP="00F968D9">
      <w:pPr>
        <w:rPr>
          <w:color w:val="000000"/>
        </w:rPr>
      </w:pPr>
    </w:p>
    <w:p w14:paraId="6CE08B6E" w14:textId="5BB2E898" w:rsidR="00630390" w:rsidRDefault="00630390" w:rsidP="00F968D9">
      <w:pPr>
        <w:pStyle w:val="ListParagraph"/>
        <w:numPr>
          <w:ilvl w:val="0"/>
          <w:numId w:val="80"/>
        </w:numPr>
        <w:spacing w:after="160" w:line="259" w:lineRule="auto"/>
        <w:rPr>
          <w:color w:val="000000"/>
        </w:rPr>
      </w:pPr>
      <w:r>
        <w:rPr>
          <w:color w:val="000000"/>
        </w:rPr>
        <w:t xml:space="preserve">AI </w:t>
      </w:r>
      <w:r w:rsidR="00751FE4">
        <w:rPr>
          <w:color w:val="000000"/>
        </w:rPr>
        <w:t>systems</w:t>
      </w:r>
      <w:r>
        <w:rPr>
          <w:color w:val="000000"/>
        </w:rPr>
        <w:t xml:space="preserve"> </w:t>
      </w:r>
      <w:r w:rsidR="009F4FFA">
        <w:rPr>
          <w:color w:val="000000"/>
        </w:rPr>
        <w:t>sift</w:t>
      </w:r>
      <w:r>
        <w:rPr>
          <w:color w:val="000000"/>
        </w:rPr>
        <w:t xml:space="preserve"> through vast datasets, a practice which arguably triggers the interests of protecting national security, identifying cybersecurity threats, terrorist activities and hostile actors.</w:t>
      </w:r>
      <w:r>
        <w:rPr>
          <w:rStyle w:val="EndnoteReference"/>
          <w:color w:val="000000"/>
        </w:rPr>
        <w:endnoteReference w:id="51"/>
      </w:r>
    </w:p>
    <w:p w14:paraId="7D51EA9A" w14:textId="23F5B4C5" w:rsidR="00630390" w:rsidRDefault="00630390" w:rsidP="00F968D9">
      <w:pPr>
        <w:pStyle w:val="ListParagraph"/>
        <w:numPr>
          <w:ilvl w:val="0"/>
          <w:numId w:val="80"/>
        </w:numPr>
        <w:spacing w:after="160" w:line="259" w:lineRule="auto"/>
        <w:rPr>
          <w:color w:val="000000"/>
        </w:rPr>
      </w:pPr>
      <w:r>
        <w:rPr>
          <w:color w:val="000000"/>
        </w:rPr>
        <w:t xml:space="preserve">Information security becomes significantly more challenging in the age of AI when the technology potentially enables hostile states, criminal organizations, and individuals to hack into networks, communication and information systems, and/or access open source information to obtain data that may reveal privileged investigative techniques, confidential sources, and information that, if disclosed, </w:t>
      </w:r>
      <w:r>
        <w:rPr>
          <w:color w:val="000000"/>
        </w:rPr>
        <w:lastRenderedPageBreak/>
        <w:t>would be injurious to national security and other interests the various forms of privilege seek to protect.</w:t>
      </w:r>
    </w:p>
    <w:p w14:paraId="4AA20883" w14:textId="2424A224" w:rsidR="00630390" w:rsidRPr="00D55985" w:rsidRDefault="00630390" w:rsidP="00F968D9">
      <w:pPr>
        <w:pStyle w:val="ListParagraph"/>
        <w:numPr>
          <w:ilvl w:val="0"/>
          <w:numId w:val="80"/>
        </w:numPr>
        <w:spacing w:after="160" w:line="259" w:lineRule="auto"/>
        <w:rPr>
          <w:color w:val="000000"/>
        </w:rPr>
      </w:pPr>
      <w:r>
        <w:rPr>
          <w:color w:val="000000"/>
        </w:rPr>
        <w:t>Data that might trigger international relations, defence, and national security concerns may be collected, used and / or made available beyond its original intended purpose. This may occur without the express knowledge and consent of the governments to which the data belongs.</w:t>
      </w:r>
    </w:p>
    <w:p w14:paraId="0BFCBF55" w14:textId="5A642949" w:rsidR="00630390" w:rsidRDefault="00630390" w:rsidP="00F968D9">
      <w:pPr>
        <w:rPr>
          <w:color w:val="221E1F"/>
        </w:rPr>
      </w:pPr>
      <w:r>
        <w:rPr>
          <w:color w:val="000000"/>
        </w:rPr>
        <w:t xml:space="preserve">AI poses further challenges with respect to records and documents. Bank and business records are admissible </w:t>
      </w:r>
      <w:r w:rsidR="003B4457">
        <w:rPr>
          <w:color w:val="000000"/>
        </w:rPr>
        <w:t xml:space="preserve">because they are produced in the </w:t>
      </w:r>
      <w:r>
        <w:rPr>
          <w:color w:val="000000"/>
        </w:rPr>
        <w:t>ordinary course of business</w:t>
      </w:r>
      <w:r w:rsidR="003B4457">
        <w:rPr>
          <w:color w:val="000000"/>
        </w:rPr>
        <w:t xml:space="preserve"> and are thus presumed to </w:t>
      </w:r>
      <w:r>
        <w:rPr>
          <w:color w:val="000000"/>
        </w:rPr>
        <w:t>meet the standard of trustworthiness necessary to bring them within a recognized exception to the hearsay rule. Similarly, electronic records must be trustworthy in the sense that they “can be proven or presumed to be reliable, accurate, and authentic” and thus they are also admissible under the provisions of the CEA cited above.</w:t>
      </w:r>
      <w:r>
        <w:rPr>
          <w:rStyle w:val="EndnoteReference"/>
          <w:color w:val="000000"/>
        </w:rPr>
        <w:endnoteReference w:id="52"/>
      </w:r>
      <w:r>
        <w:rPr>
          <w:color w:val="000000"/>
        </w:rPr>
        <w:t xml:space="preserve"> </w:t>
      </w:r>
      <w:r w:rsidR="003B4457">
        <w:rPr>
          <w:color w:val="000000"/>
        </w:rPr>
        <w:t xml:space="preserve">The challenge with AI is that it has known limitations that undermine its </w:t>
      </w:r>
      <w:r w:rsidR="003B4457" w:rsidRPr="00167335">
        <w:rPr>
          <w:i/>
          <w:iCs/>
          <w:color w:val="000000"/>
        </w:rPr>
        <w:t>presumed</w:t>
      </w:r>
      <w:r w:rsidR="003B4457">
        <w:rPr>
          <w:color w:val="000000"/>
        </w:rPr>
        <w:t xml:space="preserve"> reliability, such as the tendency to confabulate or hallucinate outputs. </w:t>
      </w:r>
      <w:r w:rsidR="00167335">
        <w:rPr>
          <w:color w:val="000000"/>
        </w:rPr>
        <w:t xml:space="preserve">Furthermore, AI systems have difficulty </w:t>
      </w:r>
      <w:r w:rsidR="00167335" w:rsidRPr="00167335">
        <w:rPr>
          <w:i/>
          <w:iCs/>
          <w:color w:val="000000"/>
        </w:rPr>
        <w:t>proving</w:t>
      </w:r>
      <w:r w:rsidR="00167335">
        <w:rPr>
          <w:color w:val="000000"/>
        </w:rPr>
        <w:t xml:space="preserve"> their reliability given how predictive large language models (for instance) are generally incapable of explaining their reasoning process.</w:t>
      </w:r>
      <w:r w:rsidR="00167335">
        <w:rPr>
          <w:rStyle w:val="EndnoteReference"/>
          <w:color w:val="000000"/>
        </w:rPr>
        <w:endnoteReference w:id="53"/>
      </w:r>
      <w:r w:rsidR="00167335">
        <w:rPr>
          <w:color w:val="000000"/>
        </w:rPr>
        <w:t xml:space="preserve"> </w:t>
      </w:r>
      <w:r w:rsidR="003B4457">
        <w:rPr>
          <w:color w:val="000000"/>
        </w:rPr>
        <w:t xml:space="preserve">The basic concept that </w:t>
      </w:r>
      <w:r>
        <w:rPr>
          <w:color w:val="221E1F"/>
        </w:rPr>
        <w:t xml:space="preserve">records and electronic documents </w:t>
      </w:r>
      <w:r w:rsidR="003B4457">
        <w:rPr>
          <w:color w:val="221E1F"/>
        </w:rPr>
        <w:t xml:space="preserve">are presumed reliable </w:t>
      </w:r>
      <w:r w:rsidR="00167335">
        <w:rPr>
          <w:color w:val="221E1F"/>
        </w:rPr>
        <w:t xml:space="preserve">or can be proven reliable </w:t>
      </w:r>
      <w:r w:rsidR="003B4457">
        <w:rPr>
          <w:color w:val="221E1F"/>
        </w:rPr>
        <w:t>because they’re made in the routine course of business may be undermined where those processes incorporate AI systems.</w:t>
      </w:r>
    </w:p>
    <w:p w14:paraId="1BD65902" w14:textId="77777777" w:rsidR="00630390" w:rsidRDefault="00630390" w:rsidP="00F968D9">
      <w:pPr>
        <w:rPr>
          <w:color w:val="221E1F"/>
        </w:rPr>
      </w:pPr>
    </w:p>
    <w:p w14:paraId="7A44E0D7" w14:textId="05A047C3" w:rsidR="00630390" w:rsidRDefault="003B4457" w:rsidP="00F968D9">
      <w:pPr>
        <w:rPr>
          <w:color w:val="221E1F"/>
        </w:rPr>
      </w:pPr>
      <w:r>
        <w:rPr>
          <w:color w:val="221E1F"/>
        </w:rPr>
        <w:t>Many other similar gaps are foreseeable. For instance:</w:t>
      </w:r>
    </w:p>
    <w:p w14:paraId="5EE29CA8" w14:textId="77777777" w:rsidR="00630390" w:rsidRDefault="00630390" w:rsidP="00F968D9">
      <w:pPr>
        <w:rPr>
          <w:color w:val="221E1F"/>
        </w:rPr>
      </w:pPr>
    </w:p>
    <w:p w14:paraId="275022A5" w14:textId="36696EAB" w:rsidR="00630390" w:rsidRPr="00FD05BC" w:rsidRDefault="00630390" w:rsidP="00F968D9">
      <w:pPr>
        <w:pStyle w:val="ListParagraph"/>
        <w:numPr>
          <w:ilvl w:val="0"/>
          <w:numId w:val="80"/>
        </w:numPr>
        <w:spacing w:after="160" w:line="259" w:lineRule="auto"/>
      </w:pPr>
      <w:r w:rsidRPr="00FD05BC">
        <w:rPr>
          <w:color w:val="221E1F"/>
        </w:rPr>
        <w:t xml:space="preserve">How will the </w:t>
      </w:r>
      <w:r w:rsidRPr="00751FE4">
        <w:rPr>
          <w:color w:val="221E1F"/>
        </w:rPr>
        <w:t>CEA</w:t>
      </w:r>
      <w:r w:rsidRPr="00FD05BC">
        <w:rPr>
          <w:color w:val="221E1F"/>
        </w:rPr>
        <w:t xml:space="preserve"> and other similar statutes (</w:t>
      </w:r>
      <w:r w:rsidR="00167335">
        <w:rPr>
          <w:color w:val="221E1F"/>
        </w:rPr>
        <w:t xml:space="preserve">like </w:t>
      </w:r>
      <w:r w:rsidRPr="00FD05BC">
        <w:rPr>
          <w:color w:val="221E1F"/>
        </w:rPr>
        <w:t xml:space="preserve">Ontario’s </w:t>
      </w:r>
      <w:r w:rsidRPr="00E35E05">
        <w:rPr>
          <w:i/>
          <w:iCs/>
          <w:color w:val="221E1F"/>
        </w:rPr>
        <w:t>Evidence Act</w:t>
      </w:r>
      <w:r>
        <w:rPr>
          <w:color w:val="221E1F"/>
        </w:rPr>
        <w:t>)</w:t>
      </w:r>
      <w:r>
        <w:rPr>
          <w:rStyle w:val="EndnoteReference"/>
          <w:color w:val="221E1F"/>
        </w:rPr>
        <w:endnoteReference w:id="54"/>
      </w:r>
      <w:r w:rsidRPr="00FD05BC">
        <w:t xml:space="preserve"> craft standards regarding the reliability, accuracy and trustworthiness of records and documents generated by </w:t>
      </w:r>
      <w:r w:rsidR="00B50F44">
        <w:t>“</w:t>
      </w:r>
      <w:r w:rsidRPr="00FD05BC">
        <w:t>black box</w:t>
      </w:r>
      <w:r w:rsidR="00B50F44">
        <w:t>”</w:t>
      </w:r>
      <w:r w:rsidRPr="00FD05BC">
        <w:t xml:space="preserve"> algorithm</w:t>
      </w:r>
      <w:r>
        <w:t>s and keep pace as the technology advances</w:t>
      </w:r>
      <w:r w:rsidRPr="00FD05BC">
        <w:t>?</w:t>
      </w:r>
      <w:r w:rsidR="00B50F44">
        <w:rPr>
          <w:rStyle w:val="EndnoteReference"/>
        </w:rPr>
        <w:endnoteReference w:id="55"/>
      </w:r>
    </w:p>
    <w:p w14:paraId="484DD8E0" w14:textId="77777777" w:rsidR="00630390" w:rsidRPr="001816F4" w:rsidRDefault="00630390" w:rsidP="00F968D9">
      <w:pPr>
        <w:pStyle w:val="ListParagraph"/>
        <w:numPr>
          <w:ilvl w:val="0"/>
          <w:numId w:val="80"/>
        </w:numPr>
        <w:spacing w:after="160" w:line="259" w:lineRule="auto"/>
        <w:rPr>
          <w:color w:val="221E1F"/>
        </w:rPr>
      </w:pPr>
      <w:r>
        <w:rPr>
          <w:color w:val="221E1F"/>
        </w:rPr>
        <w:t xml:space="preserve">How will the </w:t>
      </w:r>
      <w:r w:rsidRPr="00751FE4">
        <w:rPr>
          <w:color w:val="221E1F"/>
        </w:rPr>
        <w:t>CEA</w:t>
      </w:r>
      <w:r>
        <w:rPr>
          <w:color w:val="221E1F"/>
        </w:rPr>
        <w:t xml:space="preserve"> confront and constrain the ease with which AI can be used to alter legitimate records or otherwise produce counterfeit and falsified records and documents?</w:t>
      </w:r>
    </w:p>
    <w:p w14:paraId="6D85E768" w14:textId="77777777" w:rsidR="00630390" w:rsidRDefault="00630390" w:rsidP="00F968D9">
      <w:pPr>
        <w:pStyle w:val="ListParagraph"/>
        <w:numPr>
          <w:ilvl w:val="0"/>
          <w:numId w:val="80"/>
        </w:numPr>
        <w:spacing w:after="160" w:line="259" w:lineRule="auto"/>
        <w:rPr>
          <w:color w:val="221E1F"/>
        </w:rPr>
      </w:pPr>
      <w:r>
        <w:rPr>
          <w:color w:val="221E1F"/>
        </w:rPr>
        <w:t>How must notice provisions be modified in anticipation of the volume and complexity of records that may be tendered and filed?</w:t>
      </w:r>
    </w:p>
    <w:p w14:paraId="450B7F69" w14:textId="3E24A6AF" w:rsidR="00630390" w:rsidRDefault="00630390" w:rsidP="00F968D9">
      <w:pPr>
        <w:pStyle w:val="ListParagraph"/>
        <w:numPr>
          <w:ilvl w:val="0"/>
          <w:numId w:val="80"/>
        </w:numPr>
        <w:spacing w:after="160" w:line="259" w:lineRule="auto"/>
        <w:rPr>
          <w:color w:val="221E1F"/>
        </w:rPr>
      </w:pPr>
      <w:r>
        <w:rPr>
          <w:color w:val="221E1F"/>
        </w:rPr>
        <w:t>Will AI tools be required by counsel, courts administration and triers of fact to review and manage the evidence? If so, how will the interests of self-represented accused and other parties to the litigation be protected in scenarios where the evidence is beyond the capabilities of a human being to review, process, and comprehend</w:t>
      </w:r>
      <w:r w:rsidR="008A30A7">
        <w:rPr>
          <w:color w:val="221E1F"/>
        </w:rPr>
        <w:t xml:space="preserve">? Are </w:t>
      </w:r>
      <w:r w:rsidR="008A30A7" w:rsidRPr="008A30A7">
        <w:rPr>
          <w:color w:val="221E1F"/>
        </w:rPr>
        <w:t>well established procedures for adducing voluminous information at trial in a way that will be intelligible to the trier of fact</w:t>
      </w:r>
      <w:r w:rsidR="008A30A7">
        <w:rPr>
          <w:color w:val="221E1F"/>
        </w:rPr>
        <w:t xml:space="preserve"> going to adequately address AI?</w:t>
      </w:r>
      <w:r w:rsidR="008A30A7">
        <w:rPr>
          <w:rStyle w:val="EndnoteReference"/>
          <w:color w:val="221E1F"/>
        </w:rPr>
        <w:endnoteReference w:id="56"/>
      </w:r>
    </w:p>
    <w:p w14:paraId="6523B7EF" w14:textId="77777777" w:rsidR="00630390" w:rsidRPr="000F00B9" w:rsidRDefault="00630390" w:rsidP="00F968D9">
      <w:pPr>
        <w:pStyle w:val="ListParagraph"/>
        <w:numPr>
          <w:ilvl w:val="0"/>
          <w:numId w:val="80"/>
        </w:numPr>
        <w:spacing w:after="160" w:line="259" w:lineRule="auto"/>
        <w:rPr>
          <w:color w:val="333333"/>
          <w:shd w:val="clear" w:color="auto" w:fill="FFFFFF"/>
        </w:rPr>
      </w:pPr>
      <w:r>
        <w:rPr>
          <w:color w:val="221E1F"/>
        </w:rPr>
        <w:t xml:space="preserve">If existing CEA records and electronic documents provisions are deemed inadequate relative to artificial intelligence, can the criminal justice system </w:t>
      </w:r>
      <w:r>
        <w:rPr>
          <w:color w:val="221E1F"/>
        </w:rPr>
        <w:lastRenderedPageBreak/>
        <w:t>reasonably accommodate alternate methods of verification, i.e., requirements for viva voce evidence, including from experts.</w:t>
      </w:r>
    </w:p>
    <w:p w14:paraId="25A471D8" w14:textId="7BD48F43" w:rsidR="00630390" w:rsidRDefault="00630390" w:rsidP="00F968D9">
      <w:pPr>
        <w:rPr>
          <w:color w:val="333333"/>
          <w:shd w:val="clear" w:color="auto" w:fill="FFFFFF"/>
        </w:rPr>
      </w:pPr>
      <w:r>
        <w:rPr>
          <w:color w:val="333333"/>
          <w:shd w:val="clear" w:color="auto" w:fill="FFFFFF"/>
        </w:rPr>
        <w:t>Clearly, AI seems likely to test the existing law of evidence and its ability to preserve the criminal trial’s truth-seeking function. Some academics suggest (in both the civil and criminal context) that the rules of evidence, which are largely rooted and developed in the common law, appear sufficiently flexible to adapt to new technologies, including artificial intelligence, and absent law reform.</w:t>
      </w:r>
      <w:r>
        <w:rPr>
          <w:rStyle w:val="EndnoteReference"/>
          <w:color w:val="333333"/>
          <w:shd w:val="clear" w:color="auto" w:fill="FFFFFF"/>
        </w:rPr>
        <w:endnoteReference w:id="57"/>
      </w:r>
      <w:r>
        <w:rPr>
          <w:color w:val="333333"/>
          <w:shd w:val="clear" w:color="auto" w:fill="FFFFFF"/>
        </w:rPr>
        <w:t xml:space="preserve"> They suggest that legal practitioners and jurists must enhance their understanding of </w:t>
      </w:r>
      <w:r w:rsidR="001461E7">
        <w:rPr>
          <w:color w:val="333333"/>
          <w:shd w:val="clear" w:color="auto" w:fill="FFFFFF"/>
        </w:rPr>
        <w:t>AI</w:t>
      </w:r>
      <w:r>
        <w:rPr>
          <w:color w:val="333333"/>
          <w:shd w:val="clear" w:color="auto" w:fill="FFFFFF"/>
        </w:rPr>
        <w:t xml:space="preserve"> (with the assistance of expert evidence, when required) to be able to evaluate the validity and reliability of AI generated evidence. They note that all evidence, which is otherwise admissible, will be excluded if its probative value is outweighed by its prejudicial effect. They highlight that many objections relative to the reliability of evidence go to its weight rather than admissibility, and stress that AI evidence must therefore be explainable.</w:t>
      </w:r>
    </w:p>
    <w:p w14:paraId="72FB74EA" w14:textId="77777777" w:rsidR="00630390" w:rsidRDefault="00630390" w:rsidP="00F968D9">
      <w:pPr>
        <w:rPr>
          <w:color w:val="333333"/>
          <w:shd w:val="clear" w:color="auto" w:fill="FFFFFF"/>
        </w:rPr>
      </w:pPr>
    </w:p>
    <w:p w14:paraId="73E469A5" w14:textId="7A725C09" w:rsidR="00630390" w:rsidRDefault="00630390" w:rsidP="00F968D9">
      <w:pPr>
        <w:rPr>
          <w:color w:val="333333"/>
          <w:shd w:val="clear" w:color="auto" w:fill="FFFFFF"/>
        </w:rPr>
      </w:pPr>
      <w:r>
        <w:rPr>
          <w:color w:val="333333"/>
          <w:shd w:val="clear" w:color="auto" w:fill="FFFFFF"/>
        </w:rPr>
        <w:t>On this point, others appear to agree. It has been stated that:</w:t>
      </w:r>
    </w:p>
    <w:p w14:paraId="156292F5" w14:textId="284E4D51" w:rsidR="00630390" w:rsidRPr="00BD724A" w:rsidRDefault="00630390" w:rsidP="00A834FA">
      <w:pPr>
        <w:pStyle w:val="Quote"/>
        <w:jc w:val="both"/>
        <w:rPr>
          <w:i w:val="0"/>
          <w:iCs w:val="0"/>
          <w:color w:val="333333"/>
          <w:shd w:val="clear" w:color="auto" w:fill="FFFFFF"/>
        </w:rPr>
      </w:pPr>
      <w:r w:rsidRPr="00BD724A">
        <w:rPr>
          <w:i w:val="0"/>
          <w:iCs w:val="0"/>
          <w:color w:val="333333"/>
          <w:shd w:val="clear" w:color="auto" w:fill="FFFFFF"/>
        </w:rPr>
        <w:t>“</w:t>
      </w:r>
      <w:r w:rsidRPr="00BD724A">
        <w:rPr>
          <w:i w:val="0"/>
          <w:iCs w:val="0"/>
        </w:rPr>
        <w:t>To authenticate AI technology, its proponent must show that it produces accurate, that is to say valid, results. And it must perform reliably, meaning that it consistently produces accurate results when applied in similar circumstances.</w:t>
      </w:r>
      <w:r w:rsidRPr="00BD724A">
        <w:rPr>
          <w:i w:val="0"/>
          <w:iCs w:val="0"/>
          <w:color w:val="333333"/>
          <w:shd w:val="clear" w:color="auto" w:fill="FFFFFF"/>
        </w:rPr>
        <w:t>”</w:t>
      </w:r>
      <w:r w:rsidRPr="00BD724A">
        <w:rPr>
          <w:rStyle w:val="EndnoteReference"/>
          <w:i w:val="0"/>
          <w:iCs w:val="0"/>
          <w:color w:val="333333"/>
          <w:shd w:val="clear" w:color="auto" w:fill="FFFFFF"/>
        </w:rPr>
        <w:endnoteReference w:id="58"/>
      </w:r>
    </w:p>
    <w:p w14:paraId="510E7812" w14:textId="77777777" w:rsidR="00630390" w:rsidRDefault="00630390" w:rsidP="00F968D9">
      <w:pPr>
        <w:rPr>
          <w:color w:val="333333"/>
          <w:shd w:val="clear" w:color="auto" w:fill="FFFFFF"/>
        </w:rPr>
      </w:pPr>
    </w:p>
    <w:p w14:paraId="157422A7" w14:textId="6BD4710D" w:rsidR="00630390" w:rsidRDefault="00630390" w:rsidP="00F968D9">
      <w:pPr>
        <w:rPr>
          <w:color w:val="333333"/>
          <w:shd w:val="clear" w:color="auto" w:fill="FFFFFF"/>
        </w:rPr>
      </w:pPr>
      <w:r>
        <w:rPr>
          <w:color w:val="333333"/>
          <w:shd w:val="clear" w:color="auto" w:fill="FFFFFF"/>
        </w:rPr>
        <w:t xml:space="preserve">Meanwhile, others emphasize the factors that may undermine that validity and reliability of AI evidence. These include AI’s opacity and blackbox algorithms, function creep, </w:t>
      </w:r>
      <w:r w:rsidR="007C3450">
        <w:rPr>
          <w:color w:val="333333"/>
          <w:shd w:val="clear" w:color="auto" w:fill="FFFFFF"/>
        </w:rPr>
        <w:t xml:space="preserve">the potential lack of any testing or scientific validation about the quality and reliability of AI outputs, </w:t>
      </w:r>
      <w:r w:rsidRPr="000C7575">
        <w:rPr>
          <w:color w:val="333333"/>
          <w:shd w:val="clear" w:color="auto" w:fill="FFFFFF"/>
        </w:rPr>
        <w:t xml:space="preserve">and </w:t>
      </w:r>
      <w:r w:rsidR="007C3450">
        <w:rPr>
          <w:color w:val="333333"/>
          <w:shd w:val="clear" w:color="auto" w:fill="FFFFFF"/>
        </w:rPr>
        <w:t>the significant challenge of unearned deference to AI and bias in favor of automated systems. Any</w:t>
      </w:r>
      <w:r w:rsidRPr="000C7575">
        <w:rPr>
          <w:color w:val="333333"/>
          <w:shd w:val="clear" w:color="auto" w:fill="FFFFFF"/>
        </w:rPr>
        <w:t xml:space="preserve"> of which present significant risks</w:t>
      </w:r>
      <w:r w:rsidR="007C3450">
        <w:rPr>
          <w:color w:val="333333"/>
          <w:shd w:val="clear" w:color="auto" w:fill="FFFFFF"/>
        </w:rPr>
        <w:t xml:space="preserve"> to an accused and the fairness of a trial</w:t>
      </w:r>
      <w:r w:rsidRPr="000C7575">
        <w:rPr>
          <w:color w:val="333333"/>
          <w:shd w:val="clear" w:color="auto" w:fill="FFFFFF"/>
        </w:rPr>
        <w:t>.</w:t>
      </w:r>
      <w:r>
        <w:rPr>
          <w:rStyle w:val="EndnoteReference"/>
          <w:color w:val="333333"/>
          <w:shd w:val="clear" w:color="auto" w:fill="FFFFFF"/>
        </w:rPr>
        <w:endnoteReference w:id="59"/>
      </w:r>
    </w:p>
    <w:p w14:paraId="5D35647B" w14:textId="77777777" w:rsidR="00630390" w:rsidRDefault="00630390" w:rsidP="00F968D9">
      <w:pPr>
        <w:rPr>
          <w:color w:val="333333"/>
          <w:shd w:val="clear" w:color="auto" w:fill="FFFFFF"/>
        </w:rPr>
      </w:pPr>
    </w:p>
    <w:p w14:paraId="2AFDBB30" w14:textId="7096156A" w:rsidR="00630390" w:rsidRDefault="00630390" w:rsidP="00F968D9">
      <w:r w:rsidRPr="000C7575">
        <w:rPr>
          <w:color w:val="333333"/>
          <w:shd w:val="clear" w:color="auto" w:fill="FFFFFF"/>
        </w:rPr>
        <w:t>There are many practical suggestions for practitioners endeavouring to assess the admissibility of AI evidence, and for the judges who must apply longstanding evidentiary principles to ensure that AI evidence does not distort the search for the truth.</w:t>
      </w:r>
      <w:r>
        <w:rPr>
          <w:rStyle w:val="EndnoteReference"/>
          <w:color w:val="333333"/>
          <w:shd w:val="clear" w:color="auto" w:fill="FFFFFF"/>
        </w:rPr>
        <w:endnoteReference w:id="60"/>
      </w:r>
      <w:r>
        <w:rPr>
          <w:color w:val="333333"/>
          <w:shd w:val="clear" w:color="auto" w:fill="FFFFFF"/>
        </w:rPr>
        <w:t xml:space="preserve"> Ultimately, it appears that there is an important role for law reform in providing clarity and guidance. In particular, the codification of notice provisions and standards specific to AI evidence are worthy of consideration.</w:t>
      </w:r>
    </w:p>
    <w:p w14:paraId="5121CD02" w14:textId="77777777" w:rsidR="00630390" w:rsidRPr="00D6562E" w:rsidRDefault="00630390" w:rsidP="0069073E"/>
    <w:p w14:paraId="6302F5A1" w14:textId="2B2A5E56" w:rsidR="00630390" w:rsidRPr="00D6562E" w:rsidRDefault="00630390" w:rsidP="00626216">
      <w:pPr>
        <w:pStyle w:val="Heading3"/>
        <w:numPr>
          <w:ilvl w:val="2"/>
          <w:numId w:val="79"/>
        </w:numPr>
        <w:rPr>
          <w:rFonts w:asciiTheme="minorHAnsi" w:hAnsiTheme="minorHAnsi" w:cstheme="minorHAnsi"/>
        </w:rPr>
      </w:pPr>
      <w:bookmarkStart w:id="24" w:name="_Toc195597979"/>
      <w:r>
        <w:rPr>
          <w:rFonts w:asciiTheme="minorHAnsi" w:hAnsiTheme="minorHAnsi" w:cstheme="minorHAnsi"/>
        </w:rPr>
        <w:t>The Courts of Justice Act, Court AI Directives, and Law Society Practice Directions</w:t>
      </w:r>
      <w:bookmarkEnd w:id="24"/>
    </w:p>
    <w:p w14:paraId="03960F7D" w14:textId="77777777" w:rsidR="00630390" w:rsidRPr="00D6562E" w:rsidRDefault="00630390" w:rsidP="0069073E">
      <w:pPr>
        <w:pStyle w:val="Heading3"/>
        <w:rPr>
          <w:rFonts w:asciiTheme="minorHAnsi" w:eastAsia="Arial" w:hAnsiTheme="minorHAnsi" w:cstheme="minorHAnsi"/>
        </w:rPr>
      </w:pPr>
    </w:p>
    <w:p w14:paraId="5350BC65" w14:textId="77777777" w:rsidR="0063798B" w:rsidRDefault="00630390" w:rsidP="00D6195E">
      <w:r w:rsidRPr="00D427C3">
        <w:t xml:space="preserve">The </w:t>
      </w:r>
      <w:r w:rsidRPr="00D427C3">
        <w:rPr>
          <w:i/>
          <w:iCs/>
        </w:rPr>
        <w:t>Courts of Justice Act</w:t>
      </w:r>
      <w:r w:rsidRPr="003B6CA8">
        <w:rPr>
          <w:rStyle w:val="EndnoteReference"/>
        </w:rPr>
        <w:endnoteReference w:id="61"/>
      </w:r>
      <w:r w:rsidRPr="00D427C3">
        <w:rPr>
          <w:i/>
          <w:iCs/>
        </w:rPr>
        <w:t xml:space="preserve"> </w:t>
      </w:r>
      <w:r>
        <w:t xml:space="preserve">(CJA) </w:t>
      </w:r>
      <w:r w:rsidRPr="00D427C3">
        <w:t>defines and details Ontario’s court structure</w:t>
      </w:r>
      <w:r w:rsidR="001D1DFE">
        <w:t xml:space="preserve">. It specifies the </w:t>
      </w:r>
      <w:r w:rsidRPr="00D427C3">
        <w:t>jurisdiction</w:t>
      </w:r>
      <w:r w:rsidR="001D1DFE">
        <w:t xml:space="preserve"> </w:t>
      </w:r>
      <w:r w:rsidRPr="00D427C3">
        <w:t>and powers of each level of court</w:t>
      </w:r>
      <w:r w:rsidR="001D1DFE">
        <w:t xml:space="preserve"> </w:t>
      </w:r>
      <w:r w:rsidRPr="00D427C3">
        <w:t xml:space="preserve">and includes provisions for the enactment of </w:t>
      </w:r>
      <w:r w:rsidR="001D1DFE">
        <w:t xml:space="preserve">court </w:t>
      </w:r>
      <w:r w:rsidRPr="00D427C3">
        <w:t>rules</w:t>
      </w:r>
      <w:r w:rsidR="001D1DFE">
        <w:t xml:space="preserve">. These include </w:t>
      </w:r>
      <w:r w:rsidRPr="00D427C3">
        <w:t>criminal rules for the Ontario Court of Appeal, Superior Court of Justice, and the Ontario Court of Justice.</w:t>
      </w:r>
      <w:r w:rsidR="001D1DFE">
        <w:rPr>
          <w:rStyle w:val="EndnoteReference"/>
        </w:rPr>
        <w:endnoteReference w:id="62"/>
      </w:r>
      <w:r>
        <w:t xml:space="preserve"> </w:t>
      </w:r>
      <w:r w:rsidRPr="0063798B">
        <w:t xml:space="preserve">Part </w:t>
      </w:r>
      <w:r w:rsidR="0063798B">
        <w:t>7</w:t>
      </w:r>
      <w:r w:rsidRPr="00D427C3">
        <w:t xml:space="preserve"> </w:t>
      </w:r>
      <w:r w:rsidR="0063798B">
        <w:t xml:space="preserve">of the CJA governs </w:t>
      </w:r>
      <w:r>
        <w:t>c</w:t>
      </w:r>
      <w:r w:rsidRPr="00D6195E">
        <w:t xml:space="preserve">ourt </w:t>
      </w:r>
      <w:r>
        <w:t>p</w:t>
      </w:r>
      <w:r w:rsidRPr="00D6195E">
        <w:t>roceedings.</w:t>
      </w:r>
      <w:r>
        <w:t xml:space="preserve"> T</w:t>
      </w:r>
      <w:r w:rsidRPr="00D427C3">
        <w:t>he</w:t>
      </w:r>
      <w:r>
        <w:t>se</w:t>
      </w:r>
      <w:r w:rsidRPr="00D427C3">
        <w:t xml:space="preserve"> provisions </w:t>
      </w:r>
      <w:r>
        <w:t xml:space="preserve">define </w:t>
      </w:r>
      <w:r w:rsidRPr="00D427C3">
        <w:t xml:space="preserve">a </w:t>
      </w:r>
      <w:r>
        <w:t>range</w:t>
      </w:r>
      <w:r w:rsidRPr="00D427C3">
        <w:t xml:space="preserve"> of procedural </w:t>
      </w:r>
      <w:r>
        <w:t xml:space="preserve">and evidentiary </w:t>
      </w:r>
      <w:r w:rsidRPr="00D427C3">
        <w:t>matters</w:t>
      </w:r>
      <w:r>
        <w:t xml:space="preserve"> related to</w:t>
      </w:r>
      <w:r w:rsidR="0063798B">
        <w:t>:</w:t>
      </w:r>
    </w:p>
    <w:p w14:paraId="6789BC8E" w14:textId="77777777" w:rsidR="0063798B" w:rsidRDefault="0063798B" w:rsidP="00D6195E"/>
    <w:p w14:paraId="7454524F" w14:textId="1B9FC24B" w:rsidR="0063798B" w:rsidRDefault="00B075EF" w:rsidP="0063798B">
      <w:pPr>
        <w:pStyle w:val="ListParagraph"/>
        <w:numPr>
          <w:ilvl w:val="0"/>
          <w:numId w:val="145"/>
        </w:numPr>
      </w:pPr>
      <w:r>
        <w:t>P</w:t>
      </w:r>
      <w:r w:rsidR="00630390">
        <w:t>ublic hearings</w:t>
      </w:r>
      <w:r w:rsidR="0063798B">
        <w:t xml:space="preserve"> and </w:t>
      </w:r>
      <w:r w:rsidR="00630390">
        <w:t xml:space="preserve">access </w:t>
      </w:r>
      <w:r w:rsidR="0063798B">
        <w:t>to</w:t>
      </w:r>
      <w:r w:rsidR="00630390">
        <w:t xml:space="preserve"> open proceedings;</w:t>
      </w:r>
    </w:p>
    <w:p w14:paraId="10658C04" w14:textId="61BC6606" w:rsidR="0063798B" w:rsidRDefault="00B075EF" w:rsidP="0063798B">
      <w:pPr>
        <w:pStyle w:val="ListParagraph"/>
        <w:numPr>
          <w:ilvl w:val="0"/>
          <w:numId w:val="145"/>
        </w:numPr>
      </w:pPr>
      <w:r>
        <w:t>L</w:t>
      </w:r>
      <w:r w:rsidR="00630390">
        <w:t>anguage of the court;</w:t>
      </w:r>
    </w:p>
    <w:p w14:paraId="56671B3E" w14:textId="697873F5" w:rsidR="0063798B" w:rsidRDefault="00B075EF" w:rsidP="0063798B">
      <w:pPr>
        <w:pStyle w:val="ListParagraph"/>
        <w:numPr>
          <w:ilvl w:val="0"/>
          <w:numId w:val="145"/>
        </w:numPr>
      </w:pPr>
      <w:r>
        <w:t>C</w:t>
      </w:r>
      <w:r w:rsidR="00630390">
        <w:t>osts and awards;</w:t>
      </w:r>
    </w:p>
    <w:p w14:paraId="62F2B85B" w14:textId="65717850" w:rsidR="0063798B" w:rsidRDefault="00B075EF" w:rsidP="0063798B">
      <w:pPr>
        <w:pStyle w:val="ListParagraph"/>
        <w:numPr>
          <w:ilvl w:val="0"/>
          <w:numId w:val="145"/>
        </w:numPr>
      </w:pPr>
      <w:r>
        <w:t>T</w:t>
      </w:r>
      <w:r w:rsidR="00630390" w:rsidRPr="00D427C3">
        <w:t>he nature of available orders and injunctions</w:t>
      </w:r>
      <w:r w:rsidR="00630390">
        <w:t>; and</w:t>
      </w:r>
    </w:p>
    <w:p w14:paraId="2E9A7EB2" w14:textId="1B17D282" w:rsidR="0063798B" w:rsidRDefault="00B075EF" w:rsidP="0063798B">
      <w:pPr>
        <w:pStyle w:val="ListParagraph"/>
        <w:numPr>
          <w:ilvl w:val="0"/>
          <w:numId w:val="145"/>
        </w:numPr>
      </w:pPr>
      <w:r>
        <w:t>T</w:t>
      </w:r>
      <w:r w:rsidR="00630390">
        <w:t xml:space="preserve">he enforcement of </w:t>
      </w:r>
      <w:r w:rsidR="00E04489">
        <w:t>these and other</w:t>
      </w:r>
      <w:r w:rsidR="00630390">
        <w:t xml:space="preserve"> provisions.</w:t>
      </w:r>
    </w:p>
    <w:p w14:paraId="7F005F0A" w14:textId="77777777" w:rsidR="0063798B" w:rsidRDefault="0063798B" w:rsidP="00E04489"/>
    <w:p w14:paraId="73B543DA" w14:textId="08DD9128" w:rsidR="00630390" w:rsidRDefault="00630390" w:rsidP="0063798B">
      <w:r>
        <w:t xml:space="preserve">The scope, detail and specificity of </w:t>
      </w:r>
      <w:r w:rsidR="008F52AA">
        <w:t>provisions</w:t>
      </w:r>
      <w:r>
        <w:t xml:space="preserve"> in the CJA suggest considerable latitude to define provisions that may anticipate and guide many different instances of AI in a court proceeding.</w:t>
      </w:r>
    </w:p>
    <w:p w14:paraId="6B455025" w14:textId="77777777" w:rsidR="00630390" w:rsidRDefault="00630390" w:rsidP="00D6195E"/>
    <w:p w14:paraId="1BD5FE7E" w14:textId="77777777" w:rsidR="00630390" w:rsidRDefault="00630390" w:rsidP="00115062">
      <w:pPr>
        <w:rPr>
          <w:lang w:val="en-US"/>
        </w:rPr>
      </w:pPr>
      <w:r>
        <w:rPr>
          <w:lang w:val="en-US"/>
        </w:rPr>
        <w:t>In the absence of any such AI legislation and regulation, however, courts across Canada have begun to introduce practice directions to establish a set of basic expectations and procedures related to the use of AI tools and AI-mediated evidence in litigation.</w:t>
      </w:r>
    </w:p>
    <w:p w14:paraId="7E7480B6" w14:textId="77777777" w:rsidR="00630390" w:rsidRDefault="00630390" w:rsidP="00115062">
      <w:pPr>
        <w:rPr>
          <w:lang w:val="en-US"/>
        </w:rPr>
      </w:pPr>
    </w:p>
    <w:p w14:paraId="23CC5A51" w14:textId="10EE8E24" w:rsidR="00630390" w:rsidRDefault="00630390" w:rsidP="00115062">
      <w:pPr>
        <w:rPr>
          <w:lang w:val="en-US"/>
        </w:rPr>
      </w:pPr>
      <w:r>
        <w:rPr>
          <w:lang w:val="en-US"/>
        </w:rPr>
        <w:t xml:space="preserve">None of these practice directions specifically target criminal proceedings. And while there are similarities across the practice directions, there is </w:t>
      </w:r>
      <w:r w:rsidR="00F80FC0">
        <w:rPr>
          <w:lang w:val="en-US"/>
        </w:rPr>
        <w:t>yet</w:t>
      </w:r>
      <w:r>
        <w:rPr>
          <w:lang w:val="en-US"/>
        </w:rPr>
        <w:t xml:space="preserve"> no settled standard direction, leading to a patchwork of complimentary and contradictory approaches across the country.</w:t>
      </w:r>
    </w:p>
    <w:p w14:paraId="40C63623" w14:textId="77777777" w:rsidR="00630390" w:rsidRDefault="00630390" w:rsidP="00115062">
      <w:pPr>
        <w:rPr>
          <w:lang w:val="en-US"/>
        </w:rPr>
      </w:pPr>
    </w:p>
    <w:p w14:paraId="71B18B85" w14:textId="77777777" w:rsidR="00630390" w:rsidRDefault="00630390" w:rsidP="00115062">
      <w:pPr>
        <w:rPr>
          <w:b/>
          <w:bCs/>
          <w:lang w:val="en-US"/>
        </w:rPr>
      </w:pPr>
      <w:r w:rsidRPr="006A56B7">
        <w:rPr>
          <w:b/>
          <w:bCs/>
          <w:lang w:val="en-US"/>
        </w:rPr>
        <w:t xml:space="preserve">Federal </w:t>
      </w:r>
      <w:r>
        <w:rPr>
          <w:b/>
          <w:bCs/>
          <w:lang w:val="en-US"/>
        </w:rPr>
        <w:t xml:space="preserve">Court </w:t>
      </w:r>
      <w:r w:rsidRPr="006A56B7">
        <w:rPr>
          <w:b/>
          <w:bCs/>
          <w:lang w:val="en-US"/>
        </w:rPr>
        <w:t>Directives</w:t>
      </w:r>
    </w:p>
    <w:p w14:paraId="1C169383" w14:textId="77777777" w:rsidR="00630390" w:rsidRPr="006A56B7" w:rsidRDefault="00630390" w:rsidP="00115062">
      <w:pPr>
        <w:rPr>
          <w:b/>
          <w:bCs/>
          <w:lang w:val="en-US"/>
        </w:rPr>
      </w:pPr>
    </w:p>
    <w:p w14:paraId="43427310" w14:textId="77777777" w:rsidR="00630390" w:rsidRDefault="00630390" w:rsidP="00115062">
      <w:pPr>
        <w:rPr>
          <w:lang w:val="en-US"/>
        </w:rPr>
      </w:pPr>
      <w:r>
        <w:rPr>
          <w:lang w:val="en-US"/>
        </w:rPr>
        <w:t>The leading and most comprehensive framework is a pair of complimentary practice directions issued by the Federal Court of Canada in December 2023: “</w:t>
      </w:r>
      <w:r w:rsidRPr="00443FA4">
        <w:rPr>
          <w:lang w:val="en-US"/>
        </w:rPr>
        <w:t>Interim Principles and Guidelines on the Court’s Use of Artificial Intelligence</w:t>
      </w:r>
      <w:r>
        <w:rPr>
          <w:lang w:val="en-US"/>
        </w:rPr>
        <w:t>” and “</w:t>
      </w:r>
      <w:r w:rsidRPr="00443FA4">
        <w:rPr>
          <w:lang w:val="en-US"/>
        </w:rPr>
        <w:t>Notice to the Parties and the Profession - The Use of Artificial Intelligence in Court Proceedings</w:t>
      </w:r>
      <w:r>
        <w:rPr>
          <w:lang w:val="en-US"/>
        </w:rPr>
        <w:t>.”</w:t>
      </w:r>
      <w:r>
        <w:rPr>
          <w:rStyle w:val="EndnoteReference"/>
          <w:lang w:val="en-US"/>
        </w:rPr>
        <w:endnoteReference w:id="63"/>
      </w:r>
      <w:r>
        <w:rPr>
          <w:lang w:val="en-US"/>
        </w:rPr>
        <w:t xml:space="preserve"> These practice directions respectively establish guidelines for the internal use of AI systems by the Court and set expectations for legal counsel and self-represented or unrepresented litigants.</w:t>
      </w:r>
    </w:p>
    <w:p w14:paraId="26F1D241" w14:textId="77777777" w:rsidR="00630390" w:rsidRDefault="00630390" w:rsidP="00115062">
      <w:pPr>
        <w:rPr>
          <w:lang w:val="en-US"/>
        </w:rPr>
      </w:pPr>
    </w:p>
    <w:p w14:paraId="67450F7E" w14:textId="77777777" w:rsidR="00630390" w:rsidRDefault="00630390" w:rsidP="00115062">
      <w:pPr>
        <w:rPr>
          <w:lang w:val="en-US"/>
        </w:rPr>
      </w:pPr>
      <w:r>
        <w:rPr>
          <w:lang w:val="en-US"/>
        </w:rPr>
        <w:t>Internally, the Court clarifies that it will “</w:t>
      </w:r>
      <w:r w:rsidRPr="00EC1519">
        <w:rPr>
          <w:lang w:val="en-US"/>
        </w:rPr>
        <w:t>not use AI, and more specifically automated decision-making tools, in making its judgments and orders, without first engaging in public consultations</w:t>
      </w:r>
      <w:r>
        <w:rPr>
          <w:lang w:val="en-US"/>
        </w:rPr>
        <w:t>.”</w:t>
      </w:r>
      <w:r>
        <w:rPr>
          <w:rStyle w:val="EndnoteReference"/>
          <w:lang w:val="en-US"/>
        </w:rPr>
        <w:endnoteReference w:id="64"/>
      </w:r>
      <w:r>
        <w:rPr>
          <w:lang w:val="en-US"/>
        </w:rPr>
        <w:t xml:space="preserve"> For greater certainty, the Court clarifies that “</w:t>
      </w:r>
      <w:r w:rsidRPr="00BF2CD7">
        <w:rPr>
          <w:lang w:val="en-US"/>
        </w:rPr>
        <w:t>this includes the Court’s determination of the issues raised by the parties, as reflected in its Reasons for Judgment and its Reasons for Order, or any other decision made by the Court in a proceeding</w:t>
      </w:r>
      <w:r>
        <w:rPr>
          <w:lang w:val="en-US"/>
        </w:rPr>
        <w:t>.”</w:t>
      </w:r>
      <w:r>
        <w:rPr>
          <w:rStyle w:val="EndnoteReference"/>
          <w:lang w:val="en-US"/>
        </w:rPr>
        <w:endnoteReference w:id="65"/>
      </w:r>
      <w:r>
        <w:rPr>
          <w:lang w:val="en-US"/>
        </w:rPr>
        <w:t xml:space="preserve"> </w:t>
      </w:r>
    </w:p>
    <w:p w14:paraId="1679D2C1" w14:textId="77777777" w:rsidR="00630390" w:rsidRDefault="00630390" w:rsidP="00115062">
      <w:pPr>
        <w:rPr>
          <w:lang w:val="en-US"/>
        </w:rPr>
      </w:pPr>
    </w:p>
    <w:p w14:paraId="5F703714" w14:textId="261BE055" w:rsidR="00630390" w:rsidRDefault="00630390" w:rsidP="00115062">
      <w:pPr>
        <w:rPr>
          <w:lang w:val="en-US"/>
        </w:rPr>
      </w:pPr>
      <w:r>
        <w:rPr>
          <w:lang w:val="en-US"/>
        </w:rPr>
        <w:t>Instead, the Court’s Technology Committee will pilot the internal use of AI tools, for instance, “</w:t>
      </w:r>
      <w:r w:rsidRPr="00EC1519">
        <w:rPr>
          <w:lang w:val="en-US"/>
        </w:rPr>
        <w:t>a new process for translating decisions written by members of Court</w:t>
      </w:r>
      <w:r>
        <w:rPr>
          <w:lang w:val="en-US"/>
        </w:rPr>
        <w:t>.”</w:t>
      </w:r>
      <w:r>
        <w:rPr>
          <w:rStyle w:val="EndnoteReference"/>
          <w:lang w:val="en-US"/>
        </w:rPr>
        <w:endnoteReference w:id="66"/>
      </w:r>
    </w:p>
    <w:p w14:paraId="57FDD659" w14:textId="77777777" w:rsidR="0054535D" w:rsidRDefault="0054535D" w:rsidP="00115062">
      <w:pPr>
        <w:rPr>
          <w:lang w:val="en-US"/>
        </w:rPr>
      </w:pPr>
    </w:p>
    <w:p w14:paraId="6EFDE017" w14:textId="5321EFEA" w:rsidR="00630390" w:rsidRDefault="00630390" w:rsidP="00115062">
      <w:pPr>
        <w:rPr>
          <w:lang w:val="en-US"/>
        </w:rPr>
      </w:pPr>
      <w:r>
        <w:rPr>
          <w:lang w:val="en-US"/>
        </w:rPr>
        <w:t>The use of such tools will be evaluated according to seven principles identified in the directive:</w:t>
      </w:r>
      <w:r>
        <w:rPr>
          <w:rStyle w:val="EndnoteReference"/>
          <w:lang w:val="en-US"/>
        </w:rPr>
        <w:endnoteReference w:id="67"/>
      </w:r>
    </w:p>
    <w:p w14:paraId="2882F00E" w14:textId="77777777" w:rsidR="00630390" w:rsidRDefault="00630390" w:rsidP="00115062">
      <w:pPr>
        <w:rPr>
          <w:lang w:val="en-US"/>
        </w:rPr>
      </w:pPr>
    </w:p>
    <w:p w14:paraId="5206EFC7" w14:textId="77777777" w:rsidR="00630390" w:rsidRDefault="00630390" w:rsidP="00115062">
      <w:pPr>
        <w:numPr>
          <w:ilvl w:val="0"/>
          <w:numId w:val="87"/>
        </w:numPr>
        <w:spacing w:after="160" w:line="259" w:lineRule="auto"/>
      </w:pPr>
      <w:r w:rsidRPr="00EC1519">
        <w:rPr>
          <w:b/>
          <w:bCs/>
        </w:rPr>
        <w:lastRenderedPageBreak/>
        <w:t>Accountability:</w:t>
      </w:r>
      <w:r w:rsidRPr="00EC1519">
        <w:t xml:space="preserve"> The Court will be fully accountable to the public for any potential use of AI in its decision-making function;</w:t>
      </w:r>
    </w:p>
    <w:p w14:paraId="13DF3395" w14:textId="57C5958C" w:rsidR="00630390" w:rsidRDefault="00630390" w:rsidP="00115062">
      <w:pPr>
        <w:numPr>
          <w:ilvl w:val="0"/>
          <w:numId w:val="87"/>
        </w:numPr>
        <w:spacing w:after="160" w:line="259" w:lineRule="auto"/>
      </w:pPr>
      <w:r w:rsidRPr="00115062">
        <w:rPr>
          <w:b/>
          <w:bCs/>
        </w:rPr>
        <w:t>Respect of fundamental rights:</w:t>
      </w:r>
      <w:r w:rsidRPr="00EC1519">
        <w:t xml:space="preserve"> The Court will ensure its uses of AI do not undermine judicial independence, access to justice, or fundamental rights, such as the right to a fair hearing before an impartial decision-maker;</w:t>
      </w:r>
    </w:p>
    <w:p w14:paraId="74CA9891" w14:textId="77777777" w:rsidR="00630390" w:rsidRPr="00EC1519" w:rsidRDefault="00630390" w:rsidP="00115062">
      <w:pPr>
        <w:numPr>
          <w:ilvl w:val="0"/>
          <w:numId w:val="87"/>
        </w:numPr>
        <w:spacing w:after="160" w:line="259" w:lineRule="auto"/>
      </w:pPr>
      <w:r w:rsidRPr="00EC1519">
        <w:rPr>
          <w:b/>
          <w:bCs/>
        </w:rPr>
        <w:t>Non-discrimination:</w:t>
      </w:r>
      <w:r w:rsidRPr="00EC1519">
        <w:t xml:space="preserve"> The Court will ensure that its use of AI does not reproduce or aggravate discrimination;</w:t>
      </w:r>
    </w:p>
    <w:p w14:paraId="1B4BF0C8" w14:textId="77777777" w:rsidR="00630390" w:rsidRPr="00EC1519" w:rsidRDefault="00630390" w:rsidP="00115062">
      <w:pPr>
        <w:numPr>
          <w:ilvl w:val="0"/>
          <w:numId w:val="87"/>
        </w:numPr>
        <w:spacing w:after="160" w:line="259" w:lineRule="auto"/>
      </w:pPr>
      <w:r w:rsidRPr="00EC1519">
        <w:rPr>
          <w:b/>
          <w:bCs/>
        </w:rPr>
        <w:t>Accuracy:</w:t>
      </w:r>
      <w:r w:rsidRPr="00EC1519">
        <w:t xml:space="preserve"> For any processing of judicial decisions and data for purely administrative purposes, the Court will use certified or verified sources and data;</w:t>
      </w:r>
    </w:p>
    <w:p w14:paraId="4B60F71B" w14:textId="77777777" w:rsidR="00630390" w:rsidRPr="00EC1519" w:rsidRDefault="00630390" w:rsidP="00115062">
      <w:pPr>
        <w:numPr>
          <w:ilvl w:val="0"/>
          <w:numId w:val="87"/>
        </w:numPr>
        <w:spacing w:after="160" w:line="259" w:lineRule="auto"/>
      </w:pPr>
      <w:r w:rsidRPr="00EC1519">
        <w:rPr>
          <w:b/>
          <w:bCs/>
        </w:rPr>
        <w:t>Transparency:</w:t>
      </w:r>
      <w:r w:rsidRPr="00EC1519">
        <w:t xml:space="preserve"> The Court will authorize external audits of any AI-assisted data processing methods that it embraces;</w:t>
      </w:r>
    </w:p>
    <w:p w14:paraId="61F4A777" w14:textId="77777777" w:rsidR="00630390" w:rsidRPr="00EC1519" w:rsidRDefault="00630390" w:rsidP="00115062">
      <w:pPr>
        <w:numPr>
          <w:ilvl w:val="0"/>
          <w:numId w:val="87"/>
        </w:numPr>
        <w:spacing w:after="160" w:line="259" w:lineRule="auto"/>
      </w:pPr>
      <w:r w:rsidRPr="00EC1519">
        <w:rPr>
          <w:b/>
          <w:bCs/>
        </w:rPr>
        <w:t>Cybersecurity:</w:t>
      </w:r>
      <w:r w:rsidRPr="00EC1519">
        <w:t xml:space="preserve"> The Court will store and manage its data in a secure technological environment that protects the confidentiality, privacy, provenance, and purpose of the data managed; and,</w:t>
      </w:r>
    </w:p>
    <w:p w14:paraId="01C96636" w14:textId="08D9CA00" w:rsidR="00630390" w:rsidRPr="00EC1519" w:rsidRDefault="00630390" w:rsidP="00115062">
      <w:pPr>
        <w:numPr>
          <w:ilvl w:val="0"/>
          <w:numId w:val="87"/>
        </w:numPr>
        <w:spacing w:after="160" w:line="259" w:lineRule="auto"/>
      </w:pPr>
      <w:r w:rsidRPr="00EC1519">
        <w:rPr>
          <w:b/>
          <w:bCs/>
        </w:rPr>
        <w:t>“Human in the loop”:</w:t>
      </w:r>
      <w:r w:rsidRPr="00EC1519">
        <w:t xml:space="preserve"> The Court will ensure that members of the Court and their law clerks are aware of the need to verify the results of any AI-generated outputs that they may be inclined to use in their work.</w:t>
      </w:r>
      <w:r>
        <w:rPr>
          <w:rStyle w:val="EndnoteReference"/>
        </w:rPr>
        <w:endnoteReference w:id="68"/>
      </w:r>
    </w:p>
    <w:p w14:paraId="460286C5" w14:textId="77777777" w:rsidR="00630390" w:rsidRDefault="00630390" w:rsidP="00115062">
      <w:pPr>
        <w:rPr>
          <w:lang w:val="en-US"/>
        </w:rPr>
      </w:pPr>
      <w:r>
        <w:rPr>
          <w:lang w:val="en-US"/>
        </w:rPr>
        <w:t xml:space="preserve">The Court is also committed to public engagement prior to implementing an AI tool or process. </w:t>
      </w:r>
      <w:r w:rsidRPr="009A3569">
        <w:rPr>
          <w:lang w:val="en-US"/>
        </w:rPr>
        <w:t xml:space="preserve">If a specific use of AI by the Court may have an impact on the profession or public, </w:t>
      </w:r>
      <w:r>
        <w:rPr>
          <w:lang w:val="en-US"/>
        </w:rPr>
        <w:t>“</w:t>
      </w:r>
      <w:r w:rsidRPr="009A3569">
        <w:rPr>
          <w:lang w:val="en-US"/>
        </w:rPr>
        <w:t>the Court will consult the relevant stakeholders before implementing that specific use</w:t>
      </w:r>
      <w:r>
        <w:rPr>
          <w:lang w:val="en-US"/>
        </w:rPr>
        <w:t>.”</w:t>
      </w:r>
      <w:r>
        <w:rPr>
          <w:rStyle w:val="EndnoteReference"/>
          <w:lang w:val="en-US"/>
        </w:rPr>
        <w:endnoteReference w:id="69"/>
      </w:r>
    </w:p>
    <w:p w14:paraId="46BFB790" w14:textId="77777777" w:rsidR="00630390" w:rsidRDefault="00630390" w:rsidP="00115062">
      <w:pPr>
        <w:rPr>
          <w:lang w:val="en-US"/>
        </w:rPr>
      </w:pPr>
    </w:p>
    <w:p w14:paraId="69F91C17" w14:textId="0E8CD54C" w:rsidR="00630390" w:rsidRDefault="00630390" w:rsidP="00115062">
      <w:pPr>
        <w:rPr>
          <w:lang w:val="en-US"/>
        </w:rPr>
      </w:pPr>
      <w:r>
        <w:rPr>
          <w:lang w:val="en-US"/>
        </w:rPr>
        <w:t xml:space="preserve">The complimentary Federal Court directive regards the use of AI by legal counsel, self-represented and unrepresented litigants, and interveners. The parties have </w:t>
      </w:r>
      <w:r w:rsidR="00CA700C">
        <w:rPr>
          <w:lang w:val="en-US"/>
        </w:rPr>
        <w:t>equal</w:t>
      </w:r>
      <w:r>
        <w:rPr>
          <w:lang w:val="en-US"/>
        </w:rPr>
        <w:t xml:space="preserve"> responsibility:</w:t>
      </w:r>
      <w:r>
        <w:rPr>
          <w:rStyle w:val="EndnoteReference"/>
          <w:lang w:val="en-US"/>
        </w:rPr>
        <w:endnoteReference w:id="70"/>
      </w:r>
      <w:r w:rsidR="00F92586">
        <w:rPr>
          <w:lang w:val="en-US"/>
        </w:rPr>
        <w:br/>
      </w:r>
    </w:p>
    <w:p w14:paraId="14B7871C" w14:textId="77777777" w:rsidR="00630390" w:rsidRDefault="00630390" w:rsidP="00115062">
      <w:pPr>
        <w:pStyle w:val="ListParagraph"/>
        <w:numPr>
          <w:ilvl w:val="0"/>
          <w:numId w:val="89"/>
        </w:numPr>
        <w:spacing w:after="160" w:line="259" w:lineRule="auto"/>
        <w:rPr>
          <w:lang w:val="en-US"/>
        </w:rPr>
      </w:pPr>
      <w:r w:rsidRPr="0074474E">
        <w:rPr>
          <w:lang w:val="en-US"/>
        </w:rPr>
        <w:t xml:space="preserve">to inform </w:t>
      </w:r>
      <w:r>
        <w:rPr>
          <w:lang w:val="en-US"/>
        </w:rPr>
        <w:t>the Court</w:t>
      </w:r>
      <w:r w:rsidRPr="0074474E">
        <w:rPr>
          <w:lang w:val="en-US"/>
        </w:rPr>
        <w:t>, and each other, if they have used</w:t>
      </w:r>
      <w:r>
        <w:rPr>
          <w:lang w:val="en-US"/>
        </w:rPr>
        <w:t xml:space="preserve"> AI</w:t>
      </w:r>
      <w:r w:rsidRPr="0074474E">
        <w:rPr>
          <w:lang w:val="en-US"/>
        </w:rPr>
        <w:t xml:space="preserve"> to create or generate new content in preparing a document filed with the Court</w:t>
      </w:r>
      <w:r>
        <w:rPr>
          <w:lang w:val="en-US"/>
        </w:rPr>
        <w:t>;</w:t>
      </w:r>
    </w:p>
    <w:p w14:paraId="5FC6EE19" w14:textId="77777777" w:rsidR="00630390" w:rsidRPr="000070DE" w:rsidRDefault="00630390" w:rsidP="00115062">
      <w:pPr>
        <w:pStyle w:val="ListParagraph"/>
        <w:numPr>
          <w:ilvl w:val="0"/>
          <w:numId w:val="89"/>
        </w:numPr>
        <w:spacing w:after="160" w:line="259" w:lineRule="auto"/>
        <w:rPr>
          <w:lang w:val="en-US"/>
        </w:rPr>
      </w:pPr>
      <w:r w:rsidRPr="000070DE">
        <w:rPr>
          <w:lang w:val="en-US"/>
        </w:rPr>
        <w:t>to make a Declaration for AI-generated content. This applies to “to all documents that are (i) submitted to the Court, and (ii) prepared for the purpose</w:t>
      </w:r>
      <w:r>
        <w:rPr>
          <w:lang w:val="en-US"/>
        </w:rPr>
        <w:t xml:space="preserve"> </w:t>
      </w:r>
      <w:r w:rsidRPr="000070DE">
        <w:rPr>
          <w:lang w:val="en-US"/>
        </w:rPr>
        <w:t>of litigation</w:t>
      </w:r>
      <w:r>
        <w:rPr>
          <w:lang w:val="en-US"/>
        </w:rPr>
        <w:t>”</w:t>
      </w:r>
    </w:p>
    <w:p w14:paraId="6DA9265F" w14:textId="77777777" w:rsidR="00630390" w:rsidRDefault="00630390" w:rsidP="00115062">
      <w:pPr>
        <w:pStyle w:val="ListParagraph"/>
        <w:numPr>
          <w:ilvl w:val="0"/>
          <w:numId w:val="89"/>
        </w:numPr>
        <w:spacing w:after="160" w:line="259" w:lineRule="auto"/>
        <w:rPr>
          <w:lang w:val="en-US"/>
        </w:rPr>
      </w:pPr>
      <w:r w:rsidRPr="000070DE">
        <w:rPr>
          <w:lang w:val="en-US"/>
        </w:rPr>
        <w:t>to consider certain principles when using AI to prepare documentation filed with the Court.</w:t>
      </w:r>
      <w:r>
        <w:rPr>
          <w:lang w:val="en-US"/>
        </w:rPr>
        <w:t xml:space="preserve"> These principles include:</w:t>
      </w:r>
    </w:p>
    <w:p w14:paraId="0D31FCEE" w14:textId="77777777" w:rsidR="00630390" w:rsidRDefault="00630390" w:rsidP="00115062">
      <w:pPr>
        <w:pStyle w:val="ListParagraph"/>
        <w:numPr>
          <w:ilvl w:val="1"/>
          <w:numId w:val="89"/>
        </w:numPr>
        <w:spacing w:after="160" w:line="259" w:lineRule="auto"/>
        <w:rPr>
          <w:lang w:val="en-US"/>
        </w:rPr>
      </w:pPr>
      <w:r>
        <w:rPr>
          <w:lang w:val="en-US"/>
        </w:rPr>
        <w:t>caution “</w:t>
      </w:r>
      <w:r w:rsidRPr="00B62A75">
        <w:rPr>
          <w:lang w:val="en-US"/>
        </w:rPr>
        <w:t>when using legal references or analysis created or generated by AI</w:t>
      </w:r>
      <w:r>
        <w:rPr>
          <w:lang w:val="en-US"/>
        </w:rPr>
        <w:t>” and “</w:t>
      </w:r>
      <w:r w:rsidRPr="00B62A75">
        <w:rPr>
          <w:lang w:val="en-US"/>
        </w:rPr>
        <w:t>to use only well-recognized and reliable sources</w:t>
      </w:r>
      <w:r>
        <w:rPr>
          <w:lang w:val="en-US"/>
        </w:rPr>
        <w:t>;” and</w:t>
      </w:r>
    </w:p>
    <w:p w14:paraId="51C0F806" w14:textId="77777777" w:rsidR="00630390" w:rsidRDefault="00630390" w:rsidP="00115062">
      <w:pPr>
        <w:pStyle w:val="ListParagraph"/>
        <w:numPr>
          <w:ilvl w:val="1"/>
          <w:numId w:val="89"/>
        </w:numPr>
        <w:spacing w:after="160" w:line="259" w:lineRule="auto"/>
        <w:rPr>
          <w:lang w:val="en-US"/>
        </w:rPr>
      </w:pPr>
      <w:r w:rsidRPr="00B62A75">
        <w:rPr>
          <w:lang w:val="en-US"/>
        </w:rPr>
        <w:t>human-in-the-loop given that “it is essential to check documents and</w:t>
      </w:r>
      <w:r>
        <w:rPr>
          <w:lang w:val="en-US"/>
        </w:rPr>
        <w:t xml:space="preserve"> </w:t>
      </w:r>
      <w:r w:rsidRPr="00B62A75">
        <w:rPr>
          <w:lang w:val="en-US"/>
        </w:rPr>
        <w:t>material generated by AI</w:t>
      </w:r>
      <w:r>
        <w:rPr>
          <w:lang w:val="en-US"/>
        </w:rPr>
        <w:t>… [to] th</w:t>
      </w:r>
      <w:r w:rsidRPr="00B62A75">
        <w:rPr>
          <w:lang w:val="en-US"/>
        </w:rPr>
        <w:t>e standards generally required within the legal profession</w:t>
      </w:r>
      <w:r>
        <w:rPr>
          <w:lang w:val="en-US"/>
        </w:rPr>
        <w:t>.”</w:t>
      </w:r>
    </w:p>
    <w:p w14:paraId="72F7D58B" w14:textId="77777777" w:rsidR="00630390" w:rsidRDefault="00630390" w:rsidP="00115062">
      <w:pPr>
        <w:pStyle w:val="ListParagraph"/>
        <w:numPr>
          <w:ilvl w:val="0"/>
          <w:numId w:val="89"/>
        </w:numPr>
        <w:spacing w:after="160" w:line="259" w:lineRule="auto"/>
        <w:rPr>
          <w:lang w:val="en-US"/>
        </w:rPr>
      </w:pPr>
      <w:r w:rsidRPr="00B42769">
        <w:rPr>
          <w:lang w:val="en-US"/>
        </w:rPr>
        <w:lastRenderedPageBreak/>
        <w:t>to disclose AI within scope. The directive distinguishes between AI “capable of</w:t>
      </w:r>
      <w:r>
        <w:rPr>
          <w:lang w:val="en-US"/>
        </w:rPr>
        <w:t xml:space="preserve"> </w:t>
      </w:r>
      <w:r w:rsidRPr="00B42769">
        <w:rPr>
          <w:lang w:val="en-US"/>
        </w:rPr>
        <w:t>generating new content and independently creating or generating information or documents</w:t>
      </w:r>
      <w:r>
        <w:rPr>
          <w:lang w:val="en-US"/>
        </w:rPr>
        <w:t>” against “</w:t>
      </w:r>
      <w:r w:rsidRPr="00B42769">
        <w:rPr>
          <w:lang w:val="en-US"/>
        </w:rPr>
        <w:t>AI that lacks the creative ability to generate new content</w:t>
      </w:r>
      <w:r>
        <w:rPr>
          <w:lang w:val="en-US"/>
        </w:rPr>
        <w:t>.”</w:t>
      </w:r>
    </w:p>
    <w:p w14:paraId="28C82DC2" w14:textId="77777777" w:rsidR="00630390" w:rsidRPr="006A56B7" w:rsidRDefault="00630390" w:rsidP="00115062">
      <w:pPr>
        <w:pStyle w:val="ListParagraph"/>
        <w:numPr>
          <w:ilvl w:val="0"/>
          <w:numId w:val="89"/>
        </w:numPr>
        <w:spacing w:after="160" w:line="259" w:lineRule="auto"/>
        <w:rPr>
          <w:lang w:val="en-US"/>
        </w:rPr>
      </w:pPr>
      <w:r w:rsidRPr="00C55B4D">
        <w:rPr>
          <w:lang w:val="en-US"/>
        </w:rPr>
        <w:t>to recognize limitations of AI, including “hallucinations” and “the potential for</w:t>
      </w:r>
      <w:r>
        <w:rPr>
          <w:lang w:val="en-US"/>
        </w:rPr>
        <w:t xml:space="preserve"> </w:t>
      </w:r>
      <w:r w:rsidRPr="00C55B4D">
        <w:rPr>
          <w:lang w:val="en-US"/>
        </w:rPr>
        <w:t>bias in AI programs, their underlying algorithms, and data sets</w:t>
      </w:r>
      <w:r>
        <w:rPr>
          <w:lang w:val="en-US"/>
        </w:rPr>
        <w:t>.”</w:t>
      </w:r>
    </w:p>
    <w:p w14:paraId="2290337C" w14:textId="77777777" w:rsidR="00630390" w:rsidRPr="006A56B7" w:rsidRDefault="00630390" w:rsidP="00115062">
      <w:pPr>
        <w:rPr>
          <w:lang w:val="en-US"/>
        </w:rPr>
      </w:pPr>
      <w:r w:rsidRPr="006A56B7">
        <w:rPr>
          <w:b/>
          <w:bCs/>
          <w:lang w:val="en-US"/>
        </w:rPr>
        <w:t>Provincial Court Directives</w:t>
      </w:r>
    </w:p>
    <w:p w14:paraId="3222D37F" w14:textId="77777777" w:rsidR="00630390" w:rsidRDefault="00630390" w:rsidP="00115062">
      <w:pPr>
        <w:rPr>
          <w:lang w:val="en-US"/>
        </w:rPr>
      </w:pPr>
    </w:p>
    <w:p w14:paraId="1113E4E1" w14:textId="43F1E674" w:rsidR="00630390" w:rsidRDefault="00630390" w:rsidP="00115062">
      <w:pPr>
        <w:rPr>
          <w:lang w:val="en-US"/>
        </w:rPr>
      </w:pPr>
      <w:r>
        <w:rPr>
          <w:lang w:val="en-US"/>
        </w:rPr>
        <w:t>Provincial court practice directives are each distinct but share common themes and, in many cases, common language.</w:t>
      </w:r>
    </w:p>
    <w:p w14:paraId="3076FA10" w14:textId="77777777" w:rsidR="00630390" w:rsidRPr="006A56B7" w:rsidRDefault="00630390" w:rsidP="00115062">
      <w:pPr>
        <w:rPr>
          <w:b/>
          <w:bCs/>
          <w:lang w:val="en-US"/>
        </w:rPr>
      </w:pPr>
    </w:p>
    <w:p w14:paraId="4340547E" w14:textId="11445E94" w:rsidR="00630390" w:rsidRDefault="00630390" w:rsidP="00115062">
      <w:pPr>
        <w:rPr>
          <w:lang w:val="en-US"/>
        </w:rPr>
      </w:pPr>
      <w:r>
        <w:rPr>
          <w:lang w:val="en-US"/>
        </w:rPr>
        <w:t xml:space="preserve">Among the shorter policies (typically less than a page long) the directive addresses </w:t>
      </w:r>
      <w:r w:rsidRPr="00424DC1">
        <w:rPr>
          <w:lang w:val="en-US"/>
        </w:rPr>
        <w:t xml:space="preserve">the responsible use of </w:t>
      </w:r>
      <w:r>
        <w:rPr>
          <w:lang w:val="en-US"/>
        </w:rPr>
        <w:t xml:space="preserve">AI in relation to </w:t>
      </w:r>
      <w:r w:rsidRPr="00424DC1">
        <w:rPr>
          <w:lang w:val="en-US"/>
        </w:rPr>
        <w:t>the reliability and accuracy of the</w:t>
      </w:r>
      <w:r>
        <w:rPr>
          <w:lang w:val="en-US"/>
        </w:rPr>
        <w:t xml:space="preserve"> </w:t>
      </w:r>
      <w:r w:rsidRPr="00424DC1">
        <w:rPr>
          <w:lang w:val="en-US"/>
        </w:rPr>
        <w:t xml:space="preserve">information generated </w:t>
      </w:r>
      <w:r>
        <w:rPr>
          <w:lang w:val="en-US"/>
        </w:rPr>
        <w:t xml:space="preserve">by it. This is the case for directives in </w:t>
      </w:r>
      <w:hyperlink r:id="rId39" w:history="1">
        <w:r w:rsidRPr="00424DC1">
          <w:rPr>
            <w:rStyle w:val="Hyperlink"/>
            <w:lang w:val="en-US"/>
          </w:rPr>
          <w:t>Alberta</w:t>
        </w:r>
      </w:hyperlink>
      <w:r>
        <w:rPr>
          <w:lang w:val="en-US"/>
        </w:rPr>
        <w:t xml:space="preserve">, </w:t>
      </w:r>
      <w:hyperlink r:id="rId40" w:history="1">
        <w:r w:rsidRPr="00424DC1">
          <w:rPr>
            <w:rStyle w:val="Hyperlink"/>
            <w:lang w:val="en-US"/>
          </w:rPr>
          <w:t>Manitoba</w:t>
        </w:r>
      </w:hyperlink>
      <w:r>
        <w:rPr>
          <w:lang w:val="en-US"/>
        </w:rPr>
        <w:t xml:space="preserve">, </w:t>
      </w:r>
      <w:hyperlink r:id="rId41" w:history="1">
        <w:r w:rsidRPr="006A56B7">
          <w:rPr>
            <w:rStyle w:val="Hyperlink"/>
            <w:lang w:val="en-US"/>
          </w:rPr>
          <w:t>Newfoundland</w:t>
        </w:r>
      </w:hyperlink>
      <w:r>
        <w:rPr>
          <w:lang w:val="en-US"/>
        </w:rPr>
        <w:t xml:space="preserve">, </w:t>
      </w:r>
      <w:r w:rsidR="00771819">
        <w:rPr>
          <w:lang w:val="en-US"/>
        </w:rPr>
        <w:t>Nova</w:t>
      </w:r>
      <w:r>
        <w:rPr>
          <w:lang w:val="en-US"/>
        </w:rPr>
        <w:t xml:space="preserve"> Scotia (</w:t>
      </w:r>
      <w:hyperlink r:id="rId42" w:history="1">
        <w:r w:rsidRPr="00292D42">
          <w:rPr>
            <w:rStyle w:val="Hyperlink"/>
            <w:lang w:val="en-US"/>
          </w:rPr>
          <w:t>Provincial Court</w:t>
        </w:r>
      </w:hyperlink>
      <w:r>
        <w:rPr>
          <w:lang w:val="en-US"/>
        </w:rPr>
        <w:t xml:space="preserve"> and </w:t>
      </w:r>
      <w:hyperlink r:id="rId43" w:history="1">
        <w:r w:rsidRPr="00292D42">
          <w:rPr>
            <w:rStyle w:val="Hyperlink"/>
            <w:lang w:val="en-US"/>
          </w:rPr>
          <w:t>Supreme Court</w:t>
        </w:r>
      </w:hyperlink>
      <w:r>
        <w:rPr>
          <w:lang w:val="en-US"/>
        </w:rPr>
        <w:t xml:space="preserve">), </w:t>
      </w:r>
      <w:hyperlink r:id="rId44" w:history="1">
        <w:r w:rsidRPr="00292D42">
          <w:rPr>
            <w:rStyle w:val="Hyperlink"/>
            <w:lang w:val="en-US"/>
          </w:rPr>
          <w:t>Quebec</w:t>
        </w:r>
      </w:hyperlink>
      <w:r>
        <w:rPr>
          <w:lang w:val="en-US"/>
        </w:rPr>
        <w:t xml:space="preserve">, and the </w:t>
      </w:r>
      <w:hyperlink r:id="rId45" w:history="1">
        <w:r w:rsidRPr="00292D42">
          <w:rPr>
            <w:rStyle w:val="Hyperlink"/>
            <w:lang w:val="en-US"/>
          </w:rPr>
          <w:t>Yukon Territory</w:t>
        </w:r>
      </w:hyperlink>
      <w:r>
        <w:rPr>
          <w:lang w:val="en-US"/>
        </w:rPr>
        <w:t>.</w:t>
      </w:r>
    </w:p>
    <w:p w14:paraId="1CAA097B" w14:textId="77777777" w:rsidR="00630390" w:rsidRDefault="00630390" w:rsidP="00115062">
      <w:pPr>
        <w:rPr>
          <w:lang w:val="en-US"/>
        </w:rPr>
      </w:pPr>
    </w:p>
    <w:p w14:paraId="15F64DED" w14:textId="5F640F41" w:rsidR="00630390" w:rsidRDefault="00630390" w:rsidP="00115062">
      <w:pPr>
        <w:rPr>
          <w:lang w:val="en-US"/>
        </w:rPr>
      </w:pPr>
      <w:r>
        <w:rPr>
          <w:lang w:val="en-US"/>
        </w:rPr>
        <w:t>Among these directives, some “urge” or “expect” or “reinforce” principles of responsible use of AI, including “caution” when using any generative AI system; “reliance” by cross-referencing to established authorities; and verification by “human in the loop” standards for authenticity and accuracy. Language in these directives typically resemble or mirror one another, including the Federal Court directive on the Court’s Use of AI.</w:t>
      </w:r>
    </w:p>
    <w:p w14:paraId="5807055F" w14:textId="77777777" w:rsidR="00630390" w:rsidRDefault="00630390" w:rsidP="00115062">
      <w:pPr>
        <w:rPr>
          <w:lang w:val="en-US"/>
        </w:rPr>
      </w:pPr>
    </w:p>
    <w:p w14:paraId="7B3DC3EC" w14:textId="38AF4267" w:rsidR="00630390" w:rsidRDefault="00025F41" w:rsidP="00721305">
      <w:r w:rsidRPr="00025F41">
        <w:rPr>
          <w:lang w:val="en-US"/>
        </w:rPr>
        <w:t>For their part, three courts in Ontario have formed a “Tri-Court Committee” to establish a unified policy that will govern the use of AI by the courts. A draft is expected at some point in the near future</w:t>
      </w:r>
      <w:r w:rsidR="00630390">
        <w:t>.</w:t>
      </w:r>
    </w:p>
    <w:p w14:paraId="0B924174" w14:textId="77777777" w:rsidR="00630390" w:rsidRDefault="00630390" w:rsidP="00721305"/>
    <w:p w14:paraId="04E5B744" w14:textId="45EF8156" w:rsidR="00630390" w:rsidRDefault="00630390" w:rsidP="00721305">
      <w:r>
        <w:t>For their part, Ontario’s Ministry of the Attorney General a</w:t>
      </w:r>
      <w:r w:rsidRPr="008B509A">
        <w:t xml:space="preserve">lso </w:t>
      </w:r>
      <w:r>
        <w:t>does not</w:t>
      </w:r>
      <w:r w:rsidRPr="008B509A">
        <w:t xml:space="preserve"> specifically address </w:t>
      </w:r>
      <w:r>
        <w:t xml:space="preserve">AI in the recent </w:t>
      </w:r>
      <w:r w:rsidRPr="008B509A">
        <w:t>“</w:t>
      </w:r>
      <w:r w:rsidRPr="008B509A">
        <w:rPr>
          <w:i/>
          <w:iCs/>
        </w:rPr>
        <w:t>Published plans and annual reports 2023 – 2024: Ministry of the Attorney General</w:t>
      </w:r>
      <w:r>
        <w:rPr>
          <w:i/>
          <w:iCs/>
        </w:rPr>
        <w:t>.</w:t>
      </w:r>
      <w:r w:rsidRPr="008B509A">
        <w:t>”</w:t>
      </w:r>
      <w:r>
        <w:t xml:space="preserve"> This appears to be at odds with objectives defined in MAG’s </w:t>
      </w:r>
      <w:r w:rsidRPr="008B509A">
        <w:t>“</w:t>
      </w:r>
      <w:r w:rsidRPr="003665FA">
        <w:rPr>
          <w:i/>
          <w:iCs/>
        </w:rPr>
        <w:t>2023 – 2024 Strategic Plan</w:t>
      </w:r>
      <w:r w:rsidRPr="008B509A">
        <w:t>”</w:t>
      </w:r>
      <w:r>
        <w:t xml:space="preserve"> that: </w:t>
      </w:r>
    </w:p>
    <w:p w14:paraId="51FC1626" w14:textId="77777777" w:rsidR="00630390" w:rsidRPr="00CA700C" w:rsidRDefault="00630390" w:rsidP="00721305">
      <w:pPr>
        <w:pStyle w:val="Quote"/>
        <w:jc w:val="both"/>
        <w:rPr>
          <w:i w:val="0"/>
          <w:iCs w:val="0"/>
          <w:shd w:val="clear" w:color="auto" w:fill="FFFFFF"/>
        </w:rPr>
      </w:pPr>
      <w:r w:rsidRPr="00CA700C">
        <w:rPr>
          <w:i w:val="0"/>
          <w:iCs w:val="0"/>
        </w:rPr>
        <w:t>“</w:t>
      </w:r>
      <w:r w:rsidRPr="00CA700C">
        <w:rPr>
          <w:i w:val="0"/>
          <w:iCs w:val="0"/>
          <w:shd w:val="clear" w:color="auto" w:fill="FFFFFF"/>
        </w:rPr>
        <w:t>The ministry is taking a multi-pronged approach to transforming antiquated systems through implementation of Lean practices to review all processes and implement an end-to-end digital case management system, making investments to establish a sustainable justice system to ensure flexibility in a modern workforce that will be able to adjust for future caseload pressures.”</w:t>
      </w:r>
      <w:r w:rsidRPr="00CA700C">
        <w:rPr>
          <w:rStyle w:val="EndnoteReference"/>
          <w:i w:val="0"/>
          <w:iCs w:val="0"/>
          <w:color w:val="1A1A1A"/>
          <w:shd w:val="clear" w:color="auto" w:fill="FFFFFF"/>
        </w:rPr>
        <w:endnoteReference w:id="71"/>
      </w:r>
    </w:p>
    <w:p w14:paraId="03B0939C" w14:textId="77777777" w:rsidR="00630390" w:rsidRDefault="00630390" w:rsidP="00115062">
      <w:pPr>
        <w:rPr>
          <w:lang w:val="en-US"/>
        </w:rPr>
      </w:pPr>
    </w:p>
    <w:p w14:paraId="2ECF6943" w14:textId="77777777" w:rsidR="00630390" w:rsidRPr="00292D42" w:rsidRDefault="00630390" w:rsidP="00115062">
      <w:pPr>
        <w:rPr>
          <w:b/>
          <w:bCs/>
          <w:lang w:val="en-US"/>
        </w:rPr>
      </w:pPr>
      <w:r w:rsidRPr="00292D42">
        <w:rPr>
          <w:b/>
          <w:bCs/>
          <w:lang w:val="en-US"/>
        </w:rPr>
        <w:t>Court Directives Outside of Canada</w:t>
      </w:r>
    </w:p>
    <w:p w14:paraId="3F228B91" w14:textId="77777777" w:rsidR="00630390" w:rsidRDefault="00630390" w:rsidP="00115062">
      <w:pPr>
        <w:rPr>
          <w:lang w:val="en-US"/>
        </w:rPr>
      </w:pPr>
    </w:p>
    <w:p w14:paraId="6605F865" w14:textId="026ED615" w:rsidR="00630390" w:rsidRDefault="00630390" w:rsidP="00115062">
      <w:pPr>
        <w:rPr>
          <w:lang w:val="en-US"/>
        </w:rPr>
      </w:pPr>
      <w:r>
        <w:rPr>
          <w:lang w:val="en-US"/>
        </w:rPr>
        <w:t xml:space="preserve">Some courts outside of Canada have established practice directions of their own. Notable </w:t>
      </w:r>
      <w:r w:rsidR="0082618E">
        <w:rPr>
          <w:lang w:val="en-US"/>
        </w:rPr>
        <w:t>policies</w:t>
      </w:r>
      <w:r>
        <w:rPr>
          <w:lang w:val="en-US"/>
        </w:rPr>
        <w:t xml:space="preserve"> include the following:</w:t>
      </w:r>
    </w:p>
    <w:p w14:paraId="0E17185B" w14:textId="7F786199" w:rsidR="00630390" w:rsidRPr="0082618E" w:rsidRDefault="00630390" w:rsidP="00A14984">
      <w:pPr>
        <w:pStyle w:val="ListParagraph"/>
        <w:numPr>
          <w:ilvl w:val="0"/>
          <w:numId w:val="88"/>
        </w:numPr>
        <w:spacing w:after="160" w:line="259" w:lineRule="auto"/>
        <w:rPr>
          <w:lang w:val="en-US"/>
        </w:rPr>
      </w:pPr>
      <w:r w:rsidRPr="0082618E">
        <w:rPr>
          <w:lang w:val="en-US"/>
        </w:rPr>
        <w:lastRenderedPageBreak/>
        <w:t>United Kingdom</w:t>
      </w:r>
      <w:r w:rsidR="00963EE6">
        <w:rPr>
          <w:lang w:val="en-US"/>
        </w:rPr>
        <w:t>: In December 2023 the UK</w:t>
      </w:r>
      <w:r w:rsidR="0082618E" w:rsidRPr="0082618E">
        <w:rPr>
          <w:lang w:val="en-US"/>
        </w:rPr>
        <w:t xml:space="preserve"> Courts and Tribunals Judiciary</w:t>
      </w:r>
      <w:r w:rsidR="00963EE6">
        <w:rPr>
          <w:lang w:val="en-US"/>
        </w:rPr>
        <w:t xml:space="preserve"> introduced their </w:t>
      </w:r>
      <w:r w:rsidR="0082618E" w:rsidRPr="0082618E">
        <w:rPr>
          <w:lang w:val="en-US"/>
        </w:rPr>
        <w:t>“Artificial Intelligence (AI): Guidance for Judicial Office Holders</w:t>
      </w:r>
      <w:r w:rsidR="00963EE6">
        <w:rPr>
          <w:lang w:val="en-US"/>
        </w:rPr>
        <w:t xml:space="preserve">.” The guidance </w:t>
      </w:r>
      <w:r w:rsidR="0082618E" w:rsidRPr="0082618E">
        <w:rPr>
          <w:lang w:val="en-US"/>
        </w:rPr>
        <w:t xml:space="preserve">“sets out key risks and issues associated with using AI and some suggestions for </w:t>
      </w:r>
      <w:r w:rsidR="0082618E">
        <w:rPr>
          <w:lang w:val="en-US"/>
        </w:rPr>
        <w:t xml:space="preserve">minimizing </w:t>
      </w:r>
      <w:r w:rsidR="0082618E" w:rsidRPr="0082618E">
        <w:rPr>
          <w:lang w:val="en-US"/>
        </w:rPr>
        <w:t>them</w:t>
      </w:r>
      <w:r w:rsidR="0082618E">
        <w:rPr>
          <w:lang w:val="en-US"/>
        </w:rPr>
        <w:t xml:space="preserve">” through a principled approach which directs decision makers to </w:t>
      </w:r>
      <w:r w:rsidR="00963EE6">
        <w:rPr>
          <w:lang w:val="en-US"/>
        </w:rPr>
        <w:t xml:space="preserve">ensure they </w:t>
      </w:r>
      <w:r w:rsidR="0082618E">
        <w:rPr>
          <w:lang w:val="en-US"/>
        </w:rPr>
        <w:t>“</w:t>
      </w:r>
      <w:r w:rsidR="0082618E" w:rsidRPr="0082618E">
        <w:rPr>
          <w:lang w:val="en-US"/>
        </w:rPr>
        <w:t>Understand AI and its applications</w:t>
      </w:r>
      <w:r w:rsidR="0082618E">
        <w:rPr>
          <w:lang w:val="en-US"/>
        </w:rPr>
        <w:t>;” “</w:t>
      </w:r>
      <w:r w:rsidR="0082618E" w:rsidRPr="0082618E">
        <w:rPr>
          <w:lang w:val="en-US"/>
        </w:rPr>
        <w:t>Uphold confidentiality and privacy</w:t>
      </w:r>
      <w:r w:rsidR="0082618E">
        <w:rPr>
          <w:lang w:val="en-US"/>
        </w:rPr>
        <w:t>;” “</w:t>
      </w:r>
      <w:r w:rsidR="0082618E" w:rsidRPr="0082618E">
        <w:rPr>
          <w:lang w:val="en-US"/>
        </w:rPr>
        <w:t>Ensure accountability and accuracy</w:t>
      </w:r>
      <w:r w:rsidR="0082618E">
        <w:rPr>
          <w:lang w:val="en-US"/>
        </w:rPr>
        <w:t>;” “</w:t>
      </w:r>
      <w:r w:rsidR="0082618E" w:rsidRPr="0082618E">
        <w:rPr>
          <w:lang w:val="en-US"/>
        </w:rPr>
        <w:t>Be aware of bias</w:t>
      </w:r>
      <w:r w:rsidR="0082618E">
        <w:rPr>
          <w:lang w:val="en-US"/>
        </w:rPr>
        <w:t>;</w:t>
      </w:r>
      <w:r w:rsidR="00963EE6">
        <w:rPr>
          <w:lang w:val="en-US"/>
        </w:rPr>
        <w:t>”</w:t>
      </w:r>
      <w:r w:rsidR="0082618E">
        <w:rPr>
          <w:lang w:val="en-US"/>
        </w:rPr>
        <w:t xml:space="preserve"> “</w:t>
      </w:r>
      <w:r w:rsidR="0082618E" w:rsidRPr="0082618E">
        <w:rPr>
          <w:lang w:val="en-US"/>
        </w:rPr>
        <w:t xml:space="preserve">Take </w:t>
      </w:r>
      <w:r w:rsidR="0082618E">
        <w:rPr>
          <w:lang w:val="en-US"/>
        </w:rPr>
        <w:t xml:space="preserve">[Personal] </w:t>
      </w:r>
      <w:r w:rsidR="0082618E" w:rsidRPr="0082618E">
        <w:rPr>
          <w:lang w:val="en-US"/>
        </w:rPr>
        <w:t>Responsibility</w:t>
      </w:r>
      <w:r w:rsidR="0082618E">
        <w:rPr>
          <w:lang w:val="en-US"/>
        </w:rPr>
        <w:t>”</w:t>
      </w:r>
      <w:r w:rsidR="00963EE6">
        <w:rPr>
          <w:lang w:val="en-US"/>
        </w:rPr>
        <w:t xml:space="preserve"> for AI outputs;</w:t>
      </w:r>
      <w:r w:rsidR="0082618E">
        <w:rPr>
          <w:lang w:val="en-US"/>
        </w:rPr>
        <w:t xml:space="preserve"> and </w:t>
      </w:r>
      <w:r w:rsidR="00963EE6">
        <w:rPr>
          <w:lang w:val="en-US"/>
        </w:rPr>
        <w:t>must</w:t>
      </w:r>
      <w:r w:rsidR="0082618E">
        <w:rPr>
          <w:lang w:val="en-US"/>
        </w:rPr>
        <w:t xml:space="preserve"> “</w:t>
      </w:r>
      <w:r w:rsidR="0082618E" w:rsidRPr="0082618E">
        <w:rPr>
          <w:lang w:val="en-US"/>
        </w:rPr>
        <w:t>Be aware that court/tribunal users may have used AI tools</w:t>
      </w:r>
      <w:r w:rsidR="0082618E">
        <w:rPr>
          <w:lang w:val="en-US"/>
        </w:rPr>
        <w:t>.”</w:t>
      </w:r>
      <w:r w:rsidR="0082618E" w:rsidRPr="0082618E">
        <w:rPr>
          <w:rStyle w:val="EndnoteReference"/>
          <w:lang w:val="en-US"/>
        </w:rPr>
        <w:endnoteReference w:id="72"/>
      </w:r>
    </w:p>
    <w:p w14:paraId="23640B36" w14:textId="3F8BBDFF" w:rsidR="00630390" w:rsidRPr="001D70FF" w:rsidRDefault="00630390" w:rsidP="00E51EF9">
      <w:pPr>
        <w:pStyle w:val="ListParagraph"/>
        <w:numPr>
          <w:ilvl w:val="0"/>
          <w:numId w:val="88"/>
        </w:numPr>
        <w:spacing w:after="160" w:line="259" w:lineRule="auto"/>
        <w:rPr>
          <w:lang w:val="en-US"/>
        </w:rPr>
      </w:pPr>
      <w:r w:rsidRPr="001D70FF">
        <w:rPr>
          <w:lang w:val="en-US"/>
        </w:rPr>
        <w:t xml:space="preserve">United States: </w:t>
      </w:r>
      <w:r w:rsidR="00A46E71" w:rsidRPr="001D70FF">
        <w:rPr>
          <w:lang w:val="en-US"/>
        </w:rPr>
        <w:t>At least 17 US federal or specialty courts have issued orders (policies) to guide their local court on the use of AI in litigation. Most recently</w:t>
      </w:r>
      <w:r w:rsidR="00006DFE" w:rsidRPr="001D70FF">
        <w:rPr>
          <w:lang w:val="en-US"/>
        </w:rPr>
        <w:t xml:space="preserve"> in late 2024</w:t>
      </w:r>
      <w:r w:rsidR="00A46E71" w:rsidRPr="001D70FF">
        <w:rPr>
          <w:lang w:val="en-US"/>
        </w:rPr>
        <w:t xml:space="preserve">, the U.S. Judicial Conference's Advisory Committee on Evidence Rules began meeting to develop a regulation on the admission of AI-mediated evidence, including deep fakes. Judicial education also plays an important role in normalizing practices, such as </w:t>
      </w:r>
      <w:r w:rsidR="0082618E" w:rsidRPr="001D70FF">
        <w:rPr>
          <w:lang w:val="en-US"/>
        </w:rPr>
        <w:t>th</w:t>
      </w:r>
      <w:r w:rsidR="001D70FF" w:rsidRPr="001D70FF">
        <w:rPr>
          <w:lang w:val="en-US"/>
        </w:rPr>
        <w:t xml:space="preserve">ose from The Sedona Conference’s </w:t>
      </w:r>
      <w:r w:rsidR="001D70FF" w:rsidRPr="001D70FF">
        <w:rPr>
          <w:i/>
          <w:iCs/>
          <w:lang w:val="en-US"/>
        </w:rPr>
        <w:t>Navigating AI in the Judiciary: New</w:t>
      </w:r>
      <w:r w:rsidR="001D70FF">
        <w:rPr>
          <w:i/>
          <w:iCs/>
          <w:lang w:val="en-US"/>
        </w:rPr>
        <w:t xml:space="preserve"> </w:t>
      </w:r>
      <w:r w:rsidR="001D70FF" w:rsidRPr="001D70FF">
        <w:rPr>
          <w:i/>
          <w:iCs/>
          <w:lang w:val="en-US"/>
        </w:rPr>
        <w:t>Guidelines for Judges and Their Chambers</w:t>
      </w:r>
      <w:r w:rsidR="0082618E" w:rsidRPr="001D70FF">
        <w:rPr>
          <w:lang w:val="en-US"/>
        </w:rPr>
        <w:t xml:space="preserve"> </w:t>
      </w:r>
      <w:r w:rsidR="001D70FF" w:rsidRPr="001D70FF">
        <w:rPr>
          <w:lang w:val="en-US"/>
        </w:rPr>
        <w:t xml:space="preserve">and the </w:t>
      </w:r>
      <w:r w:rsidR="0082618E" w:rsidRPr="001D70FF">
        <w:rPr>
          <w:lang w:val="en-US"/>
        </w:rPr>
        <w:t xml:space="preserve">Federal Judicial Center’s </w:t>
      </w:r>
      <w:r w:rsidR="0082618E" w:rsidRPr="001D70FF">
        <w:rPr>
          <w:i/>
          <w:iCs/>
          <w:lang w:val="en-US"/>
        </w:rPr>
        <w:t>An Introduction to Artificial Intelligence for Federal Judges</w:t>
      </w:r>
      <w:r w:rsidR="00A46E71" w:rsidRPr="001D70FF">
        <w:rPr>
          <w:lang w:val="en-US"/>
        </w:rPr>
        <w:t>.</w:t>
      </w:r>
      <w:r w:rsidR="00A46E71">
        <w:rPr>
          <w:rStyle w:val="EndnoteReference"/>
          <w:lang w:val="en-US"/>
        </w:rPr>
        <w:endnoteReference w:id="73"/>
      </w:r>
    </w:p>
    <w:p w14:paraId="3064839A" w14:textId="77777777" w:rsidR="00630390" w:rsidRDefault="00630390" w:rsidP="00817D00"/>
    <w:p w14:paraId="5498177D" w14:textId="3AA393A9" w:rsidR="00630390" w:rsidRPr="00115062" w:rsidRDefault="00630390" w:rsidP="00817D00">
      <w:pPr>
        <w:rPr>
          <w:b/>
          <w:bCs/>
        </w:rPr>
      </w:pPr>
      <w:r w:rsidRPr="00115062">
        <w:rPr>
          <w:b/>
          <w:bCs/>
        </w:rPr>
        <w:t>Law Society Practice Directions in Canada and Elsewhere</w:t>
      </w:r>
    </w:p>
    <w:p w14:paraId="4CA5802A" w14:textId="77777777" w:rsidR="00630390" w:rsidRDefault="00630390" w:rsidP="00817D00"/>
    <w:p w14:paraId="097441E9" w14:textId="77777777" w:rsidR="00630390" w:rsidRDefault="00630390" w:rsidP="00115062">
      <w:pPr>
        <w:rPr>
          <w:lang w:val="en-US"/>
        </w:rPr>
      </w:pPr>
      <w:r>
        <w:rPr>
          <w:lang w:val="en-US"/>
        </w:rPr>
        <w:t xml:space="preserve">Perhaps complimentary to court issued practice directions on AI, law societies across Canada have begun to introduce interpretive guidance on </w:t>
      </w:r>
      <w:r w:rsidRPr="004744C9">
        <w:rPr>
          <w:lang w:val="en-US"/>
        </w:rPr>
        <w:t>how to use generative AI in a manner consistent</w:t>
      </w:r>
      <w:r>
        <w:rPr>
          <w:lang w:val="en-US"/>
        </w:rPr>
        <w:t xml:space="preserve"> </w:t>
      </w:r>
      <w:r w:rsidRPr="004744C9">
        <w:rPr>
          <w:lang w:val="en-US"/>
        </w:rPr>
        <w:t>with their professional obligations.</w:t>
      </w:r>
    </w:p>
    <w:p w14:paraId="4C114203" w14:textId="77777777" w:rsidR="00630390" w:rsidRDefault="00630390" w:rsidP="00115062">
      <w:pPr>
        <w:rPr>
          <w:lang w:val="en-US"/>
        </w:rPr>
      </w:pPr>
      <w:r>
        <w:rPr>
          <w:lang w:val="en-US"/>
        </w:rPr>
        <w:t>To date, this includes:</w:t>
      </w:r>
    </w:p>
    <w:p w14:paraId="03275EB5" w14:textId="77777777" w:rsidR="00630390" w:rsidRPr="00D571C6" w:rsidRDefault="00630390" w:rsidP="00115062">
      <w:pPr>
        <w:rPr>
          <w:lang w:val="en-US"/>
        </w:rPr>
      </w:pPr>
    </w:p>
    <w:p w14:paraId="4D1E5A09" w14:textId="77777777" w:rsidR="00630390" w:rsidRPr="00D571C6" w:rsidRDefault="00630390" w:rsidP="00E215CA">
      <w:pPr>
        <w:numPr>
          <w:ilvl w:val="0"/>
          <w:numId w:val="91"/>
        </w:numPr>
        <w:spacing w:after="160"/>
        <w:ind w:left="714" w:hanging="357"/>
      </w:pPr>
      <w:r w:rsidRPr="00D571C6">
        <w:rPr>
          <w:lang w:val="en-US"/>
        </w:rPr>
        <w:t xml:space="preserve">Ontario: </w:t>
      </w:r>
      <w:hyperlink r:id="rId46" w:history="1">
        <w:r w:rsidRPr="00D571C6">
          <w:rPr>
            <w:rStyle w:val="Hyperlink"/>
            <w:lang w:val="en-US"/>
          </w:rPr>
          <w:t>Futures Committee Report to Convocation (including White Paper on Generative AI and Related Resources)</w:t>
        </w:r>
      </w:hyperlink>
      <w:r>
        <w:rPr>
          <w:lang w:val="en-US"/>
        </w:rPr>
        <w:t xml:space="preserve"> (April 2024)</w:t>
      </w:r>
    </w:p>
    <w:p w14:paraId="2070E928" w14:textId="77777777" w:rsidR="00630390" w:rsidRPr="00D571C6" w:rsidRDefault="00630390" w:rsidP="00E215CA">
      <w:pPr>
        <w:numPr>
          <w:ilvl w:val="0"/>
          <w:numId w:val="91"/>
        </w:numPr>
        <w:spacing w:after="160"/>
        <w:ind w:left="714" w:hanging="357"/>
      </w:pPr>
      <w:r w:rsidRPr="00D571C6">
        <w:rPr>
          <w:lang w:val="en-US"/>
        </w:rPr>
        <w:t xml:space="preserve">Saskatchewan: </w:t>
      </w:r>
      <w:hyperlink r:id="rId47" w:history="1">
        <w:r w:rsidRPr="00D571C6">
          <w:rPr>
            <w:rStyle w:val="Hyperlink"/>
            <w:i/>
            <w:iCs/>
          </w:rPr>
          <w:t>Guidelines for the Use of Generative Artificial Intelligence in the Practice of Law</w:t>
        </w:r>
      </w:hyperlink>
      <w:r>
        <w:rPr>
          <w:lang w:val="en-US"/>
        </w:rPr>
        <w:t xml:space="preserve"> (February 2024)</w:t>
      </w:r>
    </w:p>
    <w:p w14:paraId="26AD6DDD" w14:textId="77777777" w:rsidR="00630390" w:rsidRPr="00D571C6" w:rsidRDefault="00630390" w:rsidP="00E215CA">
      <w:pPr>
        <w:numPr>
          <w:ilvl w:val="0"/>
          <w:numId w:val="91"/>
        </w:numPr>
        <w:spacing w:after="160"/>
        <w:ind w:left="714" w:hanging="357"/>
        <w:rPr>
          <w:lang w:val="en-US"/>
        </w:rPr>
      </w:pPr>
      <w:r w:rsidRPr="00D571C6">
        <w:rPr>
          <w:lang w:val="en-US"/>
        </w:rPr>
        <w:t xml:space="preserve">Alberta: </w:t>
      </w:r>
      <w:hyperlink r:id="rId48" w:tgtFrame="_blank" w:history="1">
        <w:r>
          <w:rPr>
            <w:rStyle w:val="Hyperlink"/>
            <w:lang w:val="en-US"/>
          </w:rPr>
          <w:t>The Generative AI Playbook</w:t>
        </w:r>
      </w:hyperlink>
      <w:r>
        <w:rPr>
          <w:lang w:val="en-US"/>
        </w:rPr>
        <w:t xml:space="preserve"> (January 2024)</w:t>
      </w:r>
      <w:r w:rsidRPr="00D571C6">
        <w:rPr>
          <w:lang w:val="en-US"/>
        </w:rPr>
        <w:t> </w:t>
      </w:r>
    </w:p>
    <w:p w14:paraId="665C71F4" w14:textId="77777777" w:rsidR="00630390" w:rsidRPr="00D571C6" w:rsidRDefault="00630390" w:rsidP="00E215CA">
      <w:pPr>
        <w:numPr>
          <w:ilvl w:val="0"/>
          <w:numId w:val="91"/>
        </w:numPr>
        <w:spacing w:after="160"/>
        <w:ind w:left="714" w:hanging="357"/>
      </w:pPr>
      <w:r w:rsidRPr="00D571C6">
        <w:rPr>
          <w:lang w:val="en-US"/>
        </w:rPr>
        <w:t xml:space="preserve">British Columbia: </w:t>
      </w:r>
      <w:hyperlink r:id="rId49" w:tgtFrame="_blank" w:history="1">
        <w:r>
          <w:rPr>
            <w:rStyle w:val="Hyperlink"/>
            <w:lang w:val="en-US"/>
          </w:rPr>
          <w:t>Guidance on Professional Responsibility and Generative AI</w:t>
        </w:r>
      </w:hyperlink>
      <w:r>
        <w:rPr>
          <w:lang w:val="en-US"/>
        </w:rPr>
        <w:t xml:space="preserve"> (November 2023).</w:t>
      </w:r>
      <w:r w:rsidRPr="00D571C6">
        <w:rPr>
          <w:lang w:val="en-US"/>
        </w:rPr>
        <w:t> </w:t>
      </w:r>
    </w:p>
    <w:p w14:paraId="038C801A" w14:textId="77777777" w:rsidR="00630390" w:rsidRDefault="00630390" w:rsidP="00115062">
      <w:r>
        <w:t>Themes common across these guidance and interpretation documents include:</w:t>
      </w:r>
    </w:p>
    <w:p w14:paraId="0FDD4AB6" w14:textId="77777777" w:rsidR="00630390" w:rsidRDefault="00630390" w:rsidP="00115062"/>
    <w:p w14:paraId="401B0C7C" w14:textId="77777777" w:rsidR="00630390" w:rsidRDefault="00630390" w:rsidP="00115062">
      <w:pPr>
        <w:pStyle w:val="ListParagraph"/>
        <w:numPr>
          <w:ilvl w:val="0"/>
          <w:numId w:val="92"/>
        </w:numPr>
        <w:spacing w:after="160" w:line="259" w:lineRule="auto"/>
      </w:pPr>
      <w:r>
        <w:t>An obligation to recognize the limitations of AI systems, including:</w:t>
      </w:r>
    </w:p>
    <w:p w14:paraId="68BABCDF" w14:textId="7C033AED" w:rsidR="00630390" w:rsidRDefault="00630390" w:rsidP="00115062">
      <w:pPr>
        <w:pStyle w:val="ListParagraph"/>
        <w:numPr>
          <w:ilvl w:val="1"/>
          <w:numId w:val="92"/>
        </w:numPr>
        <w:spacing w:after="160" w:line="259" w:lineRule="auto"/>
      </w:pPr>
      <w:r w:rsidRPr="004744C9">
        <w:t>Unanticipated spread of confidential information</w:t>
      </w:r>
      <w:r w:rsidR="005344D6">
        <w:t>;</w:t>
      </w:r>
    </w:p>
    <w:p w14:paraId="5EECB052" w14:textId="22F89AF3" w:rsidR="00630390" w:rsidRDefault="00630390" w:rsidP="00115062">
      <w:pPr>
        <w:pStyle w:val="ListParagraph"/>
        <w:numPr>
          <w:ilvl w:val="1"/>
          <w:numId w:val="92"/>
        </w:numPr>
        <w:spacing w:after="160" w:line="259" w:lineRule="auto"/>
      </w:pPr>
      <w:r w:rsidRPr="004744C9">
        <w:t>Hallucinations and inaccurate information</w:t>
      </w:r>
      <w:r w:rsidR="005344D6">
        <w:t>;</w:t>
      </w:r>
    </w:p>
    <w:p w14:paraId="3935168D" w14:textId="365D11B4" w:rsidR="00630390" w:rsidRDefault="00630390" w:rsidP="00115062">
      <w:pPr>
        <w:pStyle w:val="ListParagraph"/>
        <w:numPr>
          <w:ilvl w:val="1"/>
          <w:numId w:val="92"/>
        </w:numPr>
        <w:spacing w:after="160" w:line="259" w:lineRule="auto"/>
      </w:pPr>
      <w:r w:rsidRPr="004744C9">
        <w:t>Bias</w:t>
      </w:r>
      <w:r w:rsidR="005344D6">
        <w:t>;</w:t>
      </w:r>
    </w:p>
    <w:p w14:paraId="44AEF41E" w14:textId="19ABD211" w:rsidR="00630390" w:rsidRDefault="00630390" w:rsidP="00115062">
      <w:pPr>
        <w:pStyle w:val="ListParagraph"/>
        <w:numPr>
          <w:ilvl w:val="1"/>
          <w:numId w:val="92"/>
        </w:numPr>
        <w:spacing w:after="160" w:line="259" w:lineRule="auto"/>
      </w:pPr>
      <w:r>
        <w:lastRenderedPageBreak/>
        <w:t>Legal practice, establishment of a client relationship, and provision of advice by AI (such as the use of chatbots for client intake)</w:t>
      </w:r>
      <w:r w:rsidR="005344D6">
        <w:t>; and</w:t>
      </w:r>
    </w:p>
    <w:p w14:paraId="06D7F506" w14:textId="77777777" w:rsidR="00630390" w:rsidRDefault="00630390" w:rsidP="00115062">
      <w:pPr>
        <w:pStyle w:val="ListParagraph"/>
        <w:numPr>
          <w:ilvl w:val="1"/>
          <w:numId w:val="92"/>
        </w:numPr>
        <w:spacing w:after="160" w:line="259" w:lineRule="auto"/>
      </w:pPr>
      <w:r>
        <w:t>Violation of copyright and plagiarism.</w:t>
      </w:r>
      <w:r>
        <w:br/>
      </w:r>
    </w:p>
    <w:p w14:paraId="25DF9DA8" w14:textId="77777777" w:rsidR="00630390" w:rsidRDefault="00630390" w:rsidP="00115062">
      <w:pPr>
        <w:pStyle w:val="ListParagraph"/>
        <w:numPr>
          <w:ilvl w:val="0"/>
          <w:numId w:val="92"/>
        </w:numPr>
        <w:spacing w:after="160" w:line="259" w:lineRule="auto"/>
      </w:pPr>
      <w:r>
        <w:t>The application of existing professional rules to the use of generative AI tools, including duties related to:</w:t>
      </w:r>
    </w:p>
    <w:p w14:paraId="0EAFEB89" w14:textId="6FA699C2" w:rsidR="00630390" w:rsidRDefault="00630390" w:rsidP="00115062">
      <w:pPr>
        <w:pStyle w:val="ListParagraph"/>
        <w:numPr>
          <w:ilvl w:val="1"/>
          <w:numId w:val="92"/>
        </w:numPr>
        <w:spacing w:after="160" w:line="259" w:lineRule="auto"/>
      </w:pPr>
      <w:r>
        <w:t>Technological competence and ongoing education</w:t>
      </w:r>
      <w:r w:rsidR="005344D6">
        <w:t>;</w:t>
      </w:r>
    </w:p>
    <w:p w14:paraId="0DEB8E69" w14:textId="6565A188" w:rsidR="00630390" w:rsidRDefault="00630390" w:rsidP="00115062">
      <w:pPr>
        <w:pStyle w:val="ListParagraph"/>
        <w:numPr>
          <w:ilvl w:val="1"/>
          <w:numId w:val="92"/>
        </w:numPr>
        <w:spacing w:after="160" w:line="259" w:lineRule="auto"/>
      </w:pPr>
      <w:r>
        <w:t>Confidentiality, particularly privacy and data settings, terms of service, appropriation of disclosure of privileged information, and the limitations of anonymization</w:t>
      </w:r>
      <w:r w:rsidR="005344D6">
        <w:t>;</w:t>
      </w:r>
    </w:p>
    <w:p w14:paraId="20C308FF" w14:textId="06F2DA91" w:rsidR="00630390" w:rsidRDefault="00630390" w:rsidP="00115062">
      <w:pPr>
        <w:pStyle w:val="ListParagraph"/>
        <w:numPr>
          <w:ilvl w:val="1"/>
          <w:numId w:val="92"/>
        </w:numPr>
        <w:spacing w:after="160" w:line="259" w:lineRule="auto"/>
      </w:pPr>
      <w:r>
        <w:t>Supervision and delegation</w:t>
      </w:r>
      <w:r w:rsidR="005344D6">
        <w:t>;</w:t>
      </w:r>
    </w:p>
    <w:p w14:paraId="753CD09C" w14:textId="2DB79F54" w:rsidR="00630390" w:rsidRDefault="00630390" w:rsidP="00115062">
      <w:pPr>
        <w:pStyle w:val="ListParagraph"/>
        <w:numPr>
          <w:ilvl w:val="1"/>
          <w:numId w:val="92"/>
        </w:numPr>
        <w:spacing w:after="160" w:line="259" w:lineRule="auto"/>
      </w:pPr>
      <w:r>
        <w:t>Fees</w:t>
      </w:r>
      <w:r w:rsidR="005344D6">
        <w:t>;</w:t>
      </w:r>
    </w:p>
    <w:p w14:paraId="391BF6CB" w14:textId="0BA1D0ED" w:rsidR="00630390" w:rsidRDefault="00630390" w:rsidP="00115062">
      <w:pPr>
        <w:pStyle w:val="ListParagraph"/>
        <w:numPr>
          <w:ilvl w:val="1"/>
          <w:numId w:val="92"/>
        </w:numPr>
        <w:spacing w:after="160" w:line="259" w:lineRule="auto"/>
      </w:pPr>
      <w:r>
        <w:t>Discrimination, harassment and guarding against bias</w:t>
      </w:r>
      <w:r w:rsidR="005344D6">
        <w:t>; and</w:t>
      </w:r>
    </w:p>
    <w:p w14:paraId="00D7A8D6" w14:textId="77777777" w:rsidR="00630390" w:rsidRDefault="00630390" w:rsidP="00115062">
      <w:pPr>
        <w:pStyle w:val="ListParagraph"/>
        <w:numPr>
          <w:ilvl w:val="1"/>
          <w:numId w:val="92"/>
        </w:numPr>
        <w:spacing w:after="160" w:line="259" w:lineRule="auto"/>
      </w:pPr>
      <w:r>
        <w:t>Communication, candour, and disclosure of the use of AI.</w:t>
      </w:r>
    </w:p>
    <w:p w14:paraId="4A1D6277" w14:textId="77777777" w:rsidR="001A64B7" w:rsidRDefault="00630390" w:rsidP="00115062">
      <w:r>
        <w:t>In the criminal context, the Ontario Crown Prosecution Manual (CPM) serves a similar function to general professional regulatory guidance.</w:t>
      </w:r>
      <w:r>
        <w:rPr>
          <w:rStyle w:val="EndnoteReference"/>
        </w:rPr>
        <w:endnoteReference w:id="74"/>
      </w:r>
      <w:r>
        <w:t xml:space="preserve"> The CPM recognizes that it is “necessary in </w:t>
      </w:r>
      <w:r w:rsidRPr="00027BE2">
        <w:t>the public interest to have uniform prosecution policies applicable across the province</w:t>
      </w:r>
      <w:r>
        <w:t>” and to “</w:t>
      </w:r>
      <w:r w:rsidRPr="00027BE2">
        <w:t>provide mandatory direction, advice and guidance to Prosecutors on the exercise of prosecutorial discretion</w:t>
      </w:r>
      <w:r>
        <w:t>.”</w:t>
      </w:r>
      <w:r>
        <w:rPr>
          <w:rStyle w:val="EndnoteReference"/>
        </w:rPr>
        <w:endnoteReference w:id="75"/>
      </w:r>
    </w:p>
    <w:p w14:paraId="01818166" w14:textId="77777777" w:rsidR="001A64B7" w:rsidRDefault="001A64B7" w:rsidP="00115062"/>
    <w:p w14:paraId="04276DCB" w14:textId="64573B0E" w:rsidR="00630390" w:rsidRDefault="00630390" w:rsidP="00115062">
      <w:r>
        <w:t xml:space="preserve">The CPM includes 39 different policies. But at present, the CPM makes no reference to the use, impacts, or evidence related to AI. Some policies in the manual have not been updated in half a decade or more. This includes policies where AI could play an increasing role, leaving little guidance for prosecutors and the potential exercise of inconsistent discretion across the province. </w:t>
      </w:r>
    </w:p>
    <w:p w14:paraId="3A525092" w14:textId="77777777" w:rsidR="00D86BD7" w:rsidRDefault="00D86BD7" w:rsidP="00115062"/>
    <w:p w14:paraId="5CC2E643" w14:textId="6F0E60A2" w:rsidR="00D86BD7" w:rsidRDefault="00D86BD7" w:rsidP="00D86BD7">
      <w:r>
        <w:t>At the same time, the Preamble to the CPM also states that "The [CPM] Directives are not intended to replace the sound judgement that Prosecutors exercise. Prosecutors are expected to exercise their discretion in accordance with the overall priorities in the Manual, keeping in mind the need to see justice done in individual cases […] [and] There will be decisions made daily by Prosecutors that are not specifically described in the Directives.”</w:t>
      </w:r>
      <w:r>
        <w:rPr>
          <w:rStyle w:val="EndnoteReference"/>
        </w:rPr>
        <w:endnoteReference w:id="76"/>
      </w:r>
    </w:p>
    <w:p w14:paraId="14313894" w14:textId="77777777" w:rsidR="00630390" w:rsidRDefault="00630390" w:rsidP="00115062"/>
    <w:p w14:paraId="6C74BA1C" w14:textId="77ABC854" w:rsidR="00630390" w:rsidRDefault="00630390" w:rsidP="00115062">
      <w:r>
        <w:t>This could impact discretion in areas including:</w:t>
      </w:r>
    </w:p>
    <w:p w14:paraId="1C89982E" w14:textId="77777777" w:rsidR="00630390" w:rsidRDefault="00630390" w:rsidP="00115062"/>
    <w:p w14:paraId="5514AFFE" w14:textId="604DDC73" w:rsidR="00630390" w:rsidRDefault="00630390" w:rsidP="00115062">
      <w:pPr>
        <w:pStyle w:val="ListParagraph"/>
        <w:numPr>
          <w:ilvl w:val="0"/>
          <w:numId w:val="93"/>
        </w:numPr>
        <w:spacing w:after="160" w:line="259" w:lineRule="auto"/>
      </w:pPr>
      <w:r>
        <w:t>Risk assessment, such as charge screening, community justice programs and diversion eligibility (for adults and youth),</w:t>
      </w:r>
      <w:r w:rsidRPr="006E2E2D">
        <w:rPr>
          <w:color w:val="FF0000"/>
        </w:rPr>
        <w:t xml:space="preserve"> </w:t>
      </w:r>
      <w:r>
        <w:t>mental health diversion, and dangerous and long-term offenders</w:t>
      </w:r>
      <w:r w:rsidR="001A64B7">
        <w:t>;</w:t>
      </w:r>
    </w:p>
    <w:p w14:paraId="15B09731" w14:textId="260F230A" w:rsidR="00630390" w:rsidRDefault="00630390" w:rsidP="00115062">
      <w:pPr>
        <w:pStyle w:val="ListParagraph"/>
        <w:numPr>
          <w:ilvl w:val="0"/>
          <w:numId w:val="93"/>
        </w:numPr>
        <w:spacing w:after="160" w:line="259" w:lineRule="auto"/>
      </w:pPr>
      <w:r>
        <w:t>Disclosure obligations</w:t>
      </w:r>
      <w:r w:rsidR="001A64B7">
        <w:t>;</w:t>
      </w:r>
    </w:p>
    <w:p w14:paraId="32A4E634" w14:textId="2DBFEDDB" w:rsidR="00630390" w:rsidRDefault="00630390" w:rsidP="00115062">
      <w:pPr>
        <w:pStyle w:val="ListParagraph"/>
        <w:numPr>
          <w:ilvl w:val="0"/>
          <w:numId w:val="93"/>
        </w:numPr>
        <w:spacing w:after="160" w:line="259" w:lineRule="auto"/>
      </w:pPr>
      <w:r>
        <w:t>Expert evidence</w:t>
      </w:r>
      <w:r w:rsidR="001A64B7">
        <w:t>;</w:t>
      </w:r>
    </w:p>
    <w:p w14:paraId="7B202397" w14:textId="3714BF61" w:rsidR="00630390" w:rsidRDefault="00630390" w:rsidP="00115062">
      <w:pPr>
        <w:pStyle w:val="ListParagraph"/>
        <w:numPr>
          <w:ilvl w:val="0"/>
          <w:numId w:val="93"/>
        </w:numPr>
        <w:spacing w:after="160" w:line="259" w:lineRule="auto"/>
      </w:pPr>
      <w:r>
        <w:t>Bail</w:t>
      </w:r>
      <w:r w:rsidR="001A64B7">
        <w:t>;</w:t>
      </w:r>
    </w:p>
    <w:p w14:paraId="1B025BBB" w14:textId="31FEB764" w:rsidR="00630390" w:rsidRDefault="00630390" w:rsidP="00115062">
      <w:pPr>
        <w:pStyle w:val="ListParagraph"/>
        <w:numPr>
          <w:ilvl w:val="0"/>
          <w:numId w:val="93"/>
        </w:numPr>
        <w:spacing w:after="160" w:line="259" w:lineRule="auto"/>
      </w:pPr>
      <w:r>
        <w:lastRenderedPageBreak/>
        <w:t>Advice to the police</w:t>
      </w:r>
      <w:r w:rsidR="001A64B7">
        <w:t>;</w:t>
      </w:r>
    </w:p>
    <w:p w14:paraId="4485E2C9" w14:textId="06FCCBDD" w:rsidR="00630390" w:rsidRDefault="00630390" w:rsidP="00115062">
      <w:pPr>
        <w:pStyle w:val="ListParagraph"/>
        <w:numPr>
          <w:ilvl w:val="0"/>
          <w:numId w:val="93"/>
        </w:numPr>
        <w:spacing w:after="160" w:line="259" w:lineRule="auto"/>
      </w:pPr>
      <w:r>
        <w:t>Professionalism</w:t>
      </w:r>
      <w:r w:rsidR="001A64B7">
        <w:t xml:space="preserve">; or </w:t>
      </w:r>
    </w:p>
    <w:p w14:paraId="5F5A084B" w14:textId="77777777" w:rsidR="00630390" w:rsidRDefault="00630390" w:rsidP="00115062">
      <w:pPr>
        <w:pStyle w:val="ListParagraph"/>
        <w:numPr>
          <w:ilvl w:val="0"/>
          <w:numId w:val="93"/>
        </w:numPr>
        <w:spacing w:after="160" w:line="259" w:lineRule="auto"/>
      </w:pPr>
      <w:r>
        <w:t>Testimonial aids and accessibility.</w:t>
      </w:r>
    </w:p>
    <w:p w14:paraId="54D57506" w14:textId="7252A606" w:rsidR="00630390" w:rsidRDefault="00630390" w:rsidP="00115062">
      <w:pPr>
        <w:rPr>
          <w:lang w:val="en-US"/>
        </w:rPr>
      </w:pPr>
      <w:r>
        <w:rPr>
          <w:lang w:val="en-US"/>
        </w:rPr>
        <w:t>Professional regulators outside of Canada have also begun to contend with the challenges of AI. For instance:</w:t>
      </w:r>
    </w:p>
    <w:p w14:paraId="6E51604E" w14:textId="77777777" w:rsidR="00630390" w:rsidRDefault="00630390" w:rsidP="00115062">
      <w:pPr>
        <w:rPr>
          <w:lang w:val="en-US"/>
        </w:rPr>
      </w:pPr>
    </w:p>
    <w:p w14:paraId="1BF74D4F" w14:textId="77777777" w:rsidR="00630390" w:rsidRDefault="00630390" w:rsidP="00115062">
      <w:pPr>
        <w:pStyle w:val="ListParagraph"/>
        <w:numPr>
          <w:ilvl w:val="0"/>
          <w:numId w:val="90"/>
        </w:numPr>
        <w:spacing w:after="160" w:line="259" w:lineRule="auto"/>
        <w:rPr>
          <w:lang w:val="en-US"/>
        </w:rPr>
      </w:pPr>
      <w:r>
        <w:rPr>
          <w:lang w:val="en-US"/>
        </w:rPr>
        <w:t xml:space="preserve">The </w:t>
      </w:r>
      <w:r w:rsidRPr="007A2E94">
        <w:rPr>
          <w:b/>
          <w:bCs/>
          <w:lang w:val="en-US"/>
        </w:rPr>
        <w:t>American Bar Association</w:t>
      </w:r>
      <w:r>
        <w:rPr>
          <w:lang w:val="en-US"/>
        </w:rPr>
        <w:t xml:space="preserve"> Standing Committee on Ethics and Professional Responsibility recently released Formal Opinion 512, “Generative AI Tools” (July 2024).</w:t>
      </w:r>
      <w:r>
        <w:rPr>
          <w:rStyle w:val="EndnoteReference"/>
          <w:lang w:val="en-US"/>
        </w:rPr>
        <w:endnoteReference w:id="77"/>
      </w:r>
      <w:r>
        <w:rPr>
          <w:lang w:val="en-US"/>
        </w:rPr>
        <w:t xml:space="preserve"> Highlights of the policy include: an active obligation to understand the risks, capabilities and limitations of generative AI technologies through ongoing professional education; an obligation to independently verify </w:t>
      </w:r>
      <w:r w:rsidRPr="00384491">
        <w:rPr>
          <w:lang w:val="en-US"/>
        </w:rPr>
        <w:t>any gen</w:t>
      </w:r>
      <w:r>
        <w:rPr>
          <w:lang w:val="en-US"/>
        </w:rPr>
        <w:t xml:space="preserve">erated </w:t>
      </w:r>
      <w:r w:rsidRPr="00384491">
        <w:rPr>
          <w:lang w:val="en-US"/>
        </w:rPr>
        <w:t>AI outputs used in client representation</w:t>
      </w:r>
      <w:r>
        <w:rPr>
          <w:lang w:val="en-US"/>
        </w:rPr>
        <w:t>, given the potential for hallucinations, flawed logic, misrepresentation of facts, and other limitations; a confidentiality obligation involving any former, current or prospective clients, given the potential for disclosure of client information by AI systems or in the training of AI systems; and a duty to disclose the use of AI when it informs important decisions.</w:t>
      </w:r>
    </w:p>
    <w:p w14:paraId="6C20B64C" w14:textId="77777777" w:rsidR="00630390" w:rsidRPr="00115062" w:rsidRDefault="00630390" w:rsidP="00115062">
      <w:pPr>
        <w:pStyle w:val="ListParagraph"/>
        <w:numPr>
          <w:ilvl w:val="0"/>
          <w:numId w:val="90"/>
        </w:numPr>
        <w:spacing w:after="160" w:line="259" w:lineRule="auto"/>
        <w:rPr>
          <w:lang w:val="en-US"/>
        </w:rPr>
      </w:pPr>
      <w:r>
        <w:rPr>
          <w:lang w:val="en-US"/>
        </w:rPr>
        <w:t xml:space="preserve">Several </w:t>
      </w:r>
      <w:r w:rsidRPr="00E215CA">
        <w:rPr>
          <w:b/>
          <w:bCs/>
          <w:lang w:val="en-US"/>
        </w:rPr>
        <w:t xml:space="preserve">State </w:t>
      </w:r>
      <w:r w:rsidRPr="00E215CA">
        <w:rPr>
          <w:b/>
          <w:bCs/>
        </w:rPr>
        <w:t>Bar regulators</w:t>
      </w:r>
      <w:r>
        <w:t xml:space="preserve"> </w:t>
      </w:r>
      <w:r w:rsidRPr="00384491">
        <w:t xml:space="preserve">have provided guidance on the use of </w:t>
      </w:r>
      <w:r>
        <w:t>generative AI</w:t>
      </w:r>
      <w:r w:rsidRPr="00384491">
        <w:t xml:space="preserve"> in legal practice, including </w:t>
      </w:r>
      <w:hyperlink r:id="rId50" w:history="1">
        <w:r w:rsidRPr="00384491">
          <w:rPr>
            <w:rStyle w:val="Hyperlink"/>
          </w:rPr>
          <w:t>California</w:t>
        </w:r>
      </w:hyperlink>
      <w:r w:rsidRPr="00384491">
        <w:t xml:space="preserve">, </w:t>
      </w:r>
      <w:hyperlink r:id="rId51" w:history="1">
        <w:r w:rsidRPr="00384491">
          <w:rPr>
            <w:rStyle w:val="Hyperlink"/>
          </w:rPr>
          <w:t>Florida</w:t>
        </w:r>
      </w:hyperlink>
      <w:r w:rsidRPr="00384491">
        <w:t xml:space="preserve">, </w:t>
      </w:r>
      <w:hyperlink r:id="rId52" w:history="1">
        <w:r w:rsidRPr="00384491">
          <w:rPr>
            <w:rStyle w:val="Hyperlink"/>
          </w:rPr>
          <w:t>Kentucky</w:t>
        </w:r>
      </w:hyperlink>
      <w:r w:rsidRPr="00384491">
        <w:t xml:space="preserve">,  </w:t>
      </w:r>
      <w:hyperlink r:id="rId53" w:history="1">
        <w:r w:rsidRPr="00384491">
          <w:rPr>
            <w:rStyle w:val="Hyperlink"/>
          </w:rPr>
          <w:t>Michigan</w:t>
        </w:r>
      </w:hyperlink>
      <w:r w:rsidRPr="00384491">
        <w:t xml:space="preserve">, </w:t>
      </w:r>
      <w:hyperlink r:id="rId54" w:anchor=":~:text=An%20ethical%20framework%20for%20the,to%20educate%20lawyers%20and%20nonlawyers." w:history="1">
        <w:r w:rsidRPr="00384491">
          <w:rPr>
            <w:rStyle w:val="Hyperlink"/>
          </w:rPr>
          <w:t>Missouri</w:t>
        </w:r>
      </w:hyperlink>
      <w:r w:rsidRPr="00384491">
        <w:t xml:space="preserve">, </w:t>
      </w:r>
      <w:hyperlink r:id="rId55" w:history="1">
        <w:r w:rsidRPr="00384491">
          <w:rPr>
            <w:rStyle w:val="Hyperlink"/>
          </w:rPr>
          <w:t>New Jersey</w:t>
        </w:r>
      </w:hyperlink>
      <w:r w:rsidRPr="00384491">
        <w:t xml:space="preserve">, and </w:t>
      </w:r>
      <w:hyperlink r:id="rId56" w:history="1">
        <w:r w:rsidRPr="00384491">
          <w:rPr>
            <w:rStyle w:val="Hyperlink"/>
          </w:rPr>
          <w:t>Pennsylvania</w:t>
        </w:r>
      </w:hyperlink>
      <w:r w:rsidRPr="00384491">
        <w:t>.</w:t>
      </w:r>
    </w:p>
    <w:p w14:paraId="6C9D4F49" w14:textId="188FAB2A" w:rsidR="00630390" w:rsidRPr="00721305" w:rsidRDefault="00630390" w:rsidP="00721305">
      <w:pPr>
        <w:pStyle w:val="ListParagraph"/>
        <w:numPr>
          <w:ilvl w:val="0"/>
          <w:numId w:val="90"/>
        </w:numPr>
        <w:spacing w:after="160" w:line="259" w:lineRule="auto"/>
        <w:rPr>
          <w:lang w:val="en-US"/>
        </w:rPr>
      </w:pPr>
      <w:r>
        <w:t xml:space="preserve">The </w:t>
      </w:r>
      <w:r w:rsidRPr="00115062">
        <w:rPr>
          <w:b/>
          <w:bCs/>
        </w:rPr>
        <w:t>European Commission for the Efficiency of Justice (CEPEJ)</w:t>
      </w:r>
      <w:r>
        <w:t xml:space="preserve"> considers possible use of AI to support the work of courts and legal professionals. The approach is set out in the European Ethical Charter on AI’s use (2018), described as the first European instrument of its kind. Stated principles include respect for fundamental </w:t>
      </w:r>
      <w:r w:rsidRPr="00E65A94">
        <w:t>rights, non-discrimination, quality and security, transparency, impartiality and fairness, and the p</w:t>
      </w:r>
      <w:r w:rsidRPr="00721305">
        <w:rPr>
          <w:rFonts w:cs="Calibri"/>
          <w:color w:val="161616"/>
          <w:sz w:val="22"/>
          <w:szCs w:val="22"/>
          <w:shd w:val="clear" w:color="auto" w:fill="FFFFFF"/>
        </w:rPr>
        <w:t>rinciple</w:t>
      </w:r>
      <w:r>
        <w:rPr>
          <w:rFonts w:cs="Calibri"/>
          <w:color w:val="161616"/>
          <w:sz w:val="22"/>
          <w:szCs w:val="22"/>
          <w:shd w:val="clear" w:color="auto" w:fill="FFFFFF"/>
        </w:rPr>
        <w:t xml:space="preserve"> of user control (</w:t>
      </w:r>
      <w:r w:rsidRPr="00721305">
        <w:rPr>
          <w:rFonts w:cs="Calibri"/>
          <w:color w:val="161616"/>
          <w:sz w:val="22"/>
          <w:szCs w:val="22"/>
          <w:shd w:val="clear" w:color="auto" w:fill="FFFFFF"/>
        </w:rPr>
        <w:t>precluding a prescriptive approach and ensuring that users are informed actors and in control of their choices</w:t>
      </w:r>
      <w:r>
        <w:rPr>
          <w:rFonts w:cs="Calibri"/>
          <w:color w:val="161616"/>
          <w:sz w:val="22"/>
          <w:szCs w:val="22"/>
          <w:shd w:val="clear" w:color="auto" w:fill="FFFFFF"/>
        </w:rPr>
        <w:t xml:space="preserve">). </w:t>
      </w:r>
      <w:r>
        <w:t>The Charter covers potential uses of AI including the processing of judicial decisions and data, to support legal research and case management, and to predict case outcomes and analyze court performance. Appendices I and 11 of the Charter review all possible applications and makes recommendations as to their use.</w:t>
      </w:r>
      <w:r>
        <w:rPr>
          <w:rStyle w:val="EndnoteReference"/>
        </w:rPr>
        <w:endnoteReference w:id="78"/>
      </w:r>
    </w:p>
    <w:p w14:paraId="03B3FE98" w14:textId="6F7B8C7A" w:rsidR="00630390" w:rsidRPr="00721305" w:rsidRDefault="00630390" w:rsidP="00817D00">
      <w:pPr>
        <w:rPr>
          <w:b/>
          <w:bCs/>
        </w:rPr>
      </w:pPr>
      <w:r w:rsidRPr="00721305">
        <w:rPr>
          <w:b/>
          <w:bCs/>
        </w:rPr>
        <w:t>Preliminary Observations</w:t>
      </w:r>
      <w:r>
        <w:rPr>
          <w:b/>
          <w:bCs/>
        </w:rPr>
        <w:t>: AI and</w:t>
      </w:r>
      <w:r w:rsidRPr="00721305">
        <w:rPr>
          <w:b/>
          <w:bCs/>
        </w:rPr>
        <w:t xml:space="preserve"> the CJA, Court Directives and Practice Directions</w:t>
      </w:r>
    </w:p>
    <w:p w14:paraId="0544BDC4" w14:textId="77777777" w:rsidR="00630390" w:rsidRDefault="00630390" w:rsidP="00817D00"/>
    <w:p w14:paraId="1A3EE473" w14:textId="42DA9EBC" w:rsidR="00630390" w:rsidRDefault="00630390" w:rsidP="00721305">
      <w:pPr>
        <w:rPr>
          <w:lang w:val="en-US"/>
        </w:rPr>
      </w:pPr>
      <w:r>
        <w:rPr>
          <w:lang w:val="en-US"/>
        </w:rPr>
        <w:t xml:space="preserve">As discussed, neither the practice directions issued by courts, nor the rules and guidance issued by law societies, squarely address practice issues in a criminal proceeding. Nonetheless, these instruments seek to proactively and broadly address some foreseeable concerns with AI in litigation. For instance, they suggest (or impose) a set of minimum expectations for disclosure and transparency; require clearer lines of </w:t>
      </w:r>
      <w:r>
        <w:rPr>
          <w:lang w:val="en-US"/>
        </w:rPr>
        <w:lastRenderedPageBreak/>
        <w:t>responsibility in using AI tools; and suggest standards for admitting evidence that may have been generated, selected or mediated by AI systems.</w:t>
      </w:r>
    </w:p>
    <w:p w14:paraId="56E02B07" w14:textId="77777777" w:rsidR="00630390" w:rsidRDefault="00630390" w:rsidP="00721305">
      <w:pPr>
        <w:rPr>
          <w:lang w:val="en-US"/>
        </w:rPr>
      </w:pPr>
    </w:p>
    <w:p w14:paraId="79CED3E2" w14:textId="77777777" w:rsidR="00630390" w:rsidRDefault="00630390" w:rsidP="00721305">
      <w:pPr>
        <w:rPr>
          <w:lang w:val="en-US"/>
        </w:rPr>
      </w:pPr>
      <w:r>
        <w:rPr>
          <w:lang w:val="en-US"/>
        </w:rPr>
        <w:t>Between these general pronouncements, and the specific challenges AI presents for criminal law practitioners and litigants, the following observations are made:</w:t>
      </w:r>
    </w:p>
    <w:p w14:paraId="4C48D88A" w14:textId="77777777" w:rsidR="00630390" w:rsidRDefault="00630390" w:rsidP="00721305">
      <w:pPr>
        <w:rPr>
          <w:lang w:val="en-US"/>
        </w:rPr>
      </w:pPr>
    </w:p>
    <w:p w14:paraId="0EA38994" w14:textId="77777777" w:rsidR="00630390" w:rsidRDefault="00630390" w:rsidP="00721305">
      <w:pPr>
        <w:pStyle w:val="ListParagraph"/>
        <w:numPr>
          <w:ilvl w:val="0"/>
          <w:numId w:val="94"/>
        </w:numPr>
        <w:spacing w:after="160" w:line="259" w:lineRule="auto"/>
        <w:rPr>
          <w:lang w:val="en-US"/>
        </w:rPr>
      </w:pPr>
      <w:r w:rsidRPr="0050700A">
        <w:rPr>
          <w:b/>
          <w:bCs/>
          <w:lang w:val="en-US"/>
        </w:rPr>
        <w:t>Criminal law requires the highest standard of procedural fairness.</w:t>
      </w:r>
      <w:r>
        <w:rPr>
          <w:lang w:val="en-US"/>
        </w:rPr>
        <w:t xml:space="preserve"> The court directives establish important norms around AI disclosure, transparency, and ethical use. These are, however, minimum standards that do not necessarily grapple with the proportionately stricter application of procedural fairness in the criminal law context, nor the complexities of litigating freedoms and rights under the </w:t>
      </w:r>
      <w:r w:rsidRPr="0050700A">
        <w:rPr>
          <w:i/>
          <w:iCs/>
          <w:lang w:val="en-US"/>
        </w:rPr>
        <w:t>Charter of Rights</w:t>
      </w:r>
      <w:r>
        <w:rPr>
          <w:lang w:val="en-US"/>
        </w:rPr>
        <w:t xml:space="preserve">. </w:t>
      </w:r>
    </w:p>
    <w:p w14:paraId="32E1ABA3" w14:textId="5D19737A" w:rsidR="00630390" w:rsidRDefault="00630390" w:rsidP="00721305">
      <w:pPr>
        <w:pStyle w:val="ListParagraph"/>
        <w:numPr>
          <w:ilvl w:val="0"/>
          <w:numId w:val="94"/>
        </w:numPr>
        <w:spacing w:after="160" w:line="259" w:lineRule="auto"/>
        <w:rPr>
          <w:lang w:val="en-US"/>
        </w:rPr>
      </w:pPr>
      <w:r w:rsidRPr="0050700A">
        <w:rPr>
          <w:b/>
          <w:bCs/>
          <w:lang w:val="en-US"/>
        </w:rPr>
        <w:t>Criminal law engages specific and complex issues of fairness</w:t>
      </w:r>
      <w:r>
        <w:rPr>
          <w:b/>
          <w:bCs/>
          <w:lang w:val="en-US"/>
        </w:rPr>
        <w:t xml:space="preserve"> that are not addressed in general directives</w:t>
      </w:r>
      <w:r>
        <w:rPr>
          <w:lang w:val="en-US"/>
        </w:rPr>
        <w:t>. Genera</w:t>
      </w:r>
      <w:r w:rsidR="0027019F">
        <w:rPr>
          <w:lang w:val="en-US"/>
        </w:rPr>
        <w:t>l</w:t>
      </w:r>
      <w:r>
        <w:rPr>
          <w:lang w:val="en-US"/>
        </w:rPr>
        <w:t xml:space="preserve"> AI policies may set a baseline but offer little proactive assessment of broad issues like balancing procedural fairness with public safety. Nor do they address specific issues typical in criminal proceedings, like investigative privilege, technological trade secrets, source code analysis, expert witnesses, and the role and reliability of risk assessment. Both clear and specific direction regarding when and how AI may be used and practical, effective means of challenging the operation or use of AI in individual cases is required.</w:t>
      </w:r>
      <w:r>
        <w:rPr>
          <w:rStyle w:val="EndnoteReference"/>
          <w:lang w:val="en-US"/>
        </w:rPr>
        <w:endnoteReference w:id="79"/>
      </w:r>
    </w:p>
    <w:p w14:paraId="168260E3" w14:textId="77777777" w:rsidR="00630390" w:rsidRDefault="00630390" w:rsidP="00721305">
      <w:pPr>
        <w:pStyle w:val="ListParagraph"/>
        <w:numPr>
          <w:ilvl w:val="0"/>
          <w:numId w:val="94"/>
        </w:numPr>
        <w:spacing w:after="160" w:line="259" w:lineRule="auto"/>
        <w:rPr>
          <w:lang w:val="en-US"/>
        </w:rPr>
      </w:pPr>
      <w:r w:rsidRPr="002C1FB1">
        <w:rPr>
          <w:b/>
          <w:bCs/>
          <w:lang w:val="en-US"/>
        </w:rPr>
        <w:t>Criminal law benefits from a consistent approach across the country</w:t>
      </w:r>
      <w:r>
        <w:rPr>
          <w:lang w:val="en-US"/>
        </w:rPr>
        <w:t>.</w:t>
      </w:r>
      <w:r w:rsidRPr="001B7CA1">
        <w:rPr>
          <w:lang w:val="en-US"/>
        </w:rPr>
        <w:t xml:space="preserve"> </w:t>
      </w:r>
      <w:r>
        <w:rPr>
          <w:lang w:val="en-US"/>
        </w:rPr>
        <w:t>Court directives and p</w:t>
      </w:r>
      <w:r w:rsidRPr="00201ED0">
        <w:rPr>
          <w:lang w:val="en-US"/>
        </w:rPr>
        <w:t xml:space="preserve">rofessional </w:t>
      </w:r>
      <w:r>
        <w:rPr>
          <w:lang w:val="en-US"/>
        </w:rPr>
        <w:t>r</w:t>
      </w:r>
      <w:r w:rsidRPr="00201ED0">
        <w:rPr>
          <w:lang w:val="en-US"/>
        </w:rPr>
        <w:t xml:space="preserve">egulatory </w:t>
      </w:r>
      <w:r>
        <w:rPr>
          <w:lang w:val="en-US"/>
        </w:rPr>
        <w:t>g</w:t>
      </w:r>
      <w:r w:rsidRPr="00201ED0">
        <w:rPr>
          <w:lang w:val="en-US"/>
        </w:rPr>
        <w:t xml:space="preserve">uidance on the </w:t>
      </w:r>
      <w:r>
        <w:rPr>
          <w:lang w:val="en-US"/>
        </w:rPr>
        <w:t>u</w:t>
      </w:r>
      <w:r w:rsidRPr="00201ED0">
        <w:rPr>
          <w:lang w:val="en-US"/>
        </w:rPr>
        <w:t xml:space="preserve">se </w:t>
      </w:r>
      <w:r>
        <w:rPr>
          <w:lang w:val="en-US"/>
        </w:rPr>
        <w:t>of</w:t>
      </w:r>
      <w:r w:rsidRPr="00201ED0">
        <w:rPr>
          <w:lang w:val="en-US"/>
        </w:rPr>
        <w:t xml:space="preserve"> AI </w:t>
      </w:r>
      <w:r>
        <w:rPr>
          <w:lang w:val="en-US"/>
        </w:rPr>
        <w:t>are similar, but may still diverge in their scope, complexity, and nuance. This leads to a patchwork of expectations that may lead to inconsistent outcomes and conflicting case law.</w:t>
      </w:r>
    </w:p>
    <w:p w14:paraId="22CBA1AF" w14:textId="57154509" w:rsidR="00630390" w:rsidRDefault="00630390" w:rsidP="00721305">
      <w:pPr>
        <w:pStyle w:val="ListParagraph"/>
        <w:numPr>
          <w:ilvl w:val="0"/>
          <w:numId w:val="94"/>
        </w:numPr>
        <w:spacing w:after="160" w:line="259" w:lineRule="auto"/>
        <w:rPr>
          <w:lang w:val="en-US"/>
        </w:rPr>
      </w:pPr>
      <w:r>
        <w:rPr>
          <w:b/>
          <w:bCs/>
          <w:lang w:val="en-US"/>
        </w:rPr>
        <w:t xml:space="preserve">Court directives emphasize </w:t>
      </w:r>
      <w:r w:rsidR="00E215CA">
        <w:rPr>
          <w:b/>
          <w:bCs/>
          <w:lang w:val="en-US"/>
        </w:rPr>
        <w:t>commitment</w:t>
      </w:r>
      <w:r>
        <w:rPr>
          <w:b/>
          <w:bCs/>
          <w:lang w:val="en-US"/>
        </w:rPr>
        <w:t xml:space="preserve"> to public engagement prior to AI uses being implemented</w:t>
      </w:r>
      <w:r w:rsidRPr="002C1FB1">
        <w:rPr>
          <w:lang w:val="en-US"/>
        </w:rPr>
        <w:t>.</w:t>
      </w:r>
      <w:r>
        <w:rPr>
          <w:lang w:val="en-US"/>
        </w:rPr>
        <w:t xml:space="preserve"> This is both a commitment to transparency and something of a precautionary principle. Public engagement creates an opportunity to identify risks and impacts that may otherwise be overlooked, and which will inform the decision to use an AI system or the check-and-balances on its operation. This commitment also suggests a role for </w:t>
      </w:r>
      <w:r w:rsidR="00E215CA">
        <w:rPr>
          <w:lang w:val="en-US"/>
        </w:rPr>
        <w:t>legislation</w:t>
      </w:r>
      <w:r>
        <w:rPr>
          <w:lang w:val="en-US"/>
        </w:rPr>
        <w:t xml:space="preserve"> </w:t>
      </w:r>
      <w:r w:rsidRPr="00E215CA">
        <w:rPr>
          <w:lang w:val="en-US"/>
        </w:rPr>
        <w:t xml:space="preserve">in </w:t>
      </w:r>
      <w:r>
        <w:rPr>
          <w:lang w:val="en-US"/>
        </w:rPr>
        <w:t>setting standards on AI assessment, disclosure and consultation to the benefit of all justice-sector institutions and a more consistent set of standards and practices across the system.</w:t>
      </w:r>
    </w:p>
    <w:p w14:paraId="79067968" w14:textId="13FAFBA1" w:rsidR="00630390" w:rsidRDefault="00630390" w:rsidP="00721305">
      <w:pPr>
        <w:pStyle w:val="ListParagraph"/>
        <w:numPr>
          <w:ilvl w:val="0"/>
          <w:numId w:val="94"/>
        </w:numPr>
        <w:spacing w:after="160" w:line="259" w:lineRule="auto"/>
        <w:rPr>
          <w:lang w:val="en-US"/>
        </w:rPr>
      </w:pPr>
      <w:r w:rsidRPr="0079032D">
        <w:rPr>
          <w:b/>
          <w:bCs/>
          <w:lang w:val="en-US"/>
        </w:rPr>
        <w:t>Trusted third-party services may introduce gaps</w:t>
      </w:r>
      <w:r>
        <w:rPr>
          <w:lang w:val="en-US"/>
        </w:rPr>
        <w:t>. The Federal Court directive clarifies that “</w:t>
      </w:r>
      <w:r w:rsidRPr="003C59EF">
        <w:rPr>
          <w:lang w:val="en-US"/>
        </w:rPr>
        <w:t>it is crucial to use only well-recognized and reliable sources</w:t>
      </w:r>
      <w:r>
        <w:rPr>
          <w:lang w:val="en-US"/>
        </w:rPr>
        <w:t xml:space="preserve">… </w:t>
      </w:r>
      <w:r w:rsidRPr="003C59EF">
        <w:rPr>
          <w:lang w:val="en-US"/>
        </w:rPr>
        <w:t>or trusted public services</w:t>
      </w:r>
      <w:r>
        <w:rPr>
          <w:lang w:val="en-US"/>
        </w:rPr>
        <w:t xml:space="preserve"> </w:t>
      </w:r>
      <w:r w:rsidRPr="003C59EF">
        <w:rPr>
          <w:lang w:val="en-US"/>
        </w:rPr>
        <w:t>such as CanLII.</w:t>
      </w:r>
      <w:r>
        <w:rPr>
          <w:lang w:val="en-US"/>
        </w:rPr>
        <w:t>” Relying on “trusted sources” as a check-and-balance on AI should be approached with caution. For instance,</w:t>
      </w:r>
      <w:r w:rsidR="0079695B">
        <w:rPr>
          <w:lang w:val="en-US"/>
        </w:rPr>
        <w:t xml:space="preserve"> in 2023</w:t>
      </w:r>
      <w:r>
        <w:rPr>
          <w:lang w:val="en-US"/>
        </w:rPr>
        <w:t xml:space="preserve"> CanL</w:t>
      </w:r>
      <w:r w:rsidR="00F05D62">
        <w:rPr>
          <w:lang w:val="en-US"/>
        </w:rPr>
        <w:t>II</w:t>
      </w:r>
      <w:r>
        <w:rPr>
          <w:lang w:val="en-US"/>
        </w:rPr>
        <w:t xml:space="preserve"> </w:t>
      </w:r>
      <w:r w:rsidR="0079695B">
        <w:rPr>
          <w:lang w:val="en-US"/>
        </w:rPr>
        <w:t xml:space="preserve">began offering </w:t>
      </w:r>
      <w:r>
        <w:rPr>
          <w:lang w:val="en-US"/>
        </w:rPr>
        <w:t>AI-generated summaries</w:t>
      </w:r>
      <w:r w:rsidR="00F05D62">
        <w:rPr>
          <w:lang w:val="en-US"/>
        </w:rPr>
        <w:t xml:space="preserve"> of cases, legislation and regulation in </w:t>
      </w:r>
      <w:r w:rsidR="0079695B">
        <w:rPr>
          <w:lang w:val="en-US"/>
        </w:rPr>
        <w:t>select</w:t>
      </w:r>
      <w:r w:rsidR="00F05D62">
        <w:rPr>
          <w:lang w:val="en-US"/>
        </w:rPr>
        <w:t xml:space="preserve"> provinces</w:t>
      </w:r>
      <w:r w:rsidR="0079695B">
        <w:rPr>
          <w:lang w:val="en-US"/>
        </w:rPr>
        <w:t xml:space="preserve">. As of 2025, coverage has expanded to many other </w:t>
      </w:r>
      <w:r w:rsidR="0079695B">
        <w:rPr>
          <w:lang w:val="en-US"/>
        </w:rPr>
        <w:lastRenderedPageBreak/>
        <w:t xml:space="preserve">provinces while CanLII </w:t>
      </w:r>
      <w:r w:rsidR="00385224">
        <w:rPr>
          <w:lang w:val="en-US"/>
        </w:rPr>
        <w:t>continues to introduce</w:t>
      </w:r>
      <w:r w:rsidR="0079695B">
        <w:rPr>
          <w:lang w:val="en-US"/>
        </w:rPr>
        <w:t xml:space="preserve"> additional “AI-powered enrichments</w:t>
      </w:r>
      <w:r w:rsidR="00385224">
        <w:rPr>
          <w:lang w:val="en-US"/>
        </w:rPr>
        <w:t>.</w:t>
      </w:r>
      <w:r w:rsidR="0079695B">
        <w:rPr>
          <w:lang w:val="en-US"/>
        </w:rPr>
        <w:t>”</w:t>
      </w:r>
      <w:r w:rsidR="00F05D62">
        <w:rPr>
          <w:rStyle w:val="EndnoteReference"/>
          <w:lang w:val="en-US"/>
        </w:rPr>
        <w:endnoteReference w:id="80"/>
      </w:r>
    </w:p>
    <w:p w14:paraId="086C8BE3" w14:textId="77777777" w:rsidR="00630390" w:rsidRPr="003C59EF" w:rsidRDefault="00630390" w:rsidP="00721305">
      <w:pPr>
        <w:pStyle w:val="ListParagraph"/>
        <w:numPr>
          <w:ilvl w:val="0"/>
          <w:numId w:val="94"/>
        </w:numPr>
        <w:spacing w:after="160" w:line="259" w:lineRule="auto"/>
        <w:rPr>
          <w:lang w:val="en-US"/>
        </w:rPr>
      </w:pPr>
      <w:r w:rsidRPr="00B62A75">
        <w:rPr>
          <w:b/>
          <w:bCs/>
          <w:lang w:val="en-US"/>
        </w:rPr>
        <w:t>Self-represented and un-represented litigants do not understand professional ethical issues and practice standards.</w:t>
      </w:r>
      <w:r>
        <w:rPr>
          <w:lang w:val="en-US"/>
        </w:rPr>
        <w:t xml:space="preserve"> Court and professional policies set standards for professionals, or to a professional level, that may be lost on other unregulated litigants. Reliance on professional standards therefore overlooks a significant number of participants and creates foreseeable conflicts in litigation.  Moreover, in criminal law, sophisticated criminal organizations and individual bad actors will be unconstrained in their use of AI to advance their criminal enterprise and / or avoid detection and accountability.</w:t>
      </w:r>
    </w:p>
    <w:p w14:paraId="5EFD8F4A" w14:textId="6E71097B" w:rsidR="00630390" w:rsidRPr="00721305" w:rsidRDefault="00630390" w:rsidP="00977ADE">
      <w:pPr>
        <w:pStyle w:val="ListParagraph"/>
        <w:numPr>
          <w:ilvl w:val="0"/>
          <w:numId w:val="94"/>
        </w:numPr>
        <w:spacing w:after="160" w:line="259" w:lineRule="auto"/>
        <w:rPr>
          <w:lang w:val="en-US"/>
        </w:rPr>
      </w:pPr>
      <w:r w:rsidRPr="00721305">
        <w:rPr>
          <w:b/>
          <w:bCs/>
          <w:lang w:val="en-US"/>
        </w:rPr>
        <w:t>Court directives and professional regulatory guidance do not absolve government of its responsibility relative to AI.</w:t>
      </w:r>
      <w:r>
        <w:rPr>
          <w:b/>
          <w:bCs/>
          <w:lang w:val="en-US"/>
        </w:rPr>
        <w:t xml:space="preserve"> </w:t>
      </w:r>
      <w:r w:rsidRPr="00721305">
        <w:rPr>
          <w:lang w:val="en-US"/>
        </w:rPr>
        <w:t>Governments have an obligation to enact legislation adequate to address the risks and challenges of artificial intelligence in the criminal law context.  Court directives and rules of professional conduct place the obligation on individual parties and practitioners to understand and respond to AI’s dangers.</w:t>
      </w:r>
      <w:r>
        <w:rPr>
          <w:lang w:val="en-US"/>
        </w:rPr>
        <w:t xml:space="preserve"> </w:t>
      </w:r>
      <w:r w:rsidRPr="00721305">
        <w:rPr>
          <w:lang w:val="en-US"/>
        </w:rPr>
        <w:t>Yet this is not remotely or realistically possible.  Responding to AI will require a whole of government response and proactive legislation is urgently required.</w:t>
      </w:r>
    </w:p>
    <w:p w14:paraId="7D33930F" w14:textId="76C8A9B1" w:rsidR="00630390" w:rsidRPr="00721305" w:rsidRDefault="00630390" w:rsidP="00721305">
      <w:pPr>
        <w:pStyle w:val="ListParagraph"/>
        <w:numPr>
          <w:ilvl w:val="0"/>
          <w:numId w:val="94"/>
        </w:numPr>
        <w:spacing w:after="160" w:line="259" w:lineRule="auto"/>
        <w:rPr>
          <w:b/>
          <w:bCs/>
          <w:lang w:val="en-US"/>
        </w:rPr>
      </w:pPr>
      <w:r w:rsidRPr="00721305">
        <w:rPr>
          <w:b/>
          <w:bCs/>
          <w:lang w:val="en-US"/>
        </w:rPr>
        <w:t xml:space="preserve">Criminal law’s rules of evidence and standards of admissibility must be reevaluated in the context of AI.  </w:t>
      </w:r>
      <w:r w:rsidRPr="00721305">
        <w:rPr>
          <w:lang w:val="en-US"/>
        </w:rPr>
        <w:t>Standing alone, current thresholds of admissibility such as relevance, probative value versus prejudicial effect, and in the hearsay context, necessity and reliability, may prove inadequate in the face of the challenges posed by AI.  Notions such as authentication, the “permanence” of exhibits, and the power of cross-examination to test the strength of AI generated evidence adduced must also be considered.    Again, general policy pronouncements regarding use of AI will be inadequate absent specific rules governing how the parties and practitioners will introduce and engage with evidence tendered in criminal litigation.</w:t>
      </w:r>
    </w:p>
    <w:p w14:paraId="391EBD00" w14:textId="77777777" w:rsidR="00630390" w:rsidRPr="00D6562E" w:rsidRDefault="00630390" w:rsidP="0069073E"/>
    <w:p w14:paraId="6B456B9C" w14:textId="416901EE" w:rsidR="00630390" w:rsidRPr="00D6562E" w:rsidRDefault="00630390" w:rsidP="00027FC4">
      <w:pPr>
        <w:pStyle w:val="Heading3"/>
        <w:numPr>
          <w:ilvl w:val="2"/>
          <w:numId w:val="79"/>
        </w:numPr>
        <w:rPr>
          <w:rFonts w:asciiTheme="minorHAnsi" w:eastAsia="Arial" w:hAnsiTheme="minorHAnsi" w:cstheme="minorHAnsi"/>
          <w:color w:val="auto"/>
        </w:rPr>
      </w:pPr>
      <w:bookmarkStart w:id="25" w:name="_Toc195597980"/>
      <w:r>
        <w:rPr>
          <w:rFonts w:asciiTheme="minorHAnsi" w:hAnsiTheme="minorHAnsi" w:cstheme="minorHAnsi"/>
        </w:rPr>
        <w:t>The Crown Attorneys Act</w:t>
      </w:r>
      <w:bookmarkEnd w:id="25"/>
    </w:p>
    <w:p w14:paraId="613E2BDE" w14:textId="77777777" w:rsidR="00630390" w:rsidRPr="00D6562E" w:rsidRDefault="00630390" w:rsidP="0069073E"/>
    <w:p w14:paraId="01325935" w14:textId="3BA74F75" w:rsidR="00630390" w:rsidRDefault="00630390" w:rsidP="0069073E">
      <w:r>
        <w:t xml:space="preserve">The Provincial Crown Attorney system, as regulated by the </w:t>
      </w:r>
      <w:r>
        <w:rPr>
          <w:i/>
          <w:iCs/>
        </w:rPr>
        <w:t>Crown Attorneys Act</w:t>
      </w:r>
      <w:r>
        <w:t xml:space="preserve"> (CAA) will play a critical role in governing how and when AI is introduced into the criminal trial, including at the earliest stages – when files are being screened for prosecution.</w:t>
      </w:r>
      <w:r w:rsidRPr="00D6562E">
        <w:t xml:space="preserve"> </w:t>
      </w:r>
    </w:p>
    <w:p w14:paraId="443A4452" w14:textId="77777777" w:rsidR="00630390" w:rsidRDefault="00630390" w:rsidP="0069073E"/>
    <w:p w14:paraId="3E5940CE" w14:textId="77777777" w:rsidR="00630390" w:rsidRDefault="00630390" w:rsidP="00471D45">
      <w:r w:rsidRPr="005548C3">
        <w:t>The</w:t>
      </w:r>
      <w:r>
        <w:t xml:space="preserve"> CAA </w:t>
      </w:r>
      <w:r w:rsidRPr="005548C3">
        <w:t>governs</w:t>
      </w:r>
      <w:r>
        <w:t>:</w:t>
      </w:r>
    </w:p>
    <w:p w14:paraId="4084D4D5" w14:textId="77777777" w:rsidR="00630390" w:rsidRDefault="00630390" w:rsidP="00471D45"/>
    <w:p w14:paraId="77C94771" w14:textId="0184F19C" w:rsidR="00630390" w:rsidRPr="00471D45" w:rsidRDefault="008C3F8C" w:rsidP="00471D45">
      <w:pPr>
        <w:pStyle w:val="ListParagraph"/>
        <w:numPr>
          <w:ilvl w:val="0"/>
          <w:numId w:val="95"/>
        </w:numPr>
        <w:rPr>
          <w:snapToGrid w:val="0"/>
        </w:rPr>
      </w:pPr>
      <w:r>
        <w:t>T</w:t>
      </w:r>
      <w:r w:rsidR="00630390" w:rsidRPr="005548C3">
        <w:t xml:space="preserve">he appointment of Crown Attorneys, Assistant Crown Attorneys and </w:t>
      </w:r>
      <w:r w:rsidR="00630390">
        <w:t>p</w:t>
      </w:r>
      <w:r w:rsidR="00630390" w:rsidRPr="005548C3">
        <w:t xml:space="preserve">rovincial </w:t>
      </w:r>
      <w:r w:rsidR="00630390">
        <w:t>p</w:t>
      </w:r>
      <w:r w:rsidR="00630390" w:rsidRPr="005548C3">
        <w:t>rosecutors</w:t>
      </w:r>
      <w:r w:rsidR="00B925C0">
        <w:t>;</w:t>
      </w:r>
    </w:p>
    <w:p w14:paraId="05889808" w14:textId="64359382" w:rsidR="00630390" w:rsidRPr="00471D45" w:rsidRDefault="008C3F8C" w:rsidP="00471D45">
      <w:pPr>
        <w:pStyle w:val="ListParagraph"/>
        <w:numPr>
          <w:ilvl w:val="0"/>
          <w:numId w:val="95"/>
        </w:numPr>
        <w:rPr>
          <w:snapToGrid w:val="0"/>
        </w:rPr>
      </w:pPr>
      <w:r>
        <w:t>B</w:t>
      </w:r>
      <w:r w:rsidR="00630390" w:rsidRPr="005548C3">
        <w:t xml:space="preserve">estows province-wide authority </w:t>
      </w:r>
      <w:r w:rsidR="00630390">
        <w:t>and</w:t>
      </w:r>
      <w:r w:rsidR="00630390" w:rsidRPr="005548C3">
        <w:t xml:space="preserve"> jurisdiction upon them</w:t>
      </w:r>
      <w:r w:rsidR="00B925C0">
        <w:t>;</w:t>
      </w:r>
    </w:p>
    <w:p w14:paraId="3033B9A0" w14:textId="7D6F54D5" w:rsidR="00630390" w:rsidRPr="00471D45" w:rsidRDefault="008C3F8C" w:rsidP="00471D45">
      <w:pPr>
        <w:pStyle w:val="ListParagraph"/>
        <w:numPr>
          <w:ilvl w:val="0"/>
          <w:numId w:val="95"/>
        </w:numPr>
        <w:rPr>
          <w:snapToGrid w:val="0"/>
        </w:rPr>
      </w:pPr>
      <w:r>
        <w:t>S</w:t>
      </w:r>
      <w:r w:rsidR="00630390" w:rsidRPr="005548C3">
        <w:t>ets out the oath of office for each group</w:t>
      </w:r>
      <w:r w:rsidR="00B925C0">
        <w:t xml:space="preserve">; </w:t>
      </w:r>
      <w:r w:rsidR="00630390" w:rsidRPr="005548C3">
        <w:t>and</w:t>
      </w:r>
    </w:p>
    <w:p w14:paraId="7DF41BBC" w14:textId="4C2FDD08" w:rsidR="00630390" w:rsidRPr="00471D45" w:rsidRDefault="008C3F8C" w:rsidP="00471D45">
      <w:pPr>
        <w:pStyle w:val="ListParagraph"/>
        <w:numPr>
          <w:ilvl w:val="0"/>
          <w:numId w:val="95"/>
        </w:numPr>
        <w:rPr>
          <w:snapToGrid w:val="0"/>
        </w:rPr>
      </w:pPr>
      <w:r>
        <w:lastRenderedPageBreak/>
        <w:t>D</w:t>
      </w:r>
      <w:r w:rsidR="00630390" w:rsidRPr="005548C3">
        <w:t xml:space="preserve">esignates every Crown Attorney and provincial prosecutor agent for the Attorney General for the purposes of the </w:t>
      </w:r>
      <w:r w:rsidR="00630390" w:rsidRPr="00471D45">
        <w:rPr>
          <w:i/>
          <w:iCs/>
        </w:rPr>
        <w:t>Criminal Code</w:t>
      </w:r>
      <w:r w:rsidR="00630390" w:rsidRPr="005548C3">
        <w:t>.</w:t>
      </w:r>
    </w:p>
    <w:p w14:paraId="2420A370" w14:textId="77777777" w:rsidR="00630390" w:rsidRDefault="00630390" w:rsidP="00471D45"/>
    <w:p w14:paraId="18CB61A9" w14:textId="77777777" w:rsidR="00630390" w:rsidRDefault="00630390" w:rsidP="00471D45">
      <w:pPr>
        <w:rPr>
          <w:snapToGrid w:val="0"/>
        </w:rPr>
      </w:pPr>
      <w:r>
        <w:t xml:space="preserve">The CAA </w:t>
      </w:r>
      <w:r w:rsidRPr="005548C3">
        <w:t xml:space="preserve">also prescribes that the Crown Attorney shall aid in the administration of justice and perform duties </w:t>
      </w:r>
      <w:r w:rsidRPr="00471D45">
        <w:rPr>
          <w:snapToGrid w:val="0"/>
        </w:rPr>
        <w:t>that are assigned to Crown Attorneys under the laws in force in Ontario</w:t>
      </w:r>
      <w:r>
        <w:rPr>
          <w:snapToGrid w:val="0"/>
        </w:rPr>
        <w:t>. These acts include but are not limited to:</w:t>
      </w:r>
    </w:p>
    <w:p w14:paraId="1C39BC26" w14:textId="77777777" w:rsidR="00630390" w:rsidRDefault="00630390" w:rsidP="00471D45">
      <w:pPr>
        <w:rPr>
          <w:snapToGrid w:val="0"/>
        </w:rPr>
      </w:pPr>
    </w:p>
    <w:p w14:paraId="70A886AE" w14:textId="435F1C64" w:rsidR="00630390" w:rsidRDefault="008C3F8C" w:rsidP="00471D45">
      <w:pPr>
        <w:pStyle w:val="ListParagraph"/>
        <w:numPr>
          <w:ilvl w:val="0"/>
          <w:numId w:val="96"/>
        </w:numPr>
        <w:rPr>
          <w:snapToGrid w:val="0"/>
        </w:rPr>
      </w:pPr>
      <w:r>
        <w:rPr>
          <w:snapToGrid w:val="0"/>
        </w:rPr>
        <w:t>E</w:t>
      </w:r>
      <w:r w:rsidR="00630390" w:rsidRPr="00471D45">
        <w:rPr>
          <w:snapToGrid w:val="0"/>
        </w:rPr>
        <w:t xml:space="preserve">xamining </w:t>
      </w:r>
      <w:r w:rsidR="00CA700C">
        <w:rPr>
          <w:snapToGrid w:val="0"/>
        </w:rPr>
        <w:t>I</w:t>
      </w:r>
      <w:r w:rsidR="00C660C5">
        <w:rPr>
          <w:snapToGrid w:val="0"/>
        </w:rPr>
        <w:t>n</w:t>
      </w:r>
      <w:r w:rsidR="00C660C5" w:rsidRPr="00471D45">
        <w:rPr>
          <w:snapToGrid w:val="0"/>
        </w:rPr>
        <w:t>formation</w:t>
      </w:r>
      <w:r w:rsidR="00C660C5">
        <w:rPr>
          <w:snapToGrid w:val="0"/>
        </w:rPr>
        <w:t>s</w:t>
      </w:r>
      <w:r w:rsidR="00B925C0">
        <w:rPr>
          <w:snapToGrid w:val="0"/>
        </w:rPr>
        <w:t xml:space="preserve">; </w:t>
      </w:r>
      <w:r w:rsidR="00630390">
        <w:rPr>
          <w:snapToGrid w:val="0"/>
        </w:rPr>
        <w:t>and</w:t>
      </w:r>
    </w:p>
    <w:p w14:paraId="765A8EA7" w14:textId="42B9A607" w:rsidR="00630390" w:rsidRDefault="008C3F8C" w:rsidP="00471D45">
      <w:pPr>
        <w:pStyle w:val="ListParagraph"/>
        <w:numPr>
          <w:ilvl w:val="0"/>
          <w:numId w:val="96"/>
        </w:numPr>
        <w:rPr>
          <w:snapToGrid w:val="0"/>
        </w:rPr>
      </w:pPr>
      <w:r>
        <w:rPr>
          <w:snapToGrid w:val="0"/>
        </w:rPr>
        <w:t>C</w:t>
      </w:r>
      <w:r w:rsidR="00630390" w:rsidRPr="00471D45">
        <w:rPr>
          <w:snapToGrid w:val="0"/>
        </w:rPr>
        <w:t>onducting prosecutions, summary conviction appeals, and bail hearings.</w:t>
      </w:r>
    </w:p>
    <w:p w14:paraId="5561F950" w14:textId="77777777" w:rsidR="00630390" w:rsidRPr="00471D45" w:rsidRDefault="00630390" w:rsidP="00471D45">
      <w:pPr>
        <w:rPr>
          <w:snapToGrid w:val="0"/>
        </w:rPr>
      </w:pPr>
    </w:p>
    <w:p w14:paraId="114EC5ED" w14:textId="195E7BBE" w:rsidR="00630390" w:rsidRPr="00471D45" w:rsidRDefault="008C3F8C" w:rsidP="00471D45">
      <w:pPr>
        <w:rPr>
          <w:snapToGrid w:val="0"/>
        </w:rPr>
      </w:pPr>
      <w:r>
        <w:rPr>
          <w:snapToGrid w:val="0"/>
        </w:rPr>
        <w:t>CAA s</w:t>
      </w:r>
      <w:r w:rsidR="00630390" w:rsidRPr="00471D45">
        <w:rPr>
          <w:snapToGrid w:val="0"/>
        </w:rPr>
        <w:t>ection 14.3(3) affords</w:t>
      </w:r>
      <w:r>
        <w:rPr>
          <w:snapToGrid w:val="0"/>
        </w:rPr>
        <w:t xml:space="preserve"> </w:t>
      </w:r>
      <w:r w:rsidR="00630390" w:rsidRPr="00471D45">
        <w:rPr>
          <w:snapToGrid w:val="0"/>
        </w:rPr>
        <w:t xml:space="preserve">the Attorney General </w:t>
      </w:r>
      <w:r>
        <w:rPr>
          <w:snapToGrid w:val="0"/>
        </w:rPr>
        <w:t>(</w:t>
      </w:r>
      <w:r w:rsidR="00630390" w:rsidRPr="00471D45">
        <w:rPr>
          <w:snapToGrid w:val="0"/>
        </w:rPr>
        <w:t>Crown Attorneys</w:t>
      </w:r>
      <w:r>
        <w:rPr>
          <w:snapToGrid w:val="0"/>
        </w:rPr>
        <w:t>)</w:t>
      </w:r>
      <w:r w:rsidR="00630390" w:rsidRPr="00471D45">
        <w:rPr>
          <w:snapToGrid w:val="0"/>
        </w:rPr>
        <w:t xml:space="preserve"> and others protection from personal liability for acts done in good faith in the performance or intended performance of duties and the exercise or intended exercise of powers under the section.</w:t>
      </w:r>
    </w:p>
    <w:p w14:paraId="7D315468" w14:textId="77777777" w:rsidR="00630390" w:rsidRDefault="00630390" w:rsidP="00471D45"/>
    <w:p w14:paraId="160BC1D5" w14:textId="7EE83E4A" w:rsidR="00630390" w:rsidRDefault="00630390" w:rsidP="00471D45">
      <w:r>
        <w:t xml:space="preserve">Like any exercise of discretion, Crown prosecutorial decisions are vulnerable to criticisms of subjectivity and bias. Further, calls </w:t>
      </w:r>
      <w:r w:rsidR="00E14454">
        <w:t>are</w:t>
      </w:r>
      <w:r w:rsidR="00B925C0">
        <w:t xml:space="preserve"> made in criminal courts on a near-daily basis </w:t>
      </w:r>
      <w:r>
        <w:t xml:space="preserve">for speedier prosecutions, </w:t>
      </w:r>
      <w:r w:rsidR="00B925C0">
        <w:t>minimization of</w:t>
      </w:r>
      <w:r>
        <w:t xml:space="preserve"> delays, more prosecutorial resources, and greater efficiency. Given the existing challenges, Crown screening and prosecutorial decisions would appear to be fertile ground for power, efficiency and ostensible objectivity of AI. Indeed, other jurisdictions have introduced AI to serve this very purpose.</w:t>
      </w:r>
    </w:p>
    <w:p w14:paraId="6D41A375" w14:textId="77777777" w:rsidR="008633D6" w:rsidRDefault="008633D6" w:rsidP="00471D45"/>
    <w:p w14:paraId="582B0F53" w14:textId="34F99BA2" w:rsidR="00630390" w:rsidRDefault="00630390" w:rsidP="00471D45">
      <w:r>
        <w:t>The advent of AI systems invites consideration of the strengths and limitations of this legislative scheme.</w:t>
      </w:r>
    </w:p>
    <w:p w14:paraId="7DFBD469" w14:textId="77777777" w:rsidR="00630390" w:rsidRDefault="00630390" w:rsidP="00471D45"/>
    <w:p w14:paraId="3D71B561" w14:textId="63675124" w:rsidR="00630390" w:rsidRDefault="00630390" w:rsidP="00471D45">
      <w:r>
        <w:t xml:space="preserve">For instance, </w:t>
      </w:r>
      <w:r w:rsidRPr="00DF5991">
        <w:t>China is credited with having developed an AI prosecutor that can identify dissent and charge people with common crimes with 97% accuracy.</w:t>
      </w:r>
      <w:r>
        <w:rPr>
          <w:rStyle w:val="EndnoteReference"/>
        </w:rPr>
        <w:endnoteReference w:id="81"/>
      </w:r>
      <w:r>
        <w:t xml:space="preserve"> </w:t>
      </w:r>
      <w:r w:rsidRPr="00DF5991">
        <w:t xml:space="preserve">Many other prosecutorial functions currently performed by human Crown Attorneys are also now within </w:t>
      </w:r>
      <w:r>
        <w:t xml:space="preserve">the purported capacity of AI, </w:t>
      </w:r>
      <w:r w:rsidRPr="00DF5991">
        <w:t>such as:</w:t>
      </w:r>
    </w:p>
    <w:p w14:paraId="7BFC029E" w14:textId="77777777" w:rsidR="00630390" w:rsidRPr="00DF5991" w:rsidRDefault="00630390" w:rsidP="00471D45"/>
    <w:p w14:paraId="4E481BAF" w14:textId="4F2EEC0E" w:rsidR="00630390" w:rsidRPr="005C5699" w:rsidRDefault="008633D6" w:rsidP="00471D45">
      <w:pPr>
        <w:pStyle w:val="ListParagraph"/>
        <w:numPr>
          <w:ilvl w:val="0"/>
          <w:numId w:val="98"/>
        </w:numPr>
        <w:spacing w:after="160" w:line="259" w:lineRule="auto"/>
      </w:pPr>
      <w:r>
        <w:t>P</w:t>
      </w:r>
      <w:r w:rsidR="00630390" w:rsidRPr="005C5699">
        <w:t xml:space="preserve">redicting the likelihood of success in litigation based </w:t>
      </w:r>
      <w:r w:rsidR="00895244">
        <w:t>on</w:t>
      </w:r>
      <w:r w:rsidR="00630390" w:rsidRPr="005C5699">
        <w:t xml:space="preserve"> data </w:t>
      </w:r>
      <w:r w:rsidR="00895244">
        <w:t>about the</w:t>
      </w:r>
      <w:r w:rsidR="00630390" w:rsidRPr="005C5699">
        <w:t xml:space="preserve"> judicial officer and opposing counsel</w:t>
      </w:r>
      <w:r>
        <w:t>;</w:t>
      </w:r>
    </w:p>
    <w:p w14:paraId="3F5AF36C" w14:textId="300D22D3" w:rsidR="00630390" w:rsidRPr="007514AF" w:rsidRDefault="008633D6" w:rsidP="00471D45">
      <w:pPr>
        <w:pStyle w:val="ListParagraph"/>
        <w:numPr>
          <w:ilvl w:val="0"/>
          <w:numId w:val="97"/>
        </w:numPr>
        <w:spacing w:after="160" w:line="259" w:lineRule="auto"/>
      </w:pPr>
      <w:r>
        <w:t>T</w:t>
      </w:r>
      <w:r w:rsidR="00630390" w:rsidRPr="007514AF">
        <w:t xml:space="preserve">echnology assisted review </w:t>
      </w:r>
      <w:r w:rsidR="00895244">
        <w:t>of</w:t>
      </w:r>
      <w:r w:rsidR="00630390" w:rsidRPr="007514AF">
        <w:t xml:space="preserve"> document</w:t>
      </w:r>
      <w:r w:rsidR="00895244">
        <w:t>s</w:t>
      </w:r>
      <w:r>
        <w:t>;</w:t>
      </w:r>
    </w:p>
    <w:p w14:paraId="1F3950D3" w14:textId="62275109" w:rsidR="00630390" w:rsidRDefault="008633D6" w:rsidP="00471D45">
      <w:pPr>
        <w:pStyle w:val="ListParagraph"/>
        <w:numPr>
          <w:ilvl w:val="0"/>
          <w:numId w:val="97"/>
        </w:numPr>
        <w:spacing w:after="160" w:line="259" w:lineRule="auto"/>
      </w:pPr>
      <w:r>
        <w:t>N</w:t>
      </w:r>
      <w:r w:rsidR="00630390" w:rsidRPr="00DE7D2D">
        <w:t>atural language</w:t>
      </w:r>
      <w:r w:rsidR="00630390">
        <w:t xml:space="preserve"> legal research</w:t>
      </w:r>
      <w:r>
        <w:t>;</w:t>
      </w:r>
    </w:p>
    <w:p w14:paraId="15DF95B4" w14:textId="769523F8" w:rsidR="00630390" w:rsidRDefault="008633D6" w:rsidP="00471D45">
      <w:pPr>
        <w:pStyle w:val="ListParagraph"/>
        <w:numPr>
          <w:ilvl w:val="0"/>
          <w:numId w:val="97"/>
        </w:numPr>
        <w:spacing w:after="160" w:line="259" w:lineRule="auto"/>
      </w:pPr>
      <w:r>
        <w:t>D</w:t>
      </w:r>
      <w:r w:rsidR="00630390">
        <w:t>rafting of legal memoranda and pleadings</w:t>
      </w:r>
      <w:r>
        <w:t xml:space="preserve">; and </w:t>
      </w:r>
    </w:p>
    <w:p w14:paraId="3D7EC613" w14:textId="468E8979" w:rsidR="00630390" w:rsidRPr="001C4C35" w:rsidRDefault="00895244" w:rsidP="00471D45">
      <w:pPr>
        <w:pStyle w:val="ListParagraph"/>
        <w:numPr>
          <w:ilvl w:val="0"/>
          <w:numId w:val="97"/>
        </w:numPr>
        <w:spacing w:after="160" w:line="259" w:lineRule="auto"/>
      </w:pPr>
      <w:r>
        <w:t>Forecasting allocations to fund litigation</w:t>
      </w:r>
      <w:r w:rsidR="00630390">
        <w:t>.</w:t>
      </w:r>
      <w:r w:rsidR="00630390">
        <w:rPr>
          <w:rStyle w:val="EndnoteReference"/>
        </w:rPr>
        <w:endnoteReference w:id="82"/>
      </w:r>
    </w:p>
    <w:p w14:paraId="649BB88A" w14:textId="1A6B0D0E" w:rsidR="00630390" w:rsidRDefault="00630390" w:rsidP="00471D45">
      <w:r>
        <w:t>The China model stands to disrupt current modes of thinking about charge screening and prosecutorial autonomy. It raises difficult questions to confront with</w:t>
      </w:r>
      <w:r w:rsidR="004D7A15">
        <w:t>in</w:t>
      </w:r>
      <w:r>
        <w:t xml:space="preserve"> our own system</w:t>
      </w:r>
      <w:r w:rsidR="00FD6147">
        <w:t>. For instance:</w:t>
      </w:r>
    </w:p>
    <w:p w14:paraId="1C835469" w14:textId="77777777" w:rsidR="00E215CA" w:rsidRDefault="00E215CA" w:rsidP="00471D45"/>
    <w:p w14:paraId="450369DD" w14:textId="0C5FEEB9" w:rsidR="00630390" w:rsidRPr="006E3B65" w:rsidRDefault="00FD6147" w:rsidP="00471D45">
      <w:pPr>
        <w:pStyle w:val="ListParagraph"/>
        <w:numPr>
          <w:ilvl w:val="0"/>
          <w:numId w:val="99"/>
        </w:numPr>
        <w:spacing w:after="160" w:line="259" w:lineRule="auto"/>
        <w:rPr>
          <w:snapToGrid w:val="0"/>
        </w:rPr>
      </w:pPr>
      <w:r>
        <w:lastRenderedPageBreak/>
        <w:t>T</w:t>
      </w:r>
      <w:r w:rsidR="00630390" w:rsidRPr="006E3B65">
        <w:t>he</w:t>
      </w:r>
      <w:r w:rsidR="008633D6">
        <w:t xml:space="preserve"> CAA</w:t>
      </w:r>
      <w:r w:rsidR="008633D6">
        <w:rPr>
          <w:i/>
          <w:iCs/>
        </w:rPr>
        <w:t xml:space="preserve"> </w:t>
      </w:r>
      <w:r>
        <w:t>contemplates</w:t>
      </w:r>
      <w:r w:rsidR="00630390" w:rsidRPr="006E3B65">
        <w:t xml:space="preserve"> human beings in the Crown Attorney role</w:t>
      </w:r>
      <w:r w:rsidR="008633D6">
        <w:t xml:space="preserve">, making them accountable agents. If AI asserts a decision-making or decision-supplementing role, how will </w:t>
      </w:r>
      <w:r>
        <w:t>its</w:t>
      </w:r>
      <w:r w:rsidR="008633D6">
        <w:t xml:space="preserve"> agency be made accountable? Are delegation guidelines necessary?</w:t>
      </w:r>
    </w:p>
    <w:p w14:paraId="2F01140F" w14:textId="3506B660" w:rsidR="00630390" w:rsidRPr="006E3B65" w:rsidRDefault="00630390" w:rsidP="00471D45">
      <w:pPr>
        <w:pStyle w:val="ListParagraph"/>
        <w:numPr>
          <w:ilvl w:val="0"/>
          <w:numId w:val="99"/>
        </w:numPr>
        <w:spacing w:after="160" w:line="259" w:lineRule="auto"/>
        <w:rPr>
          <w:snapToGrid w:val="0"/>
        </w:rPr>
      </w:pPr>
      <w:r w:rsidRPr="006E3B65">
        <w:t xml:space="preserve">While delegation of some functions </w:t>
      </w:r>
      <w:r w:rsidR="00FD6147">
        <w:t xml:space="preserve">may </w:t>
      </w:r>
      <w:r w:rsidR="00FD6147" w:rsidRPr="006E3B65">
        <w:t xml:space="preserve">appear both beneficial and </w:t>
      </w:r>
      <w:r w:rsidR="00FD6147">
        <w:t xml:space="preserve">relatively low-risk – such as AI assisted </w:t>
      </w:r>
      <w:r w:rsidRPr="006E3B65">
        <w:t>legal research, drafting, and legal brief analytics</w:t>
      </w:r>
      <w:r w:rsidR="00FD6147">
        <w:t xml:space="preserve"> – is this </w:t>
      </w:r>
      <w:r w:rsidRPr="006E3B65">
        <w:t xml:space="preserve">an evidence-based assumption? </w:t>
      </w:r>
      <w:r w:rsidR="008633D6">
        <w:t xml:space="preserve">How will the Crown satisfy itself that AI tools are both effective and reliable before subjecting humans to </w:t>
      </w:r>
      <w:r w:rsidR="00FD6147">
        <w:t>AI’s advice, recommendations or decisions</w:t>
      </w:r>
      <w:r w:rsidR="008633D6">
        <w:t>?</w:t>
      </w:r>
    </w:p>
    <w:p w14:paraId="576B55F2" w14:textId="00229F5C" w:rsidR="00630390" w:rsidRPr="006E3B65" w:rsidRDefault="008633D6" w:rsidP="00471D45">
      <w:pPr>
        <w:pStyle w:val="ListParagraph"/>
        <w:numPr>
          <w:ilvl w:val="0"/>
          <w:numId w:val="99"/>
        </w:numPr>
        <w:spacing w:after="160" w:line="259" w:lineRule="auto"/>
        <w:rPr>
          <w:snapToGrid w:val="0"/>
        </w:rPr>
      </w:pPr>
      <w:r>
        <w:t xml:space="preserve">Given the </w:t>
      </w:r>
      <w:r w:rsidR="00630390" w:rsidRPr="006E3B65">
        <w:t>well-established evidence of AI hallucination</w:t>
      </w:r>
      <w:r w:rsidR="00FD6147">
        <w:t>s</w:t>
      </w:r>
      <w:r w:rsidR="00630390" w:rsidRPr="006E3B65">
        <w:t xml:space="preserve"> (</w:t>
      </w:r>
      <w:r w:rsidR="00FD6147">
        <w:t>such as the explicit warning in the Federal Court AI directive)</w:t>
      </w:r>
      <w:r>
        <w:t>, how will the Crown control for this? Will AI be any more efficient if it require</w:t>
      </w:r>
      <w:r w:rsidR="00FD6147">
        <w:t>s</w:t>
      </w:r>
      <w:r>
        <w:t xml:space="preserve"> constant human oversight</w:t>
      </w:r>
      <w:r w:rsidR="00FD6147">
        <w:t>, verification and correction?</w:t>
      </w:r>
    </w:p>
    <w:p w14:paraId="1241E4B2" w14:textId="4B25BCE5" w:rsidR="00630390" w:rsidRPr="008409F3" w:rsidRDefault="008633D6" w:rsidP="00471D45">
      <w:pPr>
        <w:pStyle w:val="ListParagraph"/>
        <w:numPr>
          <w:ilvl w:val="0"/>
          <w:numId w:val="99"/>
        </w:numPr>
        <w:spacing w:after="160" w:line="259" w:lineRule="auto"/>
        <w:rPr>
          <w:snapToGrid w:val="0"/>
        </w:rPr>
      </w:pPr>
      <w:r>
        <w:t>W</w:t>
      </w:r>
      <w:r w:rsidR="00630390" w:rsidRPr="006E3B65">
        <w:t xml:space="preserve">hat limitations or other safeguards will be required to protect against concerns regarding bias, transparency, explainability and accountability should prosecutorial duties be delegated to AI? </w:t>
      </w:r>
    </w:p>
    <w:p w14:paraId="04EF2A2E" w14:textId="1AFC8B38" w:rsidR="00630390" w:rsidRPr="006E3B65" w:rsidRDefault="00630390" w:rsidP="00471D45">
      <w:pPr>
        <w:pStyle w:val="ListParagraph"/>
        <w:numPr>
          <w:ilvl w:val="0"/>
          <w:numId w:val="99"/>
        </w:numPr>
        <w:spacing w:after="160" w:line="259" w:lineRule="auto"/>
        <w:rPr>
          <w:snapToGrid w:val="0"/>
        </w:rPr>
      </w:pPr>
      <w:r w:rsidRPr="006E3B65">
        <w:t>What, if any, impact to accused persons’ rights to initiate claims for malicious prosecution or pursue remedies for other forms of alleged prosecutorial misconduct would flow from AI’s performance of Crown duties</w:t>
      </w:r>
      <w:r w:rsidR="008633D6">
        <w:t>?</w:t>
      </w:r>
    </w:p>
    <w:p w14:paraId="7F76F2D5" w14:textId="77777777" w:rsidR="00630390" w:rsidRPr="00D6562E" w:rsidRDefault="00630390" w:rsidP="0069073E"/>
    <w:p w14:paraId="4CE21BBB" w14:textId="5040A1AF" w:rsidR="00630390" w:rsidRDefault="00630390" w:rsidP="00D55F1D">
      <w:pPr>
        <w:pStyle w:val="Heading3"/>
        <w:numPr>
          <w:ilvl w:val="2"/>
          <w:numId w:val="79"/>
        </w:numPr>
        <w:rPr>
          <w:rFonts w:asciiTheme="minorHAnsi" w:hAnsiTheme="minorHAnsi" w:cstheme="minorHAnsi"/>
        </w:rPr>
      </w:pPr>
      <w:bookmarkStart w:id="26" w:name="_Toc195597981"/>
      <w:r>
        <w:rPr>
          <w:rFonts w:asciiTheme="minorHAnsi" w:hAnsiTheme="minorHAnsi" w:cstheme="minorHAnsi"/>
        </w:rPr>
        <w:t>Victims’ Bill of Rights</w:t>
      </w:r>
      <w:bookmarkEnd w:id="26"/>
    </w:p>
    <w:p w14:paraId="31AE9536" w14:textId="77777777" w:rsidR="00630390" w:rsidRDefault="00630390" w:rsidP="00D55F1D"/>
    <w:p w14:paraId="7BDA9586" w14:textId="7C312A6F" w:rsidR="00630390" w:rsidRPr="00643E92" w:rsidRDefault="00630390" w:rsidP="00D55F1D">
      <w:r w:rsidRPr="0032380B">
        <w:t xml:space="preserve">Ontario’s </w:t>
      </w:r>
      <w:r w:rsidRPr="0032380B">
        <w:rPr>
          <w:i/>
          <w:iCs/>
        </w:rPr>
        <w:t>Victims’ Bill of Rights</w:t>
      </w:r>
      <w:r>
        <w:rPr>
          <w:i/>
          <w:iCs/>
        </w:rPr>
        <w:t>, 1995</w:t>
      </w:r>
      <w:r w:rsidRPr="003B6CA8">
        <w:rPr>
          <w:rStyle w:val="EndnoteReference"/>
        </w:rPr>
        <w:endnoteReference w:id="83"/>
      </w:r>
      <w:r w:rsidRPr="003B6CA8">
        <w:t xml:space="preserve"> </w:t>
      </w:r>
      <w:r w:rsidRPr="0032380B">
        <w:t>is premised upon the belief that victims of crime should be treated with compassion and fairness and that the justice system should not increase victims’ suffering nor discourage them from participating in the justice process.</w:t>
      </w:r>
      <w:r>
        <w:t xml:space="preserve"> </w:t>
      </w:r>
      <w:r w:rsidRPr="0032380B">
        <w:t>Its principles include prescriptions for treatment of victims and requirements regarding matters about which they are entitled to receive information (i.e., services and protections available to victims, provisions of the Act, dates, places, and outcomes of significant proceedings) or notification (regarding release or escape of convicted persons), subject to the limitation regarding what is reasonable in the circumstances.</w:t>
      </w:r>
    </w:p>
    <w:p w14:paraId="52A95A0A" w14:textId="77777777" w:rsidR="00630390" w:rsidRDefault="00630390" w:rsidP="00D55F1D"/>
    <w:p w14:paraId="0BA73D74" w14:textId="37A511D1" w:rsidR="00630390" w:rsidRPr="00956A78" w:rsidRDefault="00630390" w:rsidP="00D55F1D">
      <w:r w:rsidRPr="00956A78">
        <w:t xml:space="preserve">The </w:t>
      </w:r>
      <w:r w:rsidRPr="00956A78">
        <w:rPr>
          <w:i/>
          <w:iCs/>
        </w:rPr>
        <w:t>Canadian Victims Bill of Rights</w:t>
      </w:r>
      <w:r>
        <w:rPr>
          <w:i/>
          <w:iCs/>
        </w:rPr>
        <w:t xml:space="preserve"> Act</w:t>
      </w:r>
      <w:r>
        <w:t>,</w:t>
      </w:r>
      <w:r w:rsidRPr="003B6CA8">
        <w:rPr>
          <w:rStyle w:val="EndnoteReference"/>
        </w:rPr>
        <w:endnoteReference w:id="84"/>
      </w:r>
      <w:r>
        <w:t xml:space="preserve"> s.2</w:t>
      </w:r>
      <w:r w:rsidRPr="00956A78">
        <w:rPr>
          <w:i/>
          <w:iCs/>
        </w:rPr>
        <w:t xml:space="preserve"> </w:t>
      </w:r>
      <w:r w:rsidRPr="00956A78">
        <w:t>recognizes crime’s harmful impact upon victims and society.</w:t>
      </w:r>
      <w:r>
        <w:t xml:space="preserve"> </w:t>
      </w:r>
      <w:r w:rsidRPr="00956A78">
        <w:t>It acknowledges that victims and their families deserve to be treated with courtesy, compassion, and respect (including for their dignity).</w:t>
      </w:r>
      <w:r>
        <w:t xml:space="preserve"> </w:t>
      </w:r>
      <w:r w:rsidRPr="00956A78">
        <w:t xml:space="preserve">The Act further acknowledges that victims have rights bestowed upon them by the </w:t>
      </w:r>
      <w:r w:rsidRPr="00956A78">
        <w:rPr>
          <w:i/>
          <w:iCs/>
        </w:rPr>
        <w:t xml:space="preserve">Charter </w:t>
      </w:r>
      <w:r w:rsidRPr="00956A78">
        <w:t>and the importance that victims’ rights be considered throughout the criminal justice system, including because consideration of victims’ rights is in the interest of the proper administration of justice.</w:t>
      </w:r>
      <w:r>
        <w:t xml:space="preserve"> </w:t>
      </w:r>
      <w:r w:rsidRPr="00956A78">
        <w:t xml:space="preserve">The criminal justice </w:t>
      </w:r>
      <w:r>
        <w:t xml:space="preserve">system </w:t>
      </w:r>
      <w:r w:rsidRPr="00956A78">
        <w:t>is defined to include the investigation and prosecution of crime, corrections and conditional release, and the proceedings before courts and Review Boards.</w:t>
      </w:r>
      <w:r>
        <w:t xml:space="preserve"> </w:t>
      </w:r>
      <w:r w:rsidRPr="00956A78">
        <w:t>The rights recognized are organized into the following categories:</w:t>
      </w:r>
      <w:r>
        <w:t xml:space="preserve"> </w:t>
      </w:r>
      <w:r w:rsidRPr="00956A78">
        <w:t>information, protection, participation, and restitution.</w:t>
      </w:r>
    </w:p>
    <w:p w14:paraId="243CFAE8" w14:textId="77777777" w:rsidR="00630390" w:rsidRDefault="00630390" w:rsidP="00D55F1D"/>
    <w:p w14:paraId="0921B7D5" w14:textId="5C4D7231" w:rsidR="00630390" w:rsidRDefault="00630390" w:rsidP="00FE30C4">
      <w:r>
        <w:t xml:space="preserve">In this context, it is easy to imagine that AI might prove helpful in discharging the obligations associated with informing and notifying victims as required by the legislation, but it is more difficult to see how well AI could support victims’ rights to courtesy, compassion, and respect. AI’s intrusion into the realm of victim services might further subvert meaningful victim engagement and increase the already prevalent victim reports of feeling further traumatized by their experiences during the criminal trial process.  </w:t>
      </w:r>
    </w:p>
    <w:p w14:paraId="356A35B4" w14:textId="77777777" w:rsidR="00630390" w:rsidRDefault="00630390" w:rsidP="00FE30C4"/>
    <w:p w14:paraId="0E4B7C48" w14:textId="6D962DDC" w:rsidR="00630390" w:rsidRDefault="00630390" w:rsidP="00FE30C4">
      <w:r w:rsidRPr="00E35E05">
        <w:t>The implementation and use of AI and AI enabled technology must therefore also consider the victim experience of criminal</w:t>
      </w:r>
      <w:r>
        <w:t xml:space="preserve"> litigation</w:t>
      </w:r>
      <w:r w:rsidRPr="00E35E05">
        <w:t xml:space="preserve">. Extrapolating </w:t>
      </w:r>
      <w:r>
        <w:t xml:space="preserve">insights gleaned </w:t>
      </w:r>
      <w:r w:rsidRPr="00E35E05">
        <w:t>from literature in the body worn camera context</w:t>
      </w:r>
      <w:r>
        <w:t xml:space="preserve"> </w:t>
      </w:r>
      <w:r w:rsidRPr="00E35E05">
        <w:t xml:space="preserve">suggests that important considerations will include notification </w:t>
      </w:r>
      <w:r>
        <w:t>regarding</w:t>
      </w:r>
      <w:r w:rsidRPr="00E35E05">
        <w:t xml:space="preserve"> AI’s use (and where appropriate,</w:t>
      </w:r>
      <w:r>
        <w:t xml:space="preserve"> victim</w:t>
      </w:r>
      <w:r w:rsidRPr="00E35E05">
        <w:t xml:space="preserve"> consent). Clear communication to victims regarding data access and security. Regular review of AI’s impact, and training of police, counsel, and other staff to enhance quality interactions and minimize any deleterious effects.</w:t>
      </w:r>
      <w:r>
        <w:rPr>
          <w:rStyle w:val="EndnoteReference"/>
        </w:rPr>
        <w:endnoteReference w:id="85"/>
      </w:r>
    </w:p>
    <w:p w14:paraId="0D97B493" w14:textId="77777777" w:rsidR="00EF5ADA" w:rsidRDefault="00EF5ADA" w:rsidP="00FE30C4"/>
    <w:p w14:paraId="14ED007C" w14:textId="1C7FDEA3" w:rsidR="00EF5ADA" w:rsidRDefault="00EF5ADA" w:rsidP="00FE30C4">
      <w:pPr>
        <w:rPr>
          <w:shd w:val="clear" w:color="auto" w:fill="D9E2F3" w:themeFill="accent5" w:themeFillTint="33"/>
        </w:rPr>
      </w:pPr>
      <w:r w:rsidRPr="009B0759">
        <w:rPr>
          <w:shd w:val="clear" w:color="auto" w:fill="D9E2F3" w:themeFill="accent5" w:themeFillTint="33"/>
        </w:rPr>
        <w:t xml:space="preserve">SIDEBAR: </w:t>
      </w:r>
      <w:r w:rsidR="00C660C5" w:rsidRPr="00C660C5">
        <w:rPr>
          <w:b/>
          <w:bCs/>
          <w:shd w:val="clear" w:color="auto" w:fill="D9E2F3" w:themeFill="accent5" w:themeFillTint="33"/>
        </w:rPr>
        <w:t xml:space="preserve">Project </w:t>
      </w:r>
      <w:r w:rsidRPr="009B0759">
        <w:rPr>
          <w:b/>
          <w:bCs/>
          <w:shd w:val="clear" w:color="auto" w:fill="D9E2F3" w:themeFill="accent5" w:themeFillTint="33"/>
        </w:rPr>
        <w:t>Case Studies.</w:t>
      </w:r>
      <w:r w:rsidRPr="009B0759">
        <w:rPr>
          <w:shd w:val="clear" w:color="auto" w:fill="D9E2F3" w:themeFill="accent5" w:themeFillTint="33"/>
        </w:rPr>
        <w:t xml:space="preserve"> </w:t>
      </w:r>
      <w:bookmarkStart w:id="27" w:name="_Hlk195127570"/>
      <w:r w:rsidRPr="009B0759">
        <w:rPr>
          <w:shd w:val="clear" w:color="auto" w:fill="D9E2F3" w:themeFill="accent5" w:themeFillTint="33"/>
        </w:rPr>
        <w:t xml:space="preserve">To practically illustrate some of the issues in this discussion, readers are encouraged to review </w:t>
      </w:r>
      <w:r w:rsidRPr="009B0759">
        <w:rPr>
          <w:b/>
          <w:bCs/>
          <w:i/>
          <w:iCs/>
          <w:shd w:val="clear" w:color="auto" w:fill="D9E2F3" w:themeFill="accent5" w:themeFillTint="33"/>
        </w:rPr>
        <w:t xml:space="preserve">Annex </w:t>
      </w:r>
      <w:r w:rsidR="00C660C5">
        <w:rPr>
          <w:b/>
          <w:bCs/>
          <w:i/>
          <w:iCs/>
          <w:shd w:val="clear" w:color="auto" w:fill="D9E2F3" w:themeFill="accent5" w:themeFillTint="33"/>
        </w:rPr>
        <w:t>B</w:t>
      </w:r>
      <w:r w:rsidRPr="009B0759">
        <w:rPr>
          <w:b/>
          <w:bCs/>
          <w:i/>
          <w:iCs/>
          <w:shd w:val="clear" w:color="auto" w:fill="D9E2F3" w:themeFill="accent5" w:themeFillTint="33"/>
        </w:rPr>
        <w:t>, Project Case Studies</w:t>
      </w:r>
      <w:r w:rsidRPr="009B0759">
        <w:rPr>
          <w:shd w:val="clear" w:color="auto" w:fill="D9E2F3" w:themeFill="accent5" w:themeFillTint="33"/>
        </w:rPr>
        <w:t>.</w:t>
      </w:r>
      <w:bookmarkEnd w:id="27"/>
      <w:r w:rsidRPr="009B0759">
        <w:rPr>
          <w:shd w:val="clear" w:color="auto" w:fill="D9E2F3" w:themeFill="accent5" w:themeFillTint="33"/>
        </w:rPr>
        <w:t xml:space="preserve"> One case study looks at intoxilyzers as an enforcement technology that gains the benefit of procedural efficiency and public safety through an effectively legislated verification, certification and procedural scheme. By analogy, this example might suggest how the benefits of AI could be furthered by effective regulatory schemes. A second case study describes how body-cam evidence is challenged in court, with consideration of the role AI may play in key issues of admissibility and credibility.</w:t>
      </w:r>
      <w:r w:rsidR="00B75F61">
        <w:rPr>
          <w:shd w:val="clear" w:color="auto" w:fill="D9E2F3" w:themeFill="accent5" w:themeFillTint="33"/>
        </w:rPr>
        <w:t xml:space="preserve"> A third case study considers </w:t>
      </w:r>
      <w:r w:rsidR="00ED254A">
        <w:rPr>
          <w:shd w:val="clear" w:color="auto" w:fill="D9E2F3" w:themeFill="accent5" w:themeFillTint="33"/>
        </w:rPr>
        <w:t xml:space="preserve">the various ways in which </w:t>
      </w:r>
      <w:r w:rsidR="00B75F61">
        <w:rPr>
          <w:shd w:val="clear" w:color="auto" w:fill="D9E2F3" w:themeFill="accent5" w:themeFillTint="33"/>
        </w:rPr>
        <w:t>AI</w:t>
      </w:r>
      <w:r w:rsidR="00B75F61" w:rsidRPr="00B75F61">
        <w:rPr>
          <w:shd w:val="clear" w:color="auto" w:fill="D9E2F3" w:themeFill="accent5" w:themeFillTint="33"/>
        </w:rPr>
        <w:t xml:space="preserve"> could impact investigation of an alleged domestic violence incident</w:t>
      </w:r>
      <w:r w:rsidR="00B75F61">
        <w:rPr>
          <w:shd w:val="clear" w:color="auto" w:fill="D9E2F3" w:themeFill="accent5" w:themeFillTint="33"/>
        </w:rPr>
        <w:t>.</w:t>
      </w:r>
    </w:p>
    <w:p w14:paraId="15ACAFC9" w14:textId="77777777" w:rsidR="009F111D" w:rsidRDefault="009F111D" w:rsidP="00FE30C4">
      <w:pPr>
        <w:rPr>
          <w:shd w:val="clear" w:color="auto" w:fill="D9E2F3" w:themeFill="accent5" w:themeFillTint="33"/>
        </w:rPr>
      </w:pPr>
    </w:p>
    <w:p w14:paraId="039AC839" w14:textId="77777777" w:rsidR="00630390" w:rsidRDefault="00630390" w:rsidP="00FE30C4"/>
    <w:p w14:paraId="6BD8031D" w14:textId="23559B42" w:rsidR="00630390" w:rsidRPr="00FE30C4" w:rsidRDefault="00630390" w:rsidP="009128FA">
      <w:pPr>
        <w:pStyle w:val="Heading2"/>
        <w:ind w:left="720" w:hanging="720"/>
      </w:pPr>
      <w:bookmarkStart w:id="28" w:name="_Toc195597982"/>
      <w:r>
        <w:t>2.2</w:t>
      </w:r>
      <w:r>
        <w:tab/>
      </w:r>
      <w:bookmarkStart w:id="29" w:name="_Hlk195127627"/>
      <w:r>
        <w:t>Court Jurisdiction over Trials and Appeals, and Indirect Jurisdiction over Justice-Involved Institutions</w:t>
      </w:r>
      <w:bookmarkEnd w:id="28"/>
      <w:r>
        <w:t xml:space="preserve"> </w:t>
      </w:r>
      <w:bookmarkEnd w:id="29"/>
    </w:p>
    <w:p w14:paraId="517D2A0A" w14:textId="77777777" w:rsidR="00630390" w:rsidRDefault="00630390" w:rsidP="00620607"/>
    <w:p w14:paraId="6E539B4D" w14:textId="6434986B" w:rsidR="00630390" w:rsidRDefault="00630390" w:rsidP="00620607">
      <w:r>
        <w:t xml:space="preserve">This section explores how criminal courts exercise jurisdiction over trials and appeals, and complications AI might introduce </w:t>
      </w:r>
      <w:r w:rsidR="00EB5376">
        <w:t>to</w:t>
      </w:r>
      <w:r>
        <w:t xml:space="preserve"> these </w:t>
      </w:r>
      <w:r w:rsidR="00EB5376">
        <w:t>functions</w:t>
      </w:r>
      <w:r>
        <w:t>.</w:t>
      </w:r>
    </w:p>
    <w:p w14:paraId="13B03A91" w14:textId="77777777" w:rsidR="00630390" w:rsidRDefault="00630390" w:rsidP="00620607"/>
    <w:p w14:paraId="51FA1D26" w14:textId="77777777" w:rsidR="001E0A4D" w:rsidRDefault="00EB5376" w:rsidP="00620607">
      <w:r>
        <w:t>This section also considers the limited jurisdiction courts have over justice-involved institutions who may increasingly rely on AI systems</w:t>
      </w:r>
      <w:r w:rsidR="00630390">
        <w:t>. For instance, criminal cases often involve law enforcement, corrections, healthcare services and institutions, social and community support services, Children’s Aid Societies, and immigration and refugee services, among many others. C</w:t>
      </w:r>
      <w:r w:rsidR="00630390" w:rsidRPr="00620607">
        <w:t>ourts have a limited ability to directly influence the policies and practices of these organizations</w:t>
      </w:r>
      <w:r w:rsidR="00630390">
        <w:t>. H</w:t>
      </w:r>
      <w:r w:rsidR="00630390" w:rsidRPr="00620607">
        <w:t>owever, they can and regularly do exert an indirect influence over outside institutions’ standards and practices.</w:t>
      </w:r>
    </w:p>
    <w:p w14:paraId="57D8206D" w14:textId="77777777" w:rsidR="001E0A4D" w:rsidRDefault="001E0A4D" w:rsidP="00620607"/>
    <w:p w14:paraId="0BBE4039" w14:textId="77777777" w:rsidR="001E0A4D" w:rsidRDefault="001E0A4D" w:rsidP="00620607">
      <w:r>
        <w:lastRenderedPageBreak/>
        <w:t>The concern here is that each of these institutions or sectors may use AI for a variety of purposes and which may figure in the criminal justice process. This may give rise to the issues discussed below, including competing standards for the assessment, performance and oversight of AI systems in different sectors. Such standards may routinely fall short of criminal court standards, or worse, lead to the erosion of those standards due to technological deference, resource limitations, procedural limitations, and general expediency.</w:t>
      </w:r>
    </w:p>
    <w:p w14:paraId="074EFADC" w14:textId="77777777" w:rsidR="001E0A4D" w:rsidRDefault="001E0A4D" w:rsidP="00620607"/>
    <w:p w14:paraId="780E7047" w14:textId="31D2F341" w:rsidR="00630390" w:rsidRDefault="001E0A4D" w:rsidP="00620607">
      <w:r>
        <w:t xml:space="preserve">At the same time, the criminal litigation process means </w:t>
      </w:r>
      <w:r w:rsidR="00630390" w:rsidRPr="00620607">
        <w:t>courts can make orders or otherwise grant remedies that can have profound changes on how justice-involved agencies operate upstream.</w:t>
      </w:r>
      <w:r w:rsidR="00EB5376">
        <w:t xml:space="preserve"> This suggests a role for </w:t>
      </w:r>
      <w:r>
        <w:t xml:space="preserve">criminal </w:t>
      </w:r>
      <w:r w:rsidR="00EB5376">
        <w:t xml:space="preserve">courts in </w:t>
      </w:r>
      <w:r>
        <w:t xml:space="preserve">assessing and setting standards for the </w:t>
      </w:r>
      <w:r w:rsidR="00EB5376">
        <w:t xml:space="preserve">use of AI in many </w:t>
      </w:r>
      <w:r>
        <w:t xml:space="preserve">social </w:t>
      </w:r>
      <w:r w:rsidR="00EB5376">
        <w:t>systems</w:t>
      </w:r>
      <w:r>
        <w:t>, and merits discussion about the opportunities and challenges this introduces.</w:t>
      </w:r>
    </w:p>
    <w:p w14:paraId="1DD62CB7" w14:textId="77777777" w:rsidR="00630390" w:rsidRDefault="00630390" w:rsidP="00D55F1D"/>
    <w:p w14:paraId="4D765281" w14:textId="361FB870" w:rsidR="00630390" w:rsidRDefault="00F77BE0" w:rsidP="009128FA">
      <w:pPr>
        <w:pStyle w:val="Heading3"/>
        <w:numPr>
          <w:ilvl w:val="2"/>
          <w:numId w:val="16"/>
        </w:numPr>
      </w:pPr>
      <w:bookmarkStart w:id="30" w:name="_Toc195597983"/>
      <w:r>
        <w:t xml:space="preserve">Courts and </w:t>
      </w:r>
      <w:r w:rsidR="00630390">
        <w:t>Internal Jurisdiction over Trials and Appeals, and the Challenge of Regional and Local Distinctions</w:t>
      </w:r>
      <w:bookmarkEnd w:id="30"/>
    </w:p>
    <w:p w14:paraId="1CB1177A" w14:textId="77777777" w:rsidR="00630390" w:rsidRDefault="00630390" w:rsidP="00FE30C4"/>
    <w:p w14:paraId="674FD2B5" w14:textId="36F6B887" w:rsidR="00630390" w:rsidRPr="0054053F" w:rsidRDefault="00630390" w:rsidP="00FE30C4">
      <w:r w:rsidRPr="0054053F">
        <w:t xml:space="preserve">Criminal courts have broad jurisdiction over the trial and appeal process. The </w:t>
      </w:r>
      <w:r w:rsidR="00F77BE0">
        <w:t>c</w:t>
      </w:r>
      <w:r w:rsidRPr="0054053F">
        <w:t>ourts own jurisdiction, and its related power to make orders and grant remedies, is an important safeguard against the introduction of unreliable evidence as well as against procedural unfairness.</w:t>
      </w:r>
    </w:p>
    <w:p w14:paraId="5203D3DD" w14:textId="77777777" w:rsidR="00630390" w:rsidRDefault="00630390" w:rsidP="00FE30C4"/>
    <w:p w14:paraId="2B1F18A6" w14:textId="77777777" w:rsidR="00630390" w:rsidRPr="00644E70" w:rsidRDefault="00630390" w:rsidP="000C77B7">
      <w:pPr>
        <w:rPr>
          <w:color w:val="212121"/>
          <w:bdr w:val="none" w:sz="0" w:space="0" w:color="auto" w:frame="1"/>
        </w:rPr>
      </w:pPr>
      <w:r w:rsidRPr="007301BD">
        <w:t xml:space="preserve">Provincial superior courts possess inherent jurisdiction constitutionally protected by s. 96 of the </w:t>
      </w:r>
      <w:r w:rsidRPr="007301BD">
        <w:rPr>
          <w:i/>
          <w:iCs/>
        </w:rPr>
        <w:t>Constitution Act</w:t>
      </w:r>
      <w:r w:rsidRPr="007301BD">
        <w:t>, 1867.</w:t>
      </w:r>
      <w:r>
        <w:rPr>
          <w:rStyle w:val="EndnoteReference"/>
        </w:rPr>
        <w:endnoteReference w:id="86"/>
      </w:r>
      <w:r>
        <w:t xml:space="preserve"> </w:t>
      </w:r>
      <w:r w:rsidRPr="007301BD">
        <w:t>Both superior courts and statutory courts possess powers derived from their authority to control their process.</w:t>
      </w:r>
      <w:r>
        <w:rPr>
          <w:rStyle w:val="EndnoteReference"/>
        </w:rPr>
        <w:endnoteReference w:id="87"/>
      </w:r>
      <w:r>
        <w:t xml:space="preserve"> </w:t>
      </w:r>
      <w:r w:rsidRPr="007301BD">
        <w:t xml:space="preserve">The superior court’s </w:t>
      </w:r>
      <w:r w:rsidRPr="003B6CA8">
        <w:t xml:space="preserve">inherent jurisdiction </w:t>
      </w:r>
      <w:r w:rsidRPr="003B6CA8">
        <w:rPr>
          <w:color w:val="212121"/>
        </w:rPr>
        <w:t>provides</w:t>
      </w:r>
      <w:r w:rsidRPr="00EB4D96">
        <w:rPr>
          <w:i/>
          <w:iCs/>
          <w:color w:val="212121"/>
        </w:rPr>
        <w:t xml:space="preserve"> </w:t>
      </w:r>
      <w:r>
        <w:rPr>
          <w:i/>
          <w:iCs/>
          <w:color w:val="212121"/>
        </w:rPr>
        <w:t>“</w:t>
      </w:r>
      <w:r w:rsidRPr="00EB4D96">
        <w:rPr>
          <w:i/>
          <w:iCs/>
          <w:color w:val="212121"/>
        </w:rPr>
        <w:t>the foundation for powers as diverse as contempt of court, the stay of proceedings and judicial review, [but] the doctrine of inherent jurisdiction does not operate without limits</w:t>
      </w:r>
      <w:r w:rsidRPr="007301BD">
        <w:rPr>
          <w:color w:val="212121"/>
        </w:rPr>
        <w:t>.”</w:t>
      </w:r>
      <w:r>
        <w:rPr>
          <w:rStyle w:val="EndnoteReference"/>
          <w:color w:val="212121"/>
        </w:rPr>
        <w:endnoteReference w:id="88"/>
      </w:r>
      <w:r>
        <w:rPr>
          <w:color w:val="212121"/>
          <w:bdr w:val="none" w:sz="0" w:space="0" w:color="auto" w:frame="1"/>
        </w:rPr>
        <w:t xml:space="preserve"> </w:t>
      </w:r>
      <w:r w:rsidRPr="007301BD">
        <w:rPr>
          <w:color w:val="212121"/>
          <w:bdr w:val="none" w:sz="0" w:space="0" w:color="auto" w:frame="1"/>
        </w:rPr>
        <w:t>The superior court’s power to order parties to pay costs for frivolous or abusive proceedings or in cases involving misconduct</w:t>
      </w:r>
      <w:r>
        <w:rPr>
          <w:color w:val="212121"/>
          <w:bdr w:val="none" w:sz="0" w:space="0" w:color="auto" w:frame="1"/>
        </w:rPr>
        <w:t xml:space="preserve"> </w:t>
      </w:r>
      <w:r w:rsidRPr="007301BD">
        <w:rPr>
          <w:color w:val="212121"/>
          <w:shd w:val="clear" w:color="auto" w:fill="FFFFFF"/>
        </w:rPr>
        <w:t>also arises from the court’s power to control its own processes.</w:t>
      </w:r>
      <w:r>
        <w:rPr>
          <w:rStyle w:val="EndnoteReference"/>
          <w:color w:val="212121"/>
          <w:shd w:val="clear" w:color="auto" w:fill="FFFFFF"/>
        </w:rPr>
        <w:endnoteReference w:id="89"/>
      </w:r>
    </w:p>
    <w:p w14:paraId="42F4E7A7" w14:textId="77777777" w:rsidR="00630390" w:rsidRDefault="00630390" w:rsidP="000C77B7">
      <w:pPr>
        <w:rPr>
          <w:color w:val="212121"/>
          <w:bdr w:val="none" w:sz="0" w:space="0" w:color="auto" w:frame="1"/>
        </w:rPr>
      </w:pPr>
    </w:p>
    <w:p w14:paraId="63015E96" w14:textId="19FE1193" w:rsidR="00630390" w:rsidRDefault="00630390" w:rsidP="000C77B7">
      <w:pPr>
        <w:rPr>
          <w:color w:val="212121"/>
          <w:bdr w:val="none" w:sz="0" w:space="0" w:color="auto" w:frame="1"/>
        </w:rPr>
      </w:pPr>
      <w:r>
        <w:rPr>
          <w:color w:val="212121"/>
          <w:bdr w:val="none" w:sz="0" w:space="0" w:color="auto" w:frame="1"/>
        </w:rPr>
        <w:t>Statutory (provincial) courts have been held to have the following powers pursuant to their authority to control their own processes:</w:t>
      </w:r>
    </w:p>
    <w:p w14:paraId="525B7BDC" w14:textId="77777777" w:rsidR="00630390" w:rsidRDefault="00630390" w:rsidP="000C77B7">
      <w:pPr>
        <w:rPr>
          <w:color w:val="212121"/>
          <w:bdr w:val="none" w:sz="0" w:space="0" w:color="auto" w:frame="1"/>
        </w:rPr>
      </w:pPr>
    </w:p>
    <w:p w14:paraId="469688DE" w14:textId="7BCFFC13" w:rsidR="00630390" w:rsidRPr="00362C9A" w:rsidRDefault="00630390" w:rsidP="000C77B7">
      <w:pPr>
        <w:pStyle w:val="ListParagraph"/>
        <w:numPr>
          <w:ilvl w:val="0"/>
          <w:numId w:val="100"/>
        </w:numPr>
        <w:spacing w:after="160" w:line="259" w:lineRule="auto"/>
        <w:rPr>
          <w:color w:val="212121"/>
          <w:bdr w:val="none" w:sz="0" w:space="0" w:color="auto" w:frame="1"/>
        </w:rPr>
      </w:pPr>
      <w:r w:rsidRPr="00362C9A">
        <w:rPr>
          <w:color w:val="212121"/>
          <w:bdr w:val="none" w:sz="0" w:space="0" w:color="auto" w:frame="1"/>
        </w:rPr>
        <w:t>Implied power to award costs on CDSA forfeiture application</w:t>
      </w:r>
      <w:r w:rsidR="008D44A3">
        <w:rPr>
          <w:color w:val="212121"/>
          <w:bdr w:val="none" w:sz="0" w:space="0" w:color="auto" w:frame="1"/>
        </w:rPr>
        <w:t>;</w:t>
      </w:r>
    </w:p>
    <w:p w14:paraId="180D8777" w14:textId="75065ECF" w:rsidR="00630390" w:rsidRPr="00362C9A" w:rsidRDefault="00630390" w:rsidP="000C77B7">
      <w:pPr>
        <w:pStyle w:val="ListParagraph"/>
        <w:numPr>
          <w:ilvl w:val="0"/>
          <w:numId w:val="100"/>
        </w:numPr>
        <w:spacing w:after="160" w:line="259" w:lineRule="auto"/>
        <w:rPr>
          <w:color w:val="212121"/>
          <w:bdr w:val="none" w:sz="0" w:space="0" w:color="auto" w:frame="1"/>
        </w:rPr>
      </w:pPr>
      <w:r w:rsidRPr="00362C9A">
        <w:rPr>
          <w:color w:val="212121"/>
          <w:shd w:val="clear" w:color="auto" w:fill="FFFFFF"/>
        </w:rPr>
        <w:t>[Provincial Offences Court has] the jurisdiction to compel an offender to disclose or produce to the prosecution their financial documents for the purpose of sentencing</w:t>
      </w:r>
      <w:r w:rsidR="008D44A3">
        <w:rPr>
          <w:color w:val="212121"/>
          <w:shd w:val="clear" w:color="auto" w:fill="FFFFFF"/>
        </w:rPr>
        <w:t>;</w:t>
      </w:r>
    </w:p>
    <w:p w14:paraId="5A129966" w14:textId="10CA45DC" w:rsidR="00630390" w:rsidRPr="00362C9A" w:rsidRDefault="00630390" w:rsidP="000C77B7">
      <w:pPr>
        <w:pStyle w:val="ListParagraph"/>
        <w:numPr>
          <w:ilvl w:val="0"/>
          <w:numId w:val="100"/>
        </w:numPr>
        <w:spacing w:after="160" w:line="259" w:lineRule="auto"/>
        <w:rPr>
          <w:color w:val="212121"/>
          <w:bdr w:val="none" w:sz="0" w:space="0" w:color="auto" w:frame="1"/>
        </w:rPr>
      </w:pPr>
      <w:r w:rsidRPr="00362C9A">
        <w:rPr>
          <w:color w:val="212121"/>
          <w:bdr w:val="none" w:sz="0" w:space="0" w:color="auto" w:frame="1"/>
        </w:rPr>
        <w:t>[Provincial Offences Court] power to manage the trial (even includes in exceptional circumstances authority to order Crown to call its evidence in a particular order) and to order Crown to a produce a list of documents it intended to put to its witness</w:t>
      </w:r>
      <w:r w:rsidR="00AC6918">
        <w:rPr>
          <w:color w:val="212121"/>
          <w:bdr w:val="none" w:sz="0" w:space="0" w:color="auto" w:frame="1"/>
        </w:rPr>
        <w:t>.</w:t>
      </w:r>
      <w:r w:rsidR="00620519">
        <w:rPr>
          <w:rStyle w:val="EndnoteReference"/>
          <w:color w:val="212121"/>
          <w:bdr w:val="none" w:sz="0" w:space="0" w:color="auto" w:frame="1"/>
        </w:rPr>
        <w:endnoteReference w:id="90"/>
      </w:r>
    </w:p>
    <w:p w14:paraId="1693CE9A" w14:textId="77777777" w:rsidR="00630390" w:rsidRDefault="00630390" w:rsidP="000C77B7">
      <w:pPr>
        <w:rPr>
          <w:color w:val="212121"/>
          <w:bdr w:val="none" w:sz="0" w:space="0" w:color="auto" w:frame="1"/>
        </w:rPr>
      </w:pPr>
      <w:r>
        <w:rPr>
          <w:color w:val="212121"/>
          <w:bdr w:val="none" w:sz="0" w:space="0" w:color="auto" w:frame="1"/>
        </w:rPr>
        <w:lastRenderedPageBreak/>
        <w:t>Statutory courts such as the Ontario Court of Justice derive jurisdiction from powers directly conferred upon it and, by implication, any powers that are reasonably necessary to accomplish its mandate.</w:t>
      </w:r>
      <w:r>
        <w:rPr>
          <w:rStyle w:val="EndnoteReference"/>
          <w:color w:val="212121"/>
          <w:bdr w:val="none" w:sz="0" w:space="0" w:color="auto" w:frame="1"/>
        </w:rPr>
        <w:endnoteReference w:id="91"/>
      </w:r>
    </w:p>
    <w:p w14:paraId="275A5788" w14:textId="77777777" w:rsidR="00630390" w:rsidRDefault="00630390" w:rsidP="000C77B7">
      <w:pPr>
        <w:rPr>
          <w:color w:val="212121"/>
          <w:bdr w:val="none" w:sz="0" w:space="0" w:color="auto" w:frame="1"/>
        </w:rPr>
      </w:pPr>
    </w:p>
    <w:p w14:paraId="3F6996AE" w14:textId="348682F2" w:rsidR="00630390" w:rsidRDefault="00630390" w:rsidP="000C77B7">
      <w:r>
        <w:rPr>
          <w:color w:val="212121"/>
          <w:bdr w:val="none" w:sz="0" w:space="0" w:color="auto" w:frame="1"/>
        </w:rPr>
        <w:t xml:space="preserve">It is anticipated that the introduction of AI into criminal litigation will reveal gaps in the court’s process, some of which can perhaps be addressed through the courts’ exercise of its authority to control own its own process. This flexibility will be critical as not all requisite responses to the introduction of AI into the criminal trial and appeal process can be legislated or otherwise formulated in advance of the technology’s rapid evolution. The enumerated criteria found at paragraph 165 of </w:t>
      </w:r>
      <w:r w:rsidRPr="007301BD">
        <w:rPr>
          <w:i/>
          <w:iCs/>
        </w:rPr>
        <w:t>Ontario (Electrical Safety Authority) v. Broomfield</w:t>
      </w:r>
      <w:r w:rsidRPr="003B6CA8">
        <w:rPr>
          <w:rStyle w:val="EndnoteReference"/>
        </w:rPr>
        <w:endnoteReference w:id="92"/>
      </w:r>
      <w:r w:rsidRPr="006E728A">
        <w:t xml:space="preserve"> </w:t>
      </w:r>
      <w:r>
        <w:t xml:space="preserve">will be helpful in guiding statutory courts’ attempts to invoke powers implicated by their mandate with respect to the criminal trial process.  </w:t>
      </w:r>
    </w:p>
    <w:p w14:paraId="67993616" w14:textId="77777777" w:rsidR="00630390" w:rsidRDefault="00630390" w:rsidP="00FE30C4"/>
    <w:p w14:paraId="75C7F501" w14:textId="6D0AD98A" w:rsidR="00AC6918" w:rsidRDefault="00630390" w:rsidP="00B54697">
      <w:r>
        <w:t xml:space="preserve">Furthermore, courts are not a homogenous entity. </w:t>
      </w:r>
      <w:r w:rsidRPr="002726B0">
        <w:t>As with all programming and alternate forms of technology, the introduction of AI, and the legislative, regulatory, and other changes accompanying it, will have disparate impacts throughout the province.</w:t>
      </w:r>
      <w:r>
        <w:t xml:space="preserve"> </w:t>
      </w:r>
      <w:r w:rsidR="00AC6918">
        <w:t>Each court responds to different factors which can vary significantly at the local level, including:</w:t>
      </w:r>
    </w:p>
    <w:p w14:paraId="4385646E" w14:textId="77777777" w:rsidR="00AC6918" w:rsidRDefault="00AC6918" w:rsidP="00B54697"/>
    <w:p w14:paraId="7B568800" w14:textId="77777777" w:rsidR="00AC6918" w:rsidRDefault="00AC6918" w:rsidP="00AC6918">
      <w:pPr>
        <w:pStyle w:val="ListParagraph"/>
        <w:numPr>
          <w:ilvl w:val="0"/>
          <w:numId w:val="146"/>
        </w:numPr>
      </w:pPr>
      <w:r>
        <w:t>A</w:t>
      </w:r>
      <w:r w:rsidR="00630390" w:rsidRPr="002726B0">
        <w:t>ssigned resources</w:t>
      </w:r>
      <w:r>
        <w:t>;</w:t>
      </w:r>
    </w:p>
    <w:p w14:paraId="5BC9C79D" w14:textId="77777777" w:rsidR="00AC6918" w:rsidRDefault="00AC6918" w:rsidP="00AC6918">
      <w:pPr>
        <w:pStyle w:val="ListParagraph"/>
        <w:numPr>
          <w:ilvl w:val="0"/>
          <w:numId w:val="146"/>
        </w:numPr>
      </w:pPr>
      <w:r>
        <w:t>Local c</w:t>
      </w:r>
      <w:r w:rsidR="00630390" w:rsidRPr="002726B0">
        <w:t>ustoms and practices</w:t>
      </w:r>
      <w:r>
        <w:t>;</w:t>
      </w:r>
    </w:p>
    <w:p w14:paraId="67079E12" w14:textId="77777777" w:rsidR="00AC6918" w:rsidRDefault="00AC6918" w:rsidP="00AC6918">
      <w:pPr>
        <w:pStyle w:val="ListParagraph"/>
        <w:numPr>
          <w:ilvl w:val="0"/>
          <w:numId w:val="146"/>
        </w:numPr>
      </w:pPr>
      <w:r>
        <w:t>C</w:t>
      </w:r>
      <w:r w:rsidR="00630390" w:rsidRPr="002726B0">
        <w:t>ommunity demographics</w:t>
      </w:r>
      <w:r>
        <w:t>;</w:t>
      </w:r>
    </w:p>
    <w:p w14:paraId="7DCE8975" w14:textId="544866DD" w:rsidR="00630390" w:rsidRDefault="00AC6918" w:rsidP="00AC6918">
      <w:pPr>
        <w:pStyle w:val="ListParagraph"/>
        <w:numPr>
          <w:ilvl w:val="0"/>
          <w:numId w:val="146"/>
        </w:numPr>
      </w:pPr>
      <w:r>
        <w:t xml:space="preserve">Local </w:t>
      </w:r>
      <w:r w:rsidR="00630390" w:rsidRPr="002726B0">
        <w:t xml:space="preserve">crime </w:t>
      </w:r>
      <w:r>
        <w:t xml:space="preserve">rates </w:t>
      </w:r>
      <w:r w:rsidR="00630390" w:rsidRPr="002726B0">
        <w:t>and distribution of offences charged</w:t>
      </w:r>
      <w:r>
        <w:t>.</w:t>
      </w:r>
      <w:r w:rsidR="00630390">
        <w:t xml:space="preserve"> </w:t>
      </w:r>
    </w:p>
    <w:p w14:paraId="78AC5441" w14:textId="77777777" w:rsidR="00630390" w:rsidRDefault="00630390" w:rsidP="00B54697"/>
    <w:p w14:paraId="28964779" w14:textId="777C5A97" w:rsidR="00630390" w:rsidRDefault="00630390" w:rsidP="00B54697">
      <w:r>
        <w:t>Currently the system navigates and gives effect to local variations in several ways such as:</w:t>
      </w:r>
    </w:p>
    <w:p w14:paraId="58320F5E" w14:textId="77777777" w:rsidR="00AC6918" w:rsidRDefault="00AC6918" w:rsidP="00B54697"/>
    <w:p w14:paraId="2840ADD9" w14:textId="77777777" w:rsidR="00630390" w:rsidRDefault="00630390" w:rsidP="00B54697">
      <w:pPr>
        <w:pStyle w:val="ListParagraph"/>
        <w:numPr>
          <w:ilvl w:val="0"/>
          <w:numId w:val="105"/>
        </w:numPr>
        <w:spacing w:after="160" w:line="259" w:lineRule="auto"/>
      </w:pPr>
      <w:r w:rsidRPr="00557644">
        <w:t>Local and regional practice directions governing proceedings in the Ontario and Superior Court of Justice:</w:t>
      </w:r>
    </w:p>
    <w:p w14:paraId="545A1CD9" w14:textId="77777777" w:rsidR="00630390" w:rsidRPr="00557644" w:rsidRDefault="00630390" w:rsidP="00B54697">
      <w:pPr>
        <w:pStyle w:val="ListParagraph"/>
      </w:pPr>
    </w:p>
    <w:p w14:paraId="20118175" w14:textId="77777777" w:rsidR="00630390" w:rsidRPr="00CA700C" w:rsidRDefault="00630390" w:rsidP="00B54697">
      <w:pPr>
        <w:pStyle w:val="ListParagraph"/>
        <w:numPr>
          <w:ilvl w:val="0"/>
          <w:numId w:val="104"/>
        </w:numPr>
        <w:spacing w:after="160" w:line="259" w:lineRule="auto"/>
      </w:pPr>
      <w:r w:rsidRPr="00CA700C">
        <w:t xml:space="preserve">Ontario Court of Justice Local Practice Directions: “Certain practice directions apply only to local courts… </w:t>
      </w:r>
      <w:r w:rsidRPr="00CA700C">
        <w:rPr>
          <w:rFonts w:ascii="Calibri" w:hAnsi="Calibri" w:cs="Calibri"/>
          <w:color w:val="1A1A1A"/>
        </w:rPr>
        <w:t>Many individual courthouses also have protocols that are applicable to that court alone. These protocols cover subjects such as any special arrangements for those appearing in court for the first time, or the process for obtaining a judicial pre-trial.”</w:t>
      </w:r>
      <w:r w:rsidRPr="00CA700C">
        <w:rPr>
          <w:rStyle w:val="EndnoteReference"/>
        </w:rPr>
        <w:endnoteReference w:id="93"/>
      </w:r>
    </w:p>
    <w:p w14:paraId="5AA02A10" w14:textId="77777777" w:rsidR="00630390" w:rsidRPr="00CA700C" w:rsidRDefault="00630390" w:rsidP="00B54697">
      <w:pPr>
        <w:pStyle w:val="ListParagraph"/>
        <w:ind w:left="1440"/>
      </w:pPr>
    </w:p>
    <w:p w14:paraId="4D7A895E" w14:textId="77777777" w:rsidR="00630390" w:rsidRPr="00C54445" w:rsidRDefault="00630390" w:rsidP="00B54697">
      <w:pPr>
        <w:pStyle w:val="ListParagraph"/>
        <w:numPr>
          <w:ilvl w:val="0"/>
          <w:numId w:val="103"/>
        </w:numPr>
        <w:spacing w:after="160" w:line="259" w:lineRule="auto"/>
      </w:pPr>
      <w:r w:rsidRPr="00CA700C">
        <w:t>Superior Court of Justice: “</w:t>
      </w:r>
      <w:r w:rsidRPr="00CA700C">
        <w:rPr>
          <w:rFonts w:ascii="Calibri" w:hAnsi="Calibri" w:cs="Calibri"/>
          <w:color w:val="000000"/>
          <w:shd w:val="clear" w:color="auto" w:fill="FFFFFF"/>
        </w:rPr>
        <w:t xml:space="preserve">The Superior Court has enacted a number of practice directions that govern how proceedings in the Superior Court of Justice are conducted. To find out what court practice and procedure applies in a particular area, please see the corresponding judicial region. Both province-wide and region-specific practice directions are listed. Also listed </w:t>
      </w:r>
      <w:r w:rsidRPr="00CA700C">
        <w:rPr>
          <w:rFonts w:ascii="Calibri" w:hAnsi="Calibri" w:cs="Calibri"/>
          <w:color w:val="000000"/>
          <w:shd w:val="clear" w:color="auto" w:fill="FFFFFF"/>
        </w:rPr>
        <w:lastRenderedPageBreak/>
        <w:t>are notices, guides and region-specific forms relevant to proceedings in each region.”</w:t>
      </w:r>
      <w:r w:rsidRPr="00CA700C">
        <w:rPr>
          <w:rStyle w:val="EndnoteReference"/>
        </w:rPr>
        <w:t xml:space="preserve"> </w:t>
      </w:r>
      <w:r w:rsidRPr="00CA700C">
        <w:rPr>
          <w:rStyle w:val="EndnoteReference"/>
        </w:rPr>
        <w:endnoteReference w:id="94"/>
      </w:r>
    </w:p>
    <w:p w14:paraId="70F4C804" w14:textId="77777777" w:rsidR="00630390" w:rsidRPr="00A537ED" w:rsidRDefault="00630390" w:rsidP="00B54697">
      <w:pPr>
        <w:pStyle w:val="ListParagraph"/>
        <w:ind w:left="1080"/>
      </w:pPr>
    </w:p>
    <w:p w14:paraId="79AA3EBB" w14:textId="77777777" w:rsidR="00630390" w:rsidRDefault="00630390" w:rsidP="00B54697">
      <w:pPr>
        <w:pStyle w:val="ListParagraph"/>
        <w:numPr>
          <w:ilvl w:val="0"/>
          <w:numId w:val="105"/>
        </w:numPr>
        <w:spacing w:after="160" w:line="259" w:lineRule="auto"/>
      </w:pPr>
      <w:r>
        <w:t>Availability / inventory of programming for accused parties varies by local John Howard Society office:</w:t>
      </w:r>
    </w:p>
    <w:p w14:paraId="133580C0" w14:textId="77777777" w:rsidR="00630390" w:rsidRDefault="00630390" w:rsidP="00B54697">
      <w:pPr>
        <w:pStyle w:val="ListParagraph"/>
      </w:pPr>
    </w:p>
    <w:p w14:paraId="0699001F" w14:textId="496631AF" w:rsidR="00630390" w:rsidRDefault="00630390" w:rsidP="00B54697">
      <w:pPr>
        <w:pStyle w:val="ListParagraph"/>
        <w:numPr>
          <w:ilvl w:val="1"/>
          <w:numId w:val="105"/>
        </w:numPr>
        <w:spacing w:after="160" w:line="259" w:lineRule="auto"/>
      </w:pPr>
      <w:r>
        <w:t>Direct Services by John Howard Location; Youth Program and Service Inventory by Local Office; Adult Program and Service Inventory by Local Office</w:t>
      </w:r>
      <w:r w:rsidR="001F268E">
        <w:t>.</w:t>
      </w:r>
      <w:r>
        <w:rPr>
          <w:rStyle w:val="EndnoteReference"/>
        </w:rPr>
        <w:endnoteReference w:id="95"/>
      </w:r>
    </w:p>
    <w:p w14:paraId="36A66BD8" w14:textId="77777777" w:rsidR="00630390" w:rsidRDefault="00630390" w:rsidP="00B54697"/>
    <w:p w14:paraId="29841B5B" w14:textId="77777777" w:rsidR="00630390" w:rsidRDefault="00630390" w:rsidP="00B54697">
      <w:pPr>
        <w:pStyle w:val="ListParagraph"/>
        <w:numPr>
          <w:ilvl w:val="0"/>
          <w:numId w:val="105"/>
        </w:numPr>
        <w:spacing w:after="160" w:line="259" w:lineRule="auto"/>
      </w:pPr>
      <w:r>
        <w:t>Availability of services and service provider varies for victims across the province of Ontario:</w:t>
      </w:r>
    </w:p>
    <w:p w14:paraId="4C1A3C63" w14:textId="77777777" w:rsidR="00630390" w:rsidRDefault="00630390" w:rsidP="00B54697">
      <w:pPr>
        <w:pStyle w:val="ListParagraph"/>
      </w:pPr>
    </w:p>
    <w:p w14:paraId="258B8300" w14:textId="6717AA18" w:rsidR="00630390" w:rsidRDefault="00630390" w:rsidP="00B54697">
      <w:pPr>
        <w:pStyle w:val="ListParagraph"/>
        <w:numPr>
          <w:ilvl w:val="1"/>
          <w:numId w:val="105"/>
        </w:numPr>
        <w:spacing w:after="160" w:line="259" w:lineRule="auto"/>
      </w:pPr>
      <w:r w:rsidRPr="00EC3485">
        <w:t xml:space="preserve">The Ontario Network of Sexual Assault and Domestic Violence Treatment Centres lists 37 treatment centres administered by </w:t>
      </w:r>
      <w:r>
        <w:t>local</w:t>
      </w:r>
      <w:r w:rsidRPr="00EC3485">
        <w:t xml:space="preserve"> Ontario </w:t>
      </w:r>
      <w:r>
        <w:t>h</w:t>
      </w:r>
      <w:r w:rsidRPr="00EC3485">
        <w:t>ospitals and health care agencies.</w:t>
      </w:r>
      <w:r>
        <w:rPr>
          <w:rStyle w:val="EndnoteReference"/>
        </w:rPr>
        <w:endnoteReference w:id="96"/>
      </w:r>
    </w:p>
    <w:p w14:paraId="742D5317" w14:textId="77777777" w:rsidR="00630390" w:rsidRPr="00EC3485" w:rsidRDefault="00630390" w:rsidP="00B54697">
      <w:pPr>
        <w:pStyle w:val="ListParagraph"/>
        <w:ind w:left="1440"/>
      </w:pPr>
    </w:p>
    <w:p w14:paraId="09D98D20" w14:textId="11E55215" w:rsidR="00630390" w:rsidRPr="005259FB" w:rsidRDefault="00630390" w:rsidP="00B54697">
      <w:pPr>
        <w:pStyle w:val="ListParagraph"/>
        <w:numPr>
          <w:ilvl w:val="0"/>
          <w:numId w:val="106"/>
        </w:numPr>
        <w:spacing w:after="160" w:line="259" w:lineRule="auto"/>
      </w:pPr>
      <w:r>
        <w:t>The list of family court support workers includes a different agency serving each community / court location.</w:t>
      </w:r>
      <w:r>
        <w:rPr>
          <w:rStyle w:val="EndnoteReference"/>
        </w:rPr>
        <w:endnoteReference w:id="97"/>
      </w:r>
    </w:p>
    <w:p w14:paraId="3BFEF925" w14:textId="7A07AA29" w:rsidR="00630390" w:rsidRDefault="00630390" w:rsidP="00B54697">
      <w:r>
        <w:t>The volume and variety of AI tools and AI enabled technology that will be used across the countless agencies, communities, and court locations (already heterogenous themselves) is certain to further complicate the ability of Ontario’s courts to mount a cogent and cohesive response to the many challenges that AI will pose in the criminal trial and appeal context.</w:t>
      </w:r>
    </w:p>
    <w:p w14:paraId="44F1E4ED" w14:textId="77777777" w:rsidR="00630390" w:rsidRDefault="00630390" w:rsidP="00B54697"/>
    <w:p w14:paraId="7CB0F747" w14:textId="1BEFE441" w:rsidR="00630390" w:rsidRDefault="00630390" w:rsidP="00C55DD9">
      <w:pPr>
        <w:pStyle w:val="Heading3"/>
        <w:numPr>
          <w:ilvl w:val="2"/>
          <w:numId w:val="16"/>
        </w:numPr>
      </w:pPr>
      <w:bookmarkStart w:id="31" w:name="_Toc195597984"/>
      <w:r w:rsidRPr="00D6565B">
        <w:t xml:space="preserve">Courts </w:t>
      </w:r>
      <w:r w:rsidR="000B5FA7" w:rsidRPr="00D6565B">
        <w:t>Exercise Indirect Jurisdiction Over Justice-Involved Institutions Including Law Enforcement, Corrections, Hospitals and Community Programs</w:t>
      </w:r>
      <w:bookmarkEnd w:id="31"/>
    </w:p>
    <w:p w14:paraId="55C13FCA" w14:textId="77777777" w:rsidR="00630390" w:rsidRDefault="00630390" w:rsidP="00C55DD9"/>
    <w:p w14:paraId="7B39F4C9" w14:textId="77777777" w:rsidR="005763A4" w:rsidRDefault="00630390" w:rsidP="00B8130F">
      <w:r>
        <w:t>Courts also have limited jurisdiction over external institutions and sectors that are frequently justice-involved.</w:t>
      </w:r>
    </w:p>
    <w:p w14:paraId="7449471C" w14:textId="77777777" w:rsidR="005763A4" w:rsidRDefault="005763A4" w:rsidP="00B8130F"/>
    <w:p w14:paraId="126795BA" w14:textId="7970B7D4" w:rsidR="00630390" w:rsidRDefault="00630390" w:rsidP="00B8130F">
      <w:r>
        <w:t>For instance, criminal cases often involve law enforcement, corrections, healthcare services and institutions, social and community support services, Children’s Aid Societies, and immigration and refugee services, among many others. C</w:t>
      </w:r>
      <w:r w:rsidRPr="00620607">
        <w:t>ourts have a limited ability to directly influence the policies and practices of these organizations</w:t>
      </w:r>
      <w:r>
        <w:t>. H</w:t>
      </w:r>
      <w:r w:rsidRPr="00620607">
        <w:t>owever, they can and regularly do exert an indirect influence over outside institutions’ standards and practices. Through litigation, courts can make orders or otherwise grant remedies that can have profound changes on how justice-involved agencies operate upstream.</w:t>
      </w:r>
    </w:p>
    <w:p w14:paraId="2AE7AD74" w14:textId="77777777" w:rsidR="00630390" w:rsidRDefault="00630390" w:rsidP="00B8130F"/>
    <w:p w14:paraId="05058DFF" w14:textId="77777777" w:rsidR="00630390" w:rsidRDefault="00630390" w:rsidP="00B8130F">
      <w:pPr>
        <w:spacing w:after="160" w:line="259" w:lineRule="auto"/>
      </w:pPr>
      <w:r>
        <w:lastRenderedPageBreak/>
        <w:t>A concern is that each of these institutions or sectors may use AI for a variety of purposes and which may figure in the criminal justice process. This may give rise to the issues discussed below, including competing standards for the assessment, performance and oversight of AI systems in different sectors. Such standards may routinely fall short of criminal court standards, or worse, lead to the erosion of those standards due to technological deference, resource limitations, procedural limitations, and general expediency.</w:t>
      </w:r>
    </w:p>
    <w:p w14:paraId="47177459" w14:textId="4EE5E0E4" w:rsidR="00630390" w:rsidRDefault="00630390" w:rsidP="00B8130F">
      <w:pPr>
        <w:spacing w:after="160" w:line="259" w:lineRule="auto"/>
      </w:pPr>
      <w:r>
        <w:t>As explained below, these challenges may be explored through a mix of both administrative law principles and judicial review, and within a criminal proceeding itself.</w:t>
      </w:r>
    </w:p>
    <w:p w14:paraId="21657122" w14:textId="77777777" w:rsidR="00E215CA" w:rsidRDefault="00E215CA" w:rsidP="00B8130F">
      <w:pPr>
        <w:spacing w:after="160" w:line="259" w:lineRule="auto"/>
        <w:rPr>
          <w:b/>
          <w:bCs/>
        </w:rPr>
      </w:pPr>
    </w:p>
    <w:p w14:paraId="7A86C2FF" w14:textId="0A4C04EB" w:rsidR="00630390" w:rsidRPr="00B8130F" w:rsidRDefault="00630390" w:rsidP="00B8130F">
      <w:pPr>
        <w:spacing w:after="160" w:line="259" w:lineRule="auto"/>
        <w:rPr>
          <w:b/>
          <w:bCs/>
        </w:rPr>
      </w:pPr>
      <w:r w:rsidRPr="00B8130F">
        <w:rPr>
          <w:b/>
          <w:bCs/>
        </w:rPr>
        <w:t>Law Enforcement</w:t>
      </w:r>
    </w:p>
    <w:p w14:paraId="11107321" w14:textId="63E2E3E5" w:rsidR="00630390" w:rsidRPr="002329AF" w:rsidRDefault="00630390" w:rsidP="00B8130F">
      <w:pPr>
        <w:spacing w:after="160" w:line="259" w:lineRule="auto"/>
        <w:rPr>
          <w:rFonts w:ascii="Calibri" w:eastAsia="Calibri" w:hAnsi="Calibri" w:cs="Calibri"/>
          <w:kern w:val="2"/>
          <w14:ligatures w14:val="standardContextual"/>
        </w:rPr>
      </w:pPr>
      <w:r w:rsidRPr="00AF1F45">
        <w:rPr>
          <w:rFonts w:ascii="Calibri" w:eastAsia="Calibri" w:hAnsi="Calibri" w:cs="Calibri"/>
          <w:kern w:val="2"/>
          <w14:ligatures w14:val="standardContextual"/>
        </w:rPr>
        <w:t xml:space="preserve">Administrative law principles bring many of the decisions of justice-involved institutions within the scope of judicial review. </w:t>
      </w:r>
      <w:r w:rsidR="00684CE1">
        <w:rPr>
          <w:rFonts w:ascii="Calibri" w:eastAsia="Calibri" w:hAnsi="Calibri" w:cs="Calibri"/>
          <w:kern w:val="2"/>
          <w14:ligatures w14:val="standardContextual"/>
        </w:rPr>
        <w:t xml:space="preserve">The </w:t>
      </w:r>
      <w:r w:rsidRPr="00AF1F45">
        <w:rPr>
          <w:rFonts w:ascii="Calibri" w:eastAsia="Calibri" w:hAnsi="Calibri" w:cs="Calibri"/>
          <w:kern w:val="2"/>
          <w14:ligatures w14:val="standardContextual"/>
        </w:rPr>
        <w:t xml:space="preserve">Supreme Court of Canada </w:t>
      </w:r>
      <w:r w:rsidR="00684CE1">
        <w:rPr>
          <w:rFonts w:ascii="Calibri" w:eastAsia="Calibri" w:hAnsi="Calibri" w:cs="Calibri"/>
          <w:kern w:val="2"/>
          <w14:ligatures w14:val="standardContextual"/>
        </w:rPr>
        <w:t xml:space="preserve">determined </w:t>
      </w:r>
      <w:r w:rsidRPr="00AF1F45">
        <w:rPr>
          <w:rFonts w:ascii="Calibri" w:eastAsia="Calibri" w:hAnsi="Calibri" w:cs="Calibri"/>
          <w:kern w:val="2"/>
          <w14:ligatures w14:val="standardContextual"/>
        </w:rPr>
        <w:t xml:space="preserve">in </w:t>
      </w:r>
      <w:r w:rsidRPr="00AF1F45">
        <w:rPr>
          <w:rFonts w:ascii="Calibri" w:eastAsia="Calibri" w:hAnsi="Calibri" w:cs="Calibri"/>
          <w:i/>
          <w:iCs/>
          <w:kern w:val="2"/>
          <w14:ligatures w14:val="standardContextual"/>
        </w:rPr>
        <w:t>Highwood Congregation of Jehovah’s Witnesses (Judicial Committee) v. Wall</w:t>
      </w:r>
      <w:r>
        <w:rPr>
          <w:rFonts w:ascii="Calibri" w:eastAsia="Calibri" w:hAnsi="Calibri" w:cs="Calibri"/>
          <w:kern w:val="2"/>
          <w14:ligatures w14:val="standardContextual"/>
        </w:rPr>
        <w:t xml:space="preserve"> </w:t>
      </w:r>
      <w:r w:rsidR="00684CE1">
        <w:rPr>
          <w:rFonts w:ascii="Calibri" w:eastAsia="Calibri" w:hAnsi="Calibri" w:cs="Calibri"/>
          <w:kern w:val="2"/>
          <w14:ligatures w14:val="standardContextual"/>
        </w:rPr>
        <w:t>that</w:t>
      </w:r>
      <w:r>
        <w:rPr>
          <w:rFonts w:ascii="Calibri" w:eastAsia="Calibri" w:hAnsi="Calibri" w:cs="Calibri"/>
          <w:kern w:val="2"/>
          <w14:ligatures w14:val="standardContextual"/>
        </w:rPr>
        <w:t xml:space="preserve"> “</w:t>
      </w:r>
      <w:r w:rsidRPr="00AF1F45">
        <w:rPr>
          <w:rFonts w:ascii="Calibri" w:eastAsia="Calibri" w:hAnsi="Calibri" w:cs="Calibri"/>
          <w14:ligatures w14:val="standardContextual"/>
        </w:rPr>
        <w:t>Judicial review is only available where there is an exercise of state authority and where that exercise is of a sufficiently public character.</w:t>
      </w:r>
      <w:r>
        <w:rPr>
          <w:rFonts w:ascii="Calibri" w:eastAsia="Calibri" w:hAnsi="Calibri" w:cs="Calibri"/>
          <w14:ligatures w14:val="standardContextual"/>
        </w:rPr>
        <w:t>”</w:t>
      </w:r>
      <w:r w:rsidRPr="00AF1F45">
        <w:rPr>
          <w:rFonts w:ascii="Calibri" w:eastAsia="Calibri" w:hAnsi="Calibri" w:cs="Calibri"/>
          <w:vertAlign w:val="superscript"/>
          <w14:ligatures w14:val="standardContextual"/>
        </w:rPr>
        <w:endnoteReference w:id="98"/>
      </w:r>
      <w:r>
        <w:rPr>
          <w:rFonts w:ascii="Calibri" w:eastAsia="Calibri" w:hAnsi="Calibri" w:cs="Calibri"/>
          <w14:ligatures w14:val="standardContextual"/>
        </w:rPr>
        <w:t xml:space="preserve"> Courts have determined what these “public character” factors are.</w:t>
      </w:r>
      <w:r>
        <w:rPr>
          <w:rStyle w:val="EndnoteReference"/>
          <w:rFonts w:ascii="Calibri" w:eastAsia="Calibri" w:hAnsi="Calibri" w:cs="Calibri"/>
          <w14:ligatures w14:val="standardContextual"/>
        </w:rPr>
        <w:endnoteReference w:id="99"/>
      </w:r>
      <w:r>
        <w:rPr>
          <w:rFonts w:ascii="Calibri" w:eastAsia="Calibri" w:hAnsi="Calibri" w:cs="Calibri"/>
          <w14:ligatures w14:val="standardContextual"/>
        </w:rPr>
        <w:t xml:space="preserve"> </w:t>
      </w:r>
    </w:p>
    <w:p w14:paraId="6AA6C9D3" w14:textId="31B2EE94" w:rsidR="00630390" w:rsidRDefault="00630390" w:rsidP="002329AF">
      <w:pPr>
        <w:autoSpaceDE w:val="0"/>
        <w:autoSpaceDN w:val="0"/>
        <w:adjustRightInd w:val="0"/>
        <w:rPr>
          <w:rFonts w:ascii="Calibri" w:eastAsia="Calibri" w:hAnsi="Calibri" w:cs="Calibri"/>
          <w14:ligatures w14:val="standardContextual"/>
        </w:rPr>
      </w:pPr>
      <w:r>
        <w:rPr>
          <w:rFonts w:ascii="Calibri" w:eastAsia="Calibri" w:hAnsi="Calibri" w:cs="Calibri"/>
          <w:kern w:val="2"/>
          <w14:ligatures w14:val="standardContextual"/>
        </w:rPr>
        <w:t xml:space="preserve">A leading example </w:t>
      </w:r>
      <w:r w:rsidR="00684CE1">
        <w:rPr>
          <w:rFonts w:ascii="Calibri" w:eastAsia="Calibri" w:hAnsi="Calibri" w:cs="Calibri"/>
          <w:kern w:val="2"/>
          <w14:ligatures w14:val="standardContextual"/>
        </w:rPr>
        <w:t xml:space="preserve">of this oversight role </w:t>
      </w:r>
      <w:r>
        <w:rPr>
          <w:rFonts w:ascii="Calibri" w:eastAsia="Calibri" w:hAnsi="Calibri" w:cs="Calibri"/>
          <w:kern w:val="2"/>
          <w14:ligatures w14:val="standardContextual"/>
        </w:rPr>
        <w:t xml:space="preserve">is the recent case </w:t>
      </w:r>
      <w:r w:rsidRPr="00AF1F45">
        <w:rPr>
          <w:rFonts w:ascii="Calibri" w:eastAsia="Calibri" w:hAnsi="Calibri" w:cs="Calibri"/>
          <w:i/>
          <w:iCs/>
          <w:color w:val="000000"/>
          <w:kern w:val="2"/>
          <w:bdr w:val="none" w:sz="0" w:space="0" w:color="auto" w:frame="1"/>
          <w:shd w:val="clear" w:color="auto" w:fill="FFFFFF"/>
          <w14:ligatures w14:val="standardContextual"/>
        </w:rPr>
        <w:t>Khorsand v. Toronto (City) Police Services Board</w:t>
      </w:r>
      <w:r>
        <w:rPr>
          <w:rFonts w:ascii="Calibri" w:eastAsia="Calibri" w:hAnsi="Calibri" w:cs="Calibri"/>
          <w:i/>
          <w:iCs/>
          <w:color w:val="000000"/>
          <w:kern w:val="2"/>
          <w:bdr w:val="none" w:sz="0" w:space="0" w:color="auto" w:frame="1"/>
          <w:shd w:val="clear" w:color="auto" w:fill="FFFFFF"/>
          <w14:ligatures w14:val="standardContextual"/>
        </w:rPr>
        <w:t>.</w:t>
      </w:r>
      <w:r w:rsidRPr="00AF1F45">
        <w:rPr>
          <w:rFonts w:ascii="Calibri" w:eastAsia="Calibri" w:hAnsi="Calibri" w:cs="Calibri"/>
          <w:color w:val="000000"/>
          <w:kern w:val="2"/>
          <w:bdr w:val="none" w:sz="0" w:space="0" w:color="auto" w:frame="1"/>
          <w:shd w:val="clear" w:color="auto" w:fill="FFFFFF"/>
          <w:vertAlign w:val="superscript"/>
          <w14:ligatures w14:val="standardContextual"/>
        </w:rPr>
        <w:endnoteReference w:id="100"/>
      </w:r>
      <w:r w:rsidRPr="00AF1F45">
        <w:rPr>
          <w:rFonts w:ascii="Calibri" w:eastAsia="Calibri" w:hAnsi="Calibri" w:cs="Calibri"/>
          <w:color w:val="212121"/>
          <w:kern w:val="2"/>
          <w:bdr w:val="none" w:sz="0" w:space="0" w:color="auto" w:frame="1"/>
          <w14:ligatures w14:val="standardContextual"/>
        </w:rPr>
        <w:t xml:space="preserve"> </w:t>
      </w:r>
      <w:r>
        <w:rPr>
          <w:rFonts w:ascii="Calibri" w:eastAsia="Calibri" w:hAnsi="Calibri" w:cs="Calibri"/>
          <w:kern w:val="2"/>
          <w:shd w:val="clear" w:color="auto" w:fill="FFFFFF"/>
          <w14:ligatures w14:val="standardContextual"/>
        </w:rPr>
        <w:t xml:space="preserve">Mr. </w:t>
      </w:r>
      <w:r w:rsidRPr="00AF1F45">
        <w:rPr>
          <w:rFonts w:ascii="Calibri" w:eastAsia="Calibri" w:hAnsi="Calibri" w:cs="Calibri"/>
          <w:kern w:val="2"/>
          <w:shd w:val="clear" w:color="auto" w:fill="FFFFFF"/>
          <w14:ligatures w14:val="standardContextual"/>
        </w:rPr>
        <w:t>Khorsand</w:t>
      </w:r>
      <w:r>
        <w:rPr>
          <w:rFonts w:ascii="Calibri" w:eastAsia="Calibri" w:hAnsi="Calibri" w:cs="Calibri"/>
          <w:kern w:val="2"/>
          <w:shd w:val="clear" w:color="auto" w:fill="FFFFFF"/>
          <w14:ligatures w14:val="standardContextual"/>
        </w:rPr>
        <w:t xml:space="preserve">, a Canadian citizen, immigrated from Iran. </w:t>
      </w:r>
      <w:r w:rsidRPr="00AF1F45">
        <w:rPr>
          <w:rFonts w:ascii="Calibri" w:eastAsia="Calibri" w:hAnsi="Calibri" w:cs="Calibri"/>
          <w:kern w:val="2"/>
          <w:shd w:val="clear" w:color="auto" w:fill="FFFFFF"/>
          <w14:ligatures w14:val="standardContextual"/>
        </w:rPr>
        <w:t xml:space="preserve">He failed the background check screening process when he applied to the Toronto Police Service for employment as a police constable. He then sought judicial review of the screening decision and the information upon which it was based. The Divisional Court held that </w:t>
      </w:r>
      <w:r w:rsidRPr="00AF1F45">
        <w:rPr>
          <w:rFonts w:ascii="Calibri" w:eastAsia="Calibri" w:hAnsi="Calibri" w:cs="Calibri"/>
          <w14:ligatures w14:val="standardContextual"/>
        </w:rPr>
        <w:t xml:space="preserve">the Toronto Police Services Board must provide Mr. Khorsand with the reasons why he failed the background </w:t>
      </w:r>
      <w:r w:rsidR="00684CE1" w:rsidRPr="00AF1F45">
        <w:rPr>
          <w:rFonts w:ascii="Calibri" w:eastAsia="Calibri" w:hAnsi="Calibri" w:cs="Calibri"/>
          <w14:ligatures w14:val="standardContextual"/>
        </w:rPr>
        <w:t>check,</w:t>
      </w:r>
      <w:r w:rsidRPr="00AF1F45">
        <w:rPr>
          <w:rFonts w:ascii="Calibri" w:eastAsia="Calibri" w:hAnsi="Calibri" w:cs="Calibri"/>
          <w14:ligatures w14:val="standardContextual"/>
        </w:rPr>
        <w:t xml:space="preserve"> and a copy of the information relied upon to justify that failure.</w:t>
      </w:r>
    </w:p>
    <w:p w14:paraId="6E3E909A" w14:textId="77777777" w:rsidR="00630390" w:rsidRDefault="00630390" w:rsidP="002329AF">
      <w:pPr>
        <w:autoSpaceDE w:val="0"/>
        <w:autoSpaceDN w:val="0"/>
        <w:adjustRightInd w:val="0"/>
        <w:rPr>
          <w:rFonts w:ascii="Calibri" w:eastAsia="Calibri" w:hAnsi="Calibri" w:cs="Calibri"/>
          <w14:ligatures w14:val="standardContextual"/>
        </w:rPr>
      </w:pPr>
    </w:p>
    <w:p w14:paraId="2505C3CC" w14:textId="1B9996E5" w:rsidR="00630390" w:rsidRPr="00AF1F45" w:rsidRDefault="00630390" w:rsidP="002329AF">
      <w:pPr>
        <w:autoSpaceDE w:val="0"/>
        <w:autoSpaceDN w:val="0"/>
        <w:adjustRightInd w:val="0"/>
        <w:rPr>
          <w:rFonts w:ascii="Calibri" w:eastAsia="Calibri" w:hAnsi="Calibri" w:cs="Calibri"/>
          <w:kern w:val="2"/>
          <w:shd w:val="clear" w:color="auto" w:fill="FFFFFF"/>
          <w14:ligatures w14:val="standardContextual"/>
        </w:rPr>
      </w:pPr>
      <w:r w:rsidRPr="00AF1F45">
        <w:rPr>
          <w:rFonts w:ascii="Calibri" w:eastAsia="Calibri" w:hAnsi="Calibri" w:cs="Calibri"/>
          <w14:ligatures w14:val="standardContextual"/>
        </w:rPr>
        <w:t xml:space="preserve">In reaching that conclusion, the court </w:t>
      </w:r>
      <w:r w:rsidRPr="00AF1F45">
        <w:rPr>
          <w:rFonts w:ascii="Calibri" w:eastAsia="Calibri" w:hAnsi="Calibri" w:cs="Calibri"/>
          <w:kern w:val="2"/>
          <w:shd w:val="clear" w:color="auto" w:fill="FFFFFF"/>
          <w14:ligatures w14:val="standardContextual"/>
        </w:rPr>
        <w:t>agreed that the matter involved a human rights issue of great public interest as decisions not to hire racialized individuals because of incidental interactions with police shake the public’s confidence in the law enforcement system and prevent authentic representation of the local population within the police service.</w:t>
      </w:r>
    </w:p>
    <w:p w14:paraId="69353349" w14:textId="1669921C" w:rsidR="00630390" w:rsidRPr="00AF1F45" w:rsidRDefault="00630390" w:rsidP="00AF1F45">
      <w:pPr>
        <w:autoSpaceDE w:val="0"/>
        <w:autoSpaceDN w:val="0"/>
        <w:adjustRightInd w:val="0"/>
        <w:spacing w:before="240"/>
        <w:rPr>
          <w:rFonts w:ascii="Calibri" w:eastAsia="Calibri" w:hAnsi="Calibri" w:cs="Calibri"/>
          <w:kern w:val="2"/>
          <w:shd w:val="clear" w:color="auto" w:fill="FFFFFF"/>
          <w14:ligatures w14:val="standardContextual"/>
        </w:rPr>
      </w:pPr>
      <w:r>
        <w:rPr>
          <w:rFonts w:ascii="Calibri" w:eastAsia="Calibri" w:hAnsi="Calibri" w:cs="Calibri"/>
          <w:kern w:val="2"/>
          <w:shd w:val="clear" w:color="auto" w:fill="FFFFFF"/>
          <w14:ligatures w14:val="standardContextual"/>
        </w:rPr>
        <w:t xml:space="preserve">The case is illustrative of how courts have to review their jurisdiction to intervene in the practices and policies of a variety of institutions, any of which could use AI is ways courts find concerning. </w:t>
      </w:r>
    </w:p>
    <w:p w14:paraId="38FD70FB" w14:textId="77777777" w:rsidR="00630390" w:rsidRPr="00AF1F45" w:rsidRDefault="00630390" w:rsidP="00AF1F45">
      <w:pPr>
        <w:autoSpaceDE w:val="0"/>
        <w:autoSpaceDN w:val="0"/>
        <w:adjustRightInd w:val="0"/>
        <w:spacing w:before="240"/>
        <w:rPr>
          <w:rFonts w:ascii="Calibri" w:eastAsia="Calibri" w:hAnsi="Calibri" w:cs="Calibri"/>
          <w:b/>
          <w:bCs/>
          <w:kern w:val="2"/>
          <w:shd w:val="clear" w:color="auto" w:fill="FFFFFF"/>
          <w14:ligatures w14:val="standardContextual"/>
        </w:rPr>
      </w:pPr>
      <w:r w:rsidRPr="00AF1F45">
        <w:rPr>
          <w:rFonts w:ascii="Calibri" w:eastAsia="Calibri" w:hAnsi="Calibri" w:cs="Calibri"/>
          <w:b/>
          <w:bCs/>
          <w:kern w:val="2"/>
          <w:shd w:val="clear" w:color="auto" w:fill="FFFFFF"/>
          <w14:ligatures w14:val="standardContextual"/>
        </w:rPr>
        <w:t>Corrections</w:t>
      </w:r>
      <w:r w:rsidRPr="00AF1F45">
        <w:rPr>
          <w:rFonts w:ascii="Calibri" w:eastAsia="Calibri" w:hAnsi="Calibri" w:cs="Calibri"/>
          <w:b/>
          <w:bCs/>
          <w:kern w:val="2"/>
          <w:shd w:val="clear" w:color="auto" w:fill="FFFFFF"/>
          <w14:ligatures w14:val="standardContextual"/>
        </w:rPr>
        <w:br/>
      </w:r>
    </w:p>
    <w:p w14:paraId="6DE41184" w14:textId="77777777" w:rsidR="00630390" w:rsidRPr="00AF1F45" w:rsidRDefault="00630390" w:rsidP="00AF1F45">
      <w:pPr>
        <w:spacing w:after="160" w:line="259" w:lineRule="auto"/>
        <w:rPr>
          <w:rFonts w:ascii="Calibri" w:eastAsia="Calibri" w:hAnsi="Calibri" w:cs="Times New Roman"/>
          <w:kern w:val="2"/>
          <w14:ligatures w14:val="standardContextual"/>
        </w:rPr>
      </w:pPr>
      <w:r w:rsidRPr="00AF1F45">
        <w:rPr>
          <w:rFonts w:ascii="Calibri" w:eastAsia="Calibri" w:hAnsi="Calibri" w:cs="Calibri"/>
          <w:color w:val="212121"/>
          <w:kern w:val="2"/>
          <w:shd w:val="clear" w:color="auto" w:fill="FFFFFF"/>
          <w14:ligatures w14:val="standardContextual"/>
        </w:rPr>
        <w:t>In the correctional context, applicant inmates have successfully sought judicial review of:</w:t>
      </w:r>
    </w:p>
    <w:p w14:paraId="6180E7F7" w14:textId="24122210" w:rsidR="00630390" w:rsidRPr="00AF1F45" w:rsidRDefault="00630390" w:rsidP="00AF1F45">
      <w:pPr>
        <w:numPr>
          <w:ilvl w:val="0"/>
          <w:numId w:val="109"/>
        </w:numPr>
        <w:spacing w:after="160" w:line="259" w:lineRule="auto"/>
        <w:contextualSpacing/>
        <w:rPr>
          <w:rFonts w:ascii="Calibri" w:eastAsia="Calibri" w:hAnsi="Calibri" w:cs="Times New Roman"/>
          <w:kern w:val="2"/>
          <w14:ligatures w14:val="standardContextual"/>
        </w:rPr>
      </w:pPr>
      <w:r w:rsidRPr="00AF1F45">
        <w:rPr>
          <w:rFonts w:ascii="Calibri" w:eastAsia="Calibri" w:hAnsi="Calibri" w:cs="Calibri"/>
          <w:color w:val="212121"/>
          <w:kern w:val="2"/>
          <w:shd w:val="clear" w:color="auto" w:fill="FFFFFF"/>
          <w14:ligatures w14:val="standardContextual"/>
        </w:rPr>
        <w:lastRenderedPageBreak/>
        <w:t>A decision whereby an inmate was convicted of possession of an unauthorized item (injection rig)</w:t>
      </w:r>
      <w:r w:rsidR="00684CE1">
        <w:rPr>
          <w:rFonts w:ascii="Calibri" w:eastAsia="Calibri" w:hAnsi="Calibri" w:cs="Calibri"/>
          <w:color w:val="212121"/>
          <w:kern w:val="2"/>
          <w:shd w:val="clear" w:color="auto" w:fill="FFFFFF"/>
          <w14:ligatures w14:val="standardContextual"/>
        </w:rPr>
        <w:t>;</w:t>
      </w:r>
      <w:r w:rsidRPr="00AF1F45">
        <w:rPr>
          <w:rFonts w:ascii="Calibri" w:eastAsia="Calibri" w:hAnsi="Calibri" w:cs="Calibri"/>
          <w:color w:val="212121"/>
          <w:kern w:val="2"/>
          <w:shd w:val="clear" w:color="auto" w:fill="FFFFFF"/>
          <w:vertAlign w:val="superscript"/>
          <w14:ligatures w14:val="standardContextual"/>
        </w:rPr>
        <w:endnoteReference w:id="101"/>
      </w:r>
      <w:r w:rsidR="00684CE1">
        <w:rPr>
          <w:rFonts w:ascii="Calibri" w:eastAsia="Calibri" w:hAnsi="Calibri" w:cs="Calibri"/>
          <w:color w:val="212121"/>
          <w:kern w:val="2"/>
          <w:shd w:val="clear" w:color="auto" w:fill="FFFFFF"/>
          <w14:ligatures w14:val="standardContextual"/>
        </w:rPr>
        <w:t xml:space="preserve"> and</w:t>
      </w:r>
      <w:r w:rsidRPr="00AF1F45">
        <w:rPr>
          <w:rFonts w:ascii="Calibri" w:eastAsia="Calibri" w:hAnsi="Calibri" w:cs="Calibri"/>
          <w:color w:val="212121"/>
          <w:kern w:val="2"/>
          <w:shd w:val="clear" w:color="auto" w:fill="FFFFFF"/>
          <w14:ligatures w14:val="standardContextual"/>
        </w:rPr>
        <w:t xml:space="preserve"> </w:t>
      </w:r>
    </w:p>
    <w:p w14:paraId="294FE80B" w14:textId="66B19215" w:rsidR="00630390" w:rsidRPr="00AF1F45" w:rsidRDefault="00630390" w:rsidP="00AF1F45">
      <w:pPr>
        <w:numPr>
          <w:ilvl w:val="0"/>
          <w:numId w:val="109"/>
        </w:numPr>
        <w:spacing w:after="160" w:line="259" w:lineRule="auto"/>
        <w:contextualSpacing/>
        <w:rPr>
          <w:rFonts w:ascii="Calibri" w:eastAsia="Calibri" w:hAnsi="Calibri" w:cs="Times New Roman"/>
          <w:kern w:val="2"/>
          <w14:ligatures w14:val="standardContextual"/>
        </w:rPr>
      </w:pPr>
      <w:r w:rsidRPr="00AF1F45">
        <w:rPr>
          <w:rFonts w:ascii="Calibri" w:eastAsia="Calibri" w:hAnsi="Calibri" w:cs="Calibri"/>
          <w:color w:val="212121"/>
          <w:kern w:val="2"/>
          <w:shd w:val="clear" w:color="auto" w:fill="FFFFFF"/>
          <w14:ligatures w14:val="standardContextual"/>
        </w:rPr>
        <w:t>The Commissioner’s refusal to correct information in the inmate’s case management file which, though not accurate and up to date, had been used to change the inmate’s security status from medium to maximum</w:t>
      </w:r>
      <w:r w:rsidR="00684CE1">
        <w:rPr>
          <w:rFonts w:ascii="Calibri" w:eastAsia="Calibri" w:hAnsi="Calibri" w:cs="Calibri"/>
          <w:color w:val="212121"/>
          <w:kern w:val="2"/>
          <w:shd w:val="clear" w:color="auto" w:fill="FFFFFF"/>
          <w14:ligatures w14:val="standardContextual"/>
        </w:rPr>
        <w:t>.</w:t>
      </w:r>
      <w:r w:rsidRPr="00AF1F45">
        <w:rPr>
          <w:rFonts w:ascii="Calibri" w:eastAsia="Calibri" w:hAnsi="Calibri" w:cs="Calibri"/>
          <w:color w:val="212121"/>
          <w:kern w:val="2"/>
          <w:shd w:val="clear" w:color="auto" w:fill="FFFFFF"/>
          <w:vertAlign w:val="superscript"/>
          <w14:ligatures w14:val="standardContextual"/>
        </w:rPr>
        <w:endnoteReference w:id="102"/>
      </w:r>
    </w:p>
    <w:p w14:paraId="7985A464" w14:textId="77777777" w:rsidR="00630390" w:rsidRPr="00AF1F45" w:rsidRDefault="00630390" w:rsidP="00AF1F45">
      <w:pPr>
        <w:spacing w:after="160" w:line="259" w:lineRule="auto"/>
        <w:rPr>
          <w:rFonts w:ascii="Calibri" w:eastAsia="Calibri" w:hAnsi="Calibri" w:cs="Calibri"/>
          <w:b/>
          <w:bCs/>
          <w:kern w:val="2"/>
          <w14:ligatures w14:val="standardContextual"/>
        </w:rPr>
      </w:pPr>
    </w:p>
    <w:p w14:paraId="17008B97" w14:textId="77777777" w:rsidR="00630390" w:rsidRPr="00AF1F45" w:rsidRDefault="00630390" w:rsidP="00AF1F45">
      <w:pPr>
        <w:spacing w:after="160" w:line="259" w:lineRule="auto"/>
        <w:rPr>
          <w:rFonts w:ascii="Calibri" w:eastAsia="Calibri" w:hAnsi="Calibri" w:cs="Calibri"/>
          <w:b/>
          <w:bCs/>
          <w:kern w:val="2"/>
          <w14:ligatures w14:val="standardContextual"/>
        </w:rPr>
      </w:pPr>
      <w:r w:rsidRPr="00AF1F45">
        <w:rPr>
          <w:rFonts w:ascii="Calibri" w:eastAsia="Calibri" w:hAnsi="Calibri" w:cs="Calibri"/>
          <w:b/>
          <w:bCs/>
          <w:kern w:val="2"/>
          <w14:ligatures w14:val="standardContextual"/>
        </w:rPr>
        <w:t>Legal Aid</w:t>
      </w:r>
    </w:p>
    <w:p w14:paraId="707391E4" w14:textId="3B1D5D58" w:rsidR="00684CE1" w:rsidRDefault="00684CE1" w:rsidP="00AF1F45">
      <w:pPr>
        <w:spacing w:after="160" w:line="259" w:lineRule="auto"/>
        <w:rPr>
          <w:rFonts w:ascii="Calibri" w:eastAsia="Calibri" w:hAnsi="Calibri" w:cs="Calibri"/>
          <w:kern w:val="2"/>
          <w14:ligatures w14:val="standardContextual"/>
        </w:rPr>
      </w:pPr>
      <w:r>
        <w:rPr>
          <w:rFonts w:ascii="Calibri" w:eastAsia="Calibri" w:hAnsi="Calibri" w:cs="Calibri"/>
          <w:kern w:val="2"/>
          <w14:ligatures w14:val="standardContextual"/>
        </w:rPr>
        <w:t xml:space="preserve">Several cases indicate that legal aid may also be subject to judicial oversight in matters concerning legal representation and funding for defence counsel. This may be a key issue given the foreseeable number and variety of challenges to different AI technology and uses as part of criminal cases. Notably, however, the following cases are not administrative law decisions, rather, they are decided under </w:t>
      </w:r>
      <w:r w:rsidR="00630390" w:rsidRPr="00AF1F45">
        <w:rPr>
          <w:rFonts w:ascii="Calibri" w:eastAsia="Calibri" w:hAnsi="Calibri" w:cs="Calibri"/>
          <w:kern w:val="2"/>
          <w14:ligatures w14:val="standardContextual"/>
        </w:rPr>
        <w:t xml:space="preserve">provisions of the </w:t>
      </w:r>
      <w:r w:rsidR="00630390" w:rsidRPr="00AF1F45">
        <w:rPr>
          <w:rFonts w:ascii="Calibri" w:eastAsia="Calibri" w:hAnsi="Calibri" w:cs="Calibri"/>
          <w:i/>
          <w:iCs/>
          <w:kern w:val="2"/>
          <w14:ligatures w14:val="standardContextual"/>
        </w:rPr>
        <w:t>Youth Criminal Justice Act</w:t>
      </w:r>
      <w:r w:rsidR="00630390" w:rsidRPr="00AF1F45">
        <w:rPr>
          <w:rFonts w:ascii="Calibri" w:eastAsia="Calibri" w:hAnsi="Calibri" w:cs="Calibri"/>
          <w:kern w:val="2"/>
          <w:vertAlign w:val="superscript"/>
          <w14:ligatures w14:val="standardContextual"/>
        </w:rPr>
        <w:endnoteReference w:id="103"/>
      </w:r>
      <w:r>
        <w:rPr>
          <w:rFonts w:ascii="Calibri" w:eastAsia="Calibri" w:hAnsi="Calibri" w:cs="Calibri"/>
          <w:i/>
          <w:iCs/>
          <w:kern w:val="2"/>
          <w14:ligatures w14:val="standardContextual"/>
        </w:rPr>
        <w:t xml:space="preserve"> </w:t>
      </w:r>
      <w:r>
        <w:rPr>
          <w:rFonts w:ascii="Calibri" w:eastAsia="Calibri" w:hAnsi="Calibri" w:cs="Calibri"/>
          <w:kern w:val="2"/>
          <w14:ligatures w14:val="standardContextual"/>
        </w:rPr>
        <w:t xml:space="preserve">(rather than the </w:t>
      </w:r>
      <w:r w:rsidRPr="00684CE1">
        <w:rPr>
          <w:rFonts w:ascii="Calibri" w:eastAsia="Calibri" w:hAnsi="Calibri" w:cs="Calibri"/>
          <w:i/>
          <w:iCs/>
          <w:kern w:val="2"/>
          <w14:ligatures w14:val="standardContextual"/>
        </w:rPr>
        <w:t>Legal Aid Services Act</w:t>
      </w:r>
      <w:r>
        <w:rPr>
          <w:rFonts w:ascii="Calibri" w:eastAsia="Calibri" w:hAnsi="Calibri" w:cs="Calibri"/>
          <w:kern w:val="2"/>
          <w14:ligatures w14:val="standardContextual"/>
        </w:rPr>
        <w:t xml:space="preserve"> that defines Legal Aid Ontario and its various programs).</w:t>
      </w:r>
      <w:r>
        <w:rPr>
          <w:rStyle w:val="EndnoteReference"/>
          <w:rFonts w:ascii="Calibri" w:eastAsia="Calibri" w:hAnsi="Calibri" w:cs="Calibri"/>
          <w:kern w:val="2"/>
          <w14:ligatures w14:val="standardContextual"/>
        </w:rPr>
        <w:endnoteReference w:id="104"/>
      </w:r>
    </w:p>
    <w:p w14:paraId="0AF7CBB1" w14:textId="1D280359" w:rsidR="00630390" w:rsidRPr="00AF1F45" w:rsidRDefault="00684CE1" w:rsidP="00AF1F45">
      <w:pPr>
        <w:spacing w:after="160" w:line="259" w:lineRule="auto"/>
        <w:rPr>
          <w:rFonts w:ascii="Calibri" w:eastAsia="Calibri" w:hAnsi="Calibri" w:cs="Calibri"/>
          <w:kern w:val="2"/>
          <w14:ligatures w14:val="standardContextual"/>
        </w:rPr>
      </w:pPr>
      <w:r>
        <w:rPr>
          <w:rFonts w:ascii="Calibri" w:eastAsia="Calibri" w:hAnsi="Calibri" w:cs="Calibri"/>
          <w:kern w:val="2"/>
          <w14:ligatures w14:val="standardContextual"/>
        </w:rPr>
        <w:t xml:space="preserve">Nevertheless, in the youth </w:t>
      </w:r>
      <w:r w:rsidR="000D6AA9">
        <w:rPr>
          <w:rFonts w:ascii="Calibri" w:eastAsia="Calibri" w:hAnsi="Calibri" w:cs="Calibri"/>
          <w:kern w:val="2"/>
          <w14:ligatures w14:val="standardContextual"/>
        </w:rPr>
        <w:t xml:space="preserve">criminal justice </w:t>
      </w:r>
      <w:r>
        <w:rPr>
          <w:rFonts w:ascii="Calibri" w:eastAsia="Calibri" w:hAnsi="Calibri" w:cs="Calibri"/>
          <w:kern w:val="2"/>
          <w14:ligatures w14:val="standardContextual"/>
        </w:rPr>
        <w:t xml:space="preserve">context, courts have intervened in several cases including: </w:t>
      </w:r>
    </w:p>
    <w:p w14:paraId="5F4E02BE" w14:textId="307595B6" w:rsidR="00630390" w:rsidRPr="00AF1F45" w:rsidRDefault="00630390" w:rsidP="00AF1F45">
      <w:pPr>
        <w:numPr>
          <w:ilvl w:val="0"/>
          <w:numId w:val="110"/>
        </w:numPr>
        <w:spacing w:after="160" w:line="259" w:lineRule="auto"/>
        <w:contextualSpacing/>
        <w:rPr>
          <w:rFonts w:ascii="Calibri" w:eastAsia="Calibri" w:hAnsi="Calibri" w:cs="Calibri"/>
          <w:kern w:val="2"/>
          <w14:ligatures w14:val="standardContextual"/>
        </w:rPr>
      </w:pPr>
      <w:r w:rsidRPr="00AF1F45">
        <w:rPr>
          <w:rFonts w:ascii="Calibri" w:eastAsia="Calibri" w:hAnsi="Calibri" w:cs="Calibri"/>
          <w:i/>
          <w:iCs/>
          <w:kern w:val="2"/>
          <w14:ligatures w14:val="standardContextual"/>
        </w:rPr>
        <w:t>R. v. J.H.</w:t>
      </w:r>
      <w:r w:rsidR="00684CE1">
        <w:rPr>
          <w:rFonts w:ascii="Calibri" w:eastAsia="Calibri" w:hAnsi="Calibri" w:cs="Calibri"/>
          <w:kern w:val="2"/>
          <w:bdr w:val="none" w:sz="0" w:space="0" w:color="auto" w:frame="1"/>
          <w14:ligatures w14:val="standardContextual"/>
        </w:rPr>
        <w:t>: A y</w:t>
      </w:r>
      <w:r w:rsidRPr="00AF1F45">
        <w:rPr>
          <w:rFonts w:ascii="Calibri" w:eastAsia="Calibri" w:hAnsi="Calibri" w:cs="Calibri"/>
          <w:color w:val="212121"/>
          <w:kern w:val="2"/>
          <w:shd w:val="clear" w:color="auto" w:fill="FFFFFF"/>
          <w14:ligatures w14:val="standardContextual"/>
        </w:rPr>
        <w:t>outh court judge was required to hold a hearing to determine why the young person was refused a legal aid certificate. The enquiry was to include a consideration of the young person's ability to access the financial resources of his or her parents.</w:t>
      </w:r>
      <w:r w:rsidR="00684CE1" w:rsidRPr="00684CE1">
        <w:rPr>
          <w:rFonts w:ascii="Calibri" w:eastAsia="Calibri" w:hAnsi="Calibri" w:cs="Calibri"/>
          <w:kern w:val="2"/>
          <w:bdr w:val="none" w:sz="0" w:space="0" w:color="auto" w:frame="1"/>
          <w:vertAlign w:val="superscript"/>
          <w14:ligatures w14:val="standardContextual"/>
        </w:rPr>
        <w:t xml:space="preserve"> </w:t>
      </w:r>
      <w:r w:rsidR="00684CE1" w:rsidRPr="00AF1F45">
        <w:rPr>
          <w:rFonts w:ascii="Calibri" w:eastAsia="Calibri" w:hAnsi="Calibri" w:cs="Calibri"/>
          <w:kern w:val="2"/>
          <w:bdr w:val="none" w:sz="0" w:space="0" w:color="auto" w:frame="1"/>
          <w:vertAlign w:val="superscript"/>
          <w14:ligatures w14:val="standardContextual"/>
        </w:rPr>
        <w:endnoteReference w:id="105"/>
      </w:r>
    </w:p>
    <w:p w14:paraId="4ECC0AC4" w14:textId="74717322" w:rsidR="00630390" w:rsidRPr="00AF1F45" w:rsidRDefault="00630390" w:rsidP="00AF1F45">
      <w:pPr>
        <w:numPr>
          <w:ilvl w:val="0"/>
          <w:numId w:val="110"/>
        </w:numPr>
        <w:spacing w:after="160" w:line="259" w:lineRule="auto"/>
        <w:contextualSpacing/>
        <w:rPr>
          <w:rFonts w:ascii="Calibri" w:eastAsia="Calibri" w:hAnsi="Calibri" w:cs="Calibri"/>
          <w:kern w:val="2"/>
          <w14:ligatures w14:val="standardContextual"/>
        </w:rPr>
      </w:pPr>
      <w:r w:rsidRPr="00AF1F45">
        <w:rPr>
          <w:rFonts w:ascii="Calibri" w:eastAsia="Calibri" w:hAnsi="Calibri" w:cs="Calibri"/>
          <w:i/>
          <w:iCs/>
          <w:kern w:val="2"/>
          <w14:ligatures w14:val="standardContextual"/>
        </w:rPr>
        <w:t>R. v. B.L.A</w:t>
      </w:r>
      <w:r w:rsidRPr="00AF1F45">
        <w:rPr>
          <w:rFonts w:ascii="Calibri" w:eastAsia="Calibri" w:hAnsi="Calibri" w:cs="Calibri"/>
          <w:kern w:val="2"/>
          <w:bdr w:val="none" w:sz="0" w:space="0" w:color="auto" w:frame="1"/>
          <w14:ligatures w14:val="standardContextual"/>
        </w:rPr>
        <w:t xml:space="preserve">: </w:t>
      </w:r>
      <w:r w:rsidR="000D6AA9">
        <w:rPr>
          <w:rFonts w:ascii="Calibri" w:eastAsia="Calibri" w:hAnsi="Calibri" w:cs="Calibri"/>
          <w:kern w:val="2"/>
          <w:bdr w:val="none" w:sz="0" w:space="0" w:color="auto" w:frame="1"/>
          <w14:ligatures w14:val="standardContextual"/>
        </w:rPr>
        <w:t xml:space="preserve">The </w:t>
      </w:r>
      <w:r w:rsidR="000D6AA9">
        <w:rPr>
          <w:rFonts w:ascii="Calibri" w:eastAsia="Calibri" w:hAnsi="Calibri" w:cs="Calibri"/>
          <w:color w:val="212121"/>
          <w:kern w:val="2"/>
          <w:shd w:val="clear" w:color="auto" w:fill="FFFFFF"/>
          <w14:ligatures w14:val="standardContextual"/>
        </w:rPr>
        <w:t>o</w:t>
      </w:r>
      <w:r w:rsidRPr="00AF1F45">
        <w:rPr>
          <w:rFonts w:ascii="Calibri" w:eastAsia="Calibri" w:hAnsi="Calibri" w:cs="Calibri"/>
          <w:color w:val="212121"/>
          <w:kern w:val="2"/>
          <w:shd w:val="clear" w:color="auto" w:fill="FFFFFF"/>
          <w14:ligatures w14:val="standardContextual"/>
        </w:rPr>
        <w:t xml:space="preserve">nus was on </w:t>
      </w:r>
      <w:r w:rsidR="000D6AA9">
        <w:rPr>
          <w:rFonts w:ascii="Calibri" w:eastAsia="Calibri" w:hAnsi="Calibri" w:cs="Calibri"/>
          <w:color w:val="212121"/>
          <w:kern w:val="2"/>
          <w:shd w:val="clear" w:color="auto" w:fill="FFFFFF"/>
          <w14:ligatures w14:val="standardContextual"/>
        </w:rPr>
        <w:t xml:space="preserve">the </w:t>
      </w:r>
      <w:r w:rsidRPr="00AF1F45">
        <w:rPr>
          <w:rFonts w:ascii="Calibri" w:eastAsia="Calibri" w:hAnsi="Calibri" w:cs="Calibri"/>
          <w:color w:val="212121"/>
          <w:kern w:val="2"/>
          <w:shd w:val="clear" w:color="auto" w:fill="FFFFFF"/>
          <w14:ligatures w14:val="standardContextual"/>
        </w:rPr>
        <w:t xml:space="preserve">young person to satisfy the court that he was entitled to legal representation. He was </w:t>
      </w:r>
      <w:r w:rsidR="000D6AA9">
        <w:rPr>
          <w:rFonts w:ascii="Calibri" w:eastAsia="Calibri" w:hAnsi="Calibri" w:cs="Calibri"/>
          <w:color w:val="212121"/>
          <w:kern w:val="2"/>
          <w:shd w:val="clear" w:color="auto" w:fill="FFFFFF"/>
          <w14:ligatures w14:val="standardContextual"/>
        </w:rPr>
        <w:t>undermined</w:t>
      </w:r>
      <w:r w:rsidRPr="00AF1F45">
        <w:rPr>
          <w:rFonts w:ascii="Calibri" w:eastAsia="Calibri" w:hAnsi="Calibri" w:cs="Calibri"/>
          <w:color w:val="212121"/>
          <w:kern w:val="2"/>
          <w:shd w:val="clear" w:color="auto" w:fill="FFFFFF"/>
          <w14:ligatures w14:val="standardContextual"/>
        </w:rPr>
        <w:t xml:space="preserve"> in this application because of his youth, immaturity and ignorance. Legal Aid was ordered to provide counsel to represent the young person to enable him to properly present his application.</w:t>
      </w:r>
      <w:r w:rsidR="000D6AA9" w:rsidRPr="00AF1F45">
        <w:rPr>
          <w:rFonts w:ascii="Calibri" w:eastAsia="Calibri" w:hAnsi="Calibri" w:cs="Calibri"/>
          <w:kern w:val="2"/>
          <w:bdr w:val="none" w:sz="0" w:space="0" w:color="auto" w:frame="1"/>
          <w:vertAlign w:val="superscript"/>
          <w14:ligatures w14:val="standardContextual"/>
        </w:rPr>
        <w:endnoteReference w:id="106"/>
      </w:r>
    </w:p>
    <w:p w14:paraId="04C5CF95" w14:textId="0683C223" w:rsidR="00630390" w:rsidRPr="00AF1F45" w:rsidRDefault="00630390" w:rsidP="00AF1F45">
      <w:pPr>
        <w:numPr>
          <w:ilvl w:val="0"/>
          <w:numId w:val="110"/>
        </w:numPr>
        <w:spacing w:after="160" w:line="259" w:lineRule="auto"/>
        <w:contextualSpacing/>
        <w:rPr>
          <w:rFonts w:ascii="Calibri" w:eastAsia="Calibri" w:hAnsi="Calibri" w:cs="Calibri"/>
          <w:kern w:val="2"/>
          <w14:ligatures w14:val="standardContextual"/>
        </w:rPr>
      </w:pPr>
      <w:r w:rsidRPr="00AF1F45">
        <w:rPr>
          <w:rFonts w:ascii="Calibri" w:eastAsia="Calibri" w:hAnsi="Calibri" w:cs="Calibri"/>
          <w:i/>
          <w:iCs/>
          <w:kern w:val="2"/>
          <w14:ligatures w14:val="standardContextual"/>
        </w:rPr>
        <w:t>R. v. E.R.B</w:t>
      </w:r>
      <w:r w:rsidRPr="00AF1F45">
        <w:rPr>
          <w:rFonts w:ascii="Calibri" w:eastAsia="Calibri" w:hAnsi="Calibri" w:cs="Calibri"/>
          <w:kern w:val="2"/>
          <w14:ligatures w14:val="standardContextual"/>
        </w:rPr>
        <w:t xml:space="preserve">: </w:t>
      </w:r>
      <w:r w:rsidR="000D6AA9">
        <w:rPr>
          <w:rFonts w:ascii="Calibri" w:eastAsia="Calibri" w:hAnsi="Calibri" w:cs="Calibri"/>
          <w:color w:val="212121"/>
          <w:kern w:val="2"/>
          <w:shd w:val="clear" w:color="auto" w:fill="FFFFFF"/>
          <w14:ligatures w14:val="standardContextual"/>
        </w:rPr>
        <w:t>This case determined that i</w:t>
      </w:r>
      <w:r w:rsidRPr="00AF1F45">
        <w:rPr>
          <w:rFonts w:ascii="Calibri" w:eastAsia="Calibri" w:hAnsi="Calibri" w:cs="Calibri"/>
          <w:color w:val="212121"/>
          <w:kern w:val="2"/>
          <w:shd w:val="clear" w:color="auto" w:fill="FFFFFF"/>
          <w14:ligatures w14:val="standardContextual"/>
        </w:rPr>
        <w:t xml:space="preserve">t was inappropriate to apply to the court for the appointment of counsel to </w:t>
      </w:r>
      <w:r w:rsidR="000D6AA9">
        <w:rPr>
          <w:rFonts w:ascii="Calibri" w:eastAsia="Calibri" w:hAnsi="Calibri" w:cs="Calibri"/>
          <w:color w:val="212121"/>
          <w:kern w:val="2"/>
          <w:shd w:val="clear" w:color="auto" w:fill="FFFFFF"/>
          <w14:ligatures w14:val="standardContextual"/>
        </w:rPr>
        <w:t xml:space="preserve">effectively </w:t>
      </w:r>
      <w:r w:rsidRPr="00AF1F45">
        <w:rPr>
          <w:rFonts w:ascii="Calibri" w:eastAsia="Calibri" w:hAnsi="Calibri" w:cs="Calibri"/>
          <w:color w:val="212121"/>
          <w:kern w:val="2"/>
          <w:shd w:val="clear" w:color="auto" w:fill="FFFFFF"/>
          <w14:ligatures w14:val="standardContextual"/>
        </w:rPr>
        <w:t>circumvent Legal Aid</w:t>
      </w:r>
      <w:r w:rsidR="000D6AA9">
        <w:rPr>
          <w:rFonts w:ascii="Calibri" w:eastAsia="Calibri" w:hAnsi="Calibri" w:cs="Calibri"/>
          <w:color w:val="212121"/>
          <w:kern w:val="2"/>
          <w:shd w:val="clear" w:color="auto" w:fill="FFFFFF"/>
          <w14:ligatures w14:val="standardContextual"/>
        </w:rPr>
        <w:t xml:space="preserve"> Ontario</w:t>
      </w:r>
      <w:r w:rsidRPr="00AF1F45">
        <w:rPr>
          <w:rFonts w:ascii="Calibri" w:eastAsia="Calibri" w:hAnsi="Calibri" w:cs="Calibri"/>
          <w:color w:val="212121"/>
          <w:kern w:val="2"/>
          <w:shd w:val="clear" w:color="auto" w:fill="FFFFFF"/>
          <w14:ligatures w14:val="standardContextual"/>
        </w:rPr>
        <w:t xml:space="preserve">’s financial </w:t>
      </w:r>
      <w:r w:rsidR="000D6AA9">
        <w:rPr>
          <w:rFonts w:ascii="Calibri" w:eastAsia="Calibri" w:hAnsi="Calibri" w:cs="Calibri"/>
          <w:color w:val="212121"/>
          <w:kern w:val="2"/>
          <w:shd w:val="clear" w:color="auto" w:fill="FFFFFF"/>
          <w14:ligatures w14:val="standardContextual"/>
        </w:rPr>
        <w:t xml:space="preserve">eligibility and </w:t>
      </w:r>
      <w:r w:rsidRPr="00AF1F45">
        <w:rPr>
          <w:rFonts w:ascii="Calibri" w:eastAsia="Calibri" w:hAnsi="Calibri" w:cs="Calibri"/>
          <w:color w:val="212121"/>
          <w:kern w:val="2"/>
          <w:shd w:val="clear" w:color="auto" w:fill="FFFFFF"/>
          <w14:ligatures w14:val="standardContextual"/>
        </w:rPr>
        <w:t>assessment</w:t>
      </w:r>
      <w:r w:rsidR="000D6AA9">
        <w:rPr>
          <w:rFonts w:ascii="Calibri" w:eastAsia="Calibri" w:hAnsi="Calibri" w:cs="Calibri"/>
          <w:color w:val="212121"/>
          <w:kern w:val="2"/>
          <w:shd w:val="clear" w:color="auto" w:fill="FFFFFF"/>
          <w14:ligatures w14:val="standardContextual"/>
        </w:rPr>
        <w:t xml:space="preserve"> criteria</w:t>
      </w:r>
      <w:r w:rsidRPr="00AF1F45">
        <w:rPr>
          <w:rFonts w:ascii="Calibri" w:eastAsia="Calibri" w:hAnsi="Calibri" w:cs="Calibri"/>
          <w:color w:val="212121"/>
          <w:kern w:val="2"/>
          <w:shd w:val="clear" w:color="auto" w:fill="FFFFFF"/>
          <w14:ligatures w14:val="standardContextual"/>
        </w:rPr>
        <w:t>. Legal Aid, and not the court, should assess ERB's financial need. The matter was adjourned to allow ERB's parents to make financial disclosure to Legal Aid.</w:t>
      </w:r>
      <w:r w:rsidR="000D6AA9" w:rsidRPr="00AF1F45">
        <w:rPr>
          <w:rFonts w:ascii="Calibri" w:eastAsia="Calibri" w:hAnsi="Calibri" w:cs="Calibri"/>
          <w:kern w:val="2"/>
          <w:vertAlign w:val="superscript"/>
          <w14:ligatures w14:val="standardContextual"/>
        </w:rPr>
        <w:endnoteReference w:id="107"/>
      </w:r>
    </w:p>
    <w:p w14:paraId="33B93A75" w14:textId="77777777" w:rsidR="00630390" w:rsidRPr="00AF1F45" w:rsidRDefault="00630390" w:rsidP="00AF1F45">
      <w:pPr>
        <w:spacing w:after="160" w:line="259" w:lineRule="auto"/>
        <w:ind w:left="720"/>
        <w:contextualSpacing/>
        <w:rPr>
          <w:rFonts w:ascii="Calibri" w:eastAsia="Calibri" w:hAnsi="Calibri" w:cs="Calibri"/>
          <w:kern w:val="2"/>
          <w14:ligatures w14:val="standardContextual"/>
        </w:rPr>
      </w:pPr>
    </w:p>
    <w:p w14:paraId="64045E3D" w14:textId="77777777" w:rsidR="00630390" w:rsidRPr="00AF1F45" w:rsidRDefault="00630390" w:rsidP="00B8130F">
      <w:pPr>
        <w:spacing w:after="160" w:line="259" w:lineRule="auto"/>
        <w:rPr>
          <w:rFonts w:ascii="Calibri" w:eastAsia="Calibri" w:hAnsi="Calibri" w:cs="Calibri"/>
          <w:b/>
          <w:bCs/>
          <w:kern w:val="2"/>
          <w14:ligatures w14:val="standardContextual"/>
        </w:rPr>
      </w:pPr>
      <w:r w:rsidRPr="00AF1F45">
        <w:rPr>
          <w:rFonts w:ascii="Calibri" w:eastAsia="Calibri" w:hAnsi="Calibri" w:cs="Calibri"/>
          <w:b/>
          <w:bCs/>
          <w:kern w:val="2"/>
          <w14:ligatures w14:val="standardContextual"/>
        </w:rPr>
        <w:t>Hospitals</w:t>
      </w:r>
    </w:p>
    <w:p w14:paraId="6910EDC6" w14:textId="77777777" w:rsidR="001A31CF" w:rsidRDefault="00630390" w:rsidP="00AF1F45">
      <w:pPr>
        <w:spacing w:after="160" w:line="259" w:lineRule="auto"/>
        <w:rPr>
          <w:rFonts w:ascii="Calibri" w:eastAsia="Calibri" w:hAnsi="Calibri" w:cs="Calibri"/>
          <w:kern w:val="2"/>
          <w14:ligatures w14:val="standardContextual"/>
        </w:rPr>
      </w:pPr>
      <w:r w:rsidRPr="00AF1F45">
        <w:rPr>
          <w:rFonts w:ascii="Calibri" w:eastAsia="Calibri" w:hAnsi="Calibri" w:cs="Calibri"/>
          <w:kern w:val="2"/>
          <w14:ligatures w14:val="standardContextual"/>
        </w:rPr>
        <w:t>Perhaps one of the best examples of the criminal courts’ exercise of indirect jurisdiction over hospitals is seen in</w:t>
      </w:r>
      <w:r w:rsidR="001A31CF">
        <w:rPr>
          <w:rFonts w:ascii="Calibri" w:eastAsia="Calibri" w:hAnsi="Calibri" w:cs="Calibri"/>
          <w:kern w:val="2"/>
          <w14:ligatures w14:val="standardContextual"/>
        </w:rPr>
        <w:t xml:space="preserve"> the mental disorder provisions defined in</w:t>
      </w:r>
      <w:r w:rsidRPr="00AF1F45">
        <w:rPr>
          <w:rFonts w:ascii="Calibri" w:eastAsia="Calibri" w:hAnsi="Calibri" w:cs="Calibri"/>
          <w:kern w:val="2"/>
          <w14:ligatures w14:val="standardContextual"/>
        </w:rPr>
        <w:t xml:space="preserve"> </w:t>
      </w:r>
      <w:r w:rsidR="001A31CF" w:rsidRPr="001A31CF">
        <w:rPr>
          <w:rFonts w:ascii="Calibri" w:eastAsia="Calibri" w:hAnsi="Calibri" w:cs="Calibri"/>
          <w:i/>
          <w:iCs/>
          <w:kern w:val="2"/>
          <w14:ligatures w14:val="standardContextual"/>
        </w:rPr>
        <w:t>Criminal Code</w:t>
      </w:r>
      <w:r w:rsidR="001A31CF">
        <w:rPr>
          <w:rFonts w:ascii="Calibri" w:eastAsia="Calibri" w:hAnsi="Calibri" w:cs="Calibri"/>
          <w:kern w:val="2"/>
          <w14:ligatures w14:val="standardContextual"/>
        </w:rPr>
        <w:t xml:space="preserve"> </w:t>
      </w:r>
      <w:r w:rsidRPr="00AF1F45">
        <w:rPr>
          <w:rFonts w:ascii="Calibri" w:eastAsia="Calibri" w:hAnsi="Calibri" w:cs="Calibri"/>
          <w:kern w:val="2"/>
          <w14:ligatures w14:val="standardContextual"/>
        </w:rPr>
        <w:t>Part XX.1</w:t>
      </w:r>
      <w:r w:rsidR="001A31CF">
        <w:rPr>
          <w:rFonts w:ascii="Calibri" w:eastAsia="Calibri" w:hAnsi="Calibri" w:cs="Calibri"/>
          <w:kern w:val="2"/>
          <w14:ligatures w14:val="standardContextual"/>
        </w:rPr>
        <w:t xml:space="preserve"> (s. 672). This part of the </w:t>
      </w:r>
      <w:r w:rsidR="001A31CF" w:rsidRPr="001A31CF">
        <w:rPr>
          <w:rFonts w:ascii="Calibri" w:eastAsia="Calibri" w:hAnsi="Calibri" w:cs="Calibri"/>
          <w:i/>
          <w:iCs/>
          <w:kern w:val="2"/>
          <w14:ligatures w14:val="standardContextual"/>
        </w:rPr>
        <w:t>Criminal Code</w:t>
      </w:r>
      <w:r w:rsidR="001A31CF">
        <w:rPr>
          <w:rFonts w:ascii="Calibri" w:eastAsia="Calibri" w:hAnsi="Calibri" w:cs="Calibri"/>
          <w:kern w:val="2"/>
          <w14:ligatures w14:val="standardContextual"/>
        </w:rPr>
        <w:t xml:space="preserve"> </w:t>
      </w:r>
      <w:r w:rsidRPr="00AF1F45">
        <w:rPr>
          <w:rFonts w:ascii="Calibri" w:eastAsia="Calibri" w:hAnsi="Calibri" w:cs="Calibri"/>
          <w:kern w:val="2"/>
          <w14:ligatures w14:val="standardContextual"/>
        </w:rPr>
        <w:t>governs determinations of fitness to stand trial, not criminally responsible, as well as the Ontario Review Board and its proceedings</w:t>
      </w:r>
      <w:r w:rsidR="001A31CF">
        <w:rPr>
          <w:rFonts w:ascii="Calibri" w:eastAsia="Calibri" w:hAnsi="Calibri" w:cs="Calibri"/>
          <w:kern w:val="2"/>
          <w14:ligatures w14:val="standardContextual"/>
        </w:rPr>
        <w:t xml:space="preserve">. </w:t>
      </w:r>
    </w:p>
    <w:p w14:paraId="24CEF0A5" w14:textId="77777777" w:rsidR="001A31CF" w:rsidRDefault="001A31CF" w:rsidP="00AF1F45">
      <w:pPr>
        <w:spacing w:after="160" w:line="259" w:lineRule="auto"/>
        <w:rPr>
          <w:rFonts w:ascii="Calibri" w:eastAsia="Calibri" w:hAnsi="Calibri" w:cs="Calibri"/>
          <w:kern w:val="2"/>
          <w14:ligatures w14:val="standardContextual"/>
        </w:rPr>
      </w:pPr>
      <w:r>
        <w:rPr>
          <w:rFonts w:ascii="Calibri" w:eastAsia="Calibri" w:hAnsi="Calibri" w:cs="Calibri"/>
          <w:kern w:val="2"/>
          <w14:ligatures w14:val="standardContextual"/>
        </w:rPr>
        <w:lastRenderedPageBreak/>
        <w:t xml:space="preserve">Section </w:t>
      </w:r>
      <w:r w:rsidR="00630390" w:rsidRPr="00AF1F45">
        <w:rPr>
          <w:rFonts w:ascii="Calibri" w:eastAsia="Calibri" w:hAnsi="Calibri" w:cs="Calibri"/>
          <w:kern w:val="2"/>
          <w14:ligatures w14:val="standardContextual"/>
        </w:rPr>
        <w:t xml:space="preserve">672.1 </w:t>
      </w:r>
      <w:r>
        <w:rPr>
          <w:rFonts w:ascii="Calibri" w:eastAsia="Calibri" w:hAnsi="Calibri" w:cs="Calibri"/>
          <w:kern w:val="2"/>
          <w14:ligatures w14:val="standardContextual"/>
        </w:rPr>
        <w:t xml:space="preserve">defines </w:t>
      </w:r>
      <w:r w:rsidR="00630390" w:rsidRPr="00AF1F45">
        <w:rPr>
          <w:rFonts w:ascii="Calibri" w:eastAsia="Calibri" w:hAnsi="Calibri" w:cs="Calibri"/>
          <w:kern w:val="2"/>
          <w14:ligatures w14:val="standardContextual"/>
        </w:rPr>
        <w:t xml:space="preserve">a hospital </w:t>
      </w:r>
      <w:r>
        <w:rPr>
          <w:rFonts w:ascii="Calibri" w:eastAsia="Calibri" w:hAnsi="Calibri" w:cs="Calibri"/>
          <w:kern w:val="2"/>
          <w14:ligatures w14:val="standardContextual"/>
        </w:rPr>
        <w:t xml:space="preserve">as </w:t>
      </w:r>
      <w:r w:rsidR="00630390" w:rsidRPr="00AF1F45">
        <w:rPr>
          <w:rFonts w:ascii="Calibri" w:eastAsia="Calibri" w:hAnsi="Calibri" w:cs="Calibri"/>
          <w:kern w:val="2"/>
          <w14:ligatures w14:val="standardContextual"/>
        </w:rPr>
        <w:t>“a place in a province that is designated by the Minister of Health for the province for the custody, treatment or assessment of an accused in respect of whom an assessment order, a disposition or a placement decision has been made.”</w:t>
      </w:r>
      <w:r w:rsidR="00630390" w:rsidRPr="00AF1F45">
        <w:rPr>
          <w:rFonts w:ascii="Calibri" w:eastAsia="Calibri" w:hAnsi="Calibri" w:cs="Calibri"/>
          <w:kern w:val="2"/>
          <w:vertAlign w:val="superscript"/>
          <w14:ligatures w14:val="standardContextual"/>
        </w:rPr>
        <w:endnoteReference w:id="108"/>
      </w:r>
      <w:r>
        <w:rPr>
          <w:rFonts w:ascii="Calibri" w:eastAsia="Calibri" w:hAnsi="Calibri" w:cs="Calibri"/>
          <w:kern w:val="2"/>
          <w14:ligatures w14:val="standardContextual"/>
        </w:rPr>
        <w:t xml:space="preserve"> </w:t>
      </w:r>
      <w:r w:rsidR="00630390" w:rsidRPr="00AF1F45">
        <w:rPr>
          <w:rFonts w:ascii="Calibri" w:eastAsia="Calibri" w:hAnsi="Calibri" w:cs="Calibri"/>
          <w:kern w:val="2"/>
          <w14:ligatures w14:val="standardContextual"/>
        </w:rPr>
        <w:t>While the criminal court’s direct jurisdiction in section 672 is over the accused, the effect of the provisions and determinations made pursuant to them is to bestow indirect jurisdiction over the hospitals where assessments are conducted, and to which accused are remanded as a result of dispositions, placement decisions, and otherwise.</w:t>
      </w:r>
    </w:p>
    <w:p w14:paraId="666E84B0" w14:textId="0CF92934" w:rsidR="00630390" w:rsidRPr="00AF1F45" w:rsidRDefault="001A31CF" w:rsidP="00AF1F45">
      <w:pPr>
        <w:spacing w:after="160" w:line="259" w:lineRule="auto"/>
        <w:rPr>
          <w:rFonts w:ascii="Calibri" w:eastAsia="Calibri" w:hAnsi="Calibri" w:cs="Calibri"/>
          <w:kern w:val="2"/>
          <w14:ligatures w14:val="standardContextual"/>
        </w:rPr>
      </w:pPr>
      <w:r>
        <w:rPr>
          <w:rFonts w:ascii="Calibri" w:eastAsia="Calibri" w:hAnsi="Calibri" w:cs="Calibri"/>
          <w:kern w:val="2"/>
          <w14:ligatures w14:val="standardContextual"/>
        </w:rPr>
        <w:t>B</w:t>
      </w:r>
      <w:r w:rsidR="00630390" w:rsidRPr="00AF1F45">
        <w:rPr>
          <w:rFonts w:ascii="Calibri" w:eastAsia="Calibri" w:hAnsi="Calibri" w:cs="Calibri"/>
          <w:kern w:val="2"/>
          <w14:ligatures w14:val="standardContextual"/>
        </w:rPr>
        <w:t xml:space="preserve">eyond Part XX.1 of the </w:t>
      </w:r>
      <w:r w:rsidR="00630390" w:rsidRPr="001A31CF">
        <w:rPr>
          <w:rFonts w:ascii="Calibri" w:eastAsia="Calibri" w:hAnsi="Calibri" w:cs="Calibri"/>
          <w:i/>
          <w:iCs/>
          <w:kern w:val="2"/>
          <w14:ligatures w14:val="standardContextual"/>
        </w:rPr>
        <w:t>Criminal Code</w:t>
      </w:r>
      <w:r w:rsidR="00630390" w:rsidRPr="00AF1F45">
        <w:rPr>
          <w:rFonts w:ascii="Calibri" w:eastAsia="Calibri" w:hAnsi="Calibri" w:cs="Calibri"/>
          <w:kern w:val="2"/>
          <w14:ligatures w14:val="standardContextual"/>
        </w:rPr>
        <w:t xml:space="preserve">, there are examples of the criminal court exercising indirect jurisdiction over hospitals. </w:t>
      </w:r>
      <w:r>
        <w:rPr>
          <w:rFonts w:ascii="Calibri" w:eastAsia="Calibri" w:hAnsi="Calibri" w:cs="Calibri"/>
          <w:kern w:val="2"/>
          <w14:ligatures w14:val="standardContextual"/>
        </w:rPr>
        <w:t>F</w:t>
      </w:r>
      <w:r w:rsidR="00630390" w:rsidRPr="00AF1F45">
        <w:rPr>
          <w:rFonts w:ascii="Calibri" w:eastAsia="Calibri" w:hAnsi="Calibri" w:cs="Calibri"/>
          <w:kern w:val="2"/>
          <w14:ligatures w14:val="standardContextual"/>
        </w:rPr>
        <w:t>or example,</w:t>
      </w:r>
      <w:r>
        <w:rPr>
          <w:rFonts w:ascii="Calibri" w:eastAsia="Calibri" w:hAnsi="Calibri" w:cs="Calibri"/>
          <w:kern w:val="2"/>
          <w14:ligatures w14:val="standardContextual"/>
        </w:rPr>
        <w:t xml:space="preserve"> in</w:t>
      </w:r>
      <w:r w:rsidR="00630390" w:rsidRPr="00AF1F45">
        <w:rPr>
          <w:rFonts w:ascii="Calibri" w:eastAsia="Calibri" w:hAnsi="Calibri" w:cs="Calibri"/>
          <w:kern w:val="2"/>
          <w14:ligatures w14:val="standardContextual"/>
        </w:rPr>
        <w:t xml:space="preserve"> </w:t>
      </w:r>
      <w:r w:rsidR="00630390" w:rsidRPr="00AF1F45">
        <w:rPr>
          <w:rFonts w:ascii="Calibri" w:eastAsia="Calibri" w:hAnsi="Calibri" w:cs="Calibri"/>
          <w:i/>
          <w:iCs/>
          <w:kern w:val="2"/>
          <w14:ligatures w14:val="standardContextual"/>
        </w:rPr>
        <w:t xml:space="preserve">R. v. Knoblauch </w:t>
      </w:r>
      <w:r>
        <w:rPr>
          <w:rFonts w:ascii="Calibri" w:eastAsia="Calibri" w:hAnsi="Calibri" w:cs="Calibri"/>
          <w:kern w:val="2"/>
          <w14:ligatures w14:val="standardContextual"/>
        </w:rPr>
        <w:t xml:space="preserve">the Supreme Court of Canada </w:t>
      </w:r>
      <w:r w:rsidR="00630390" w:rsidRPr="00AF1F45">
        <w:rPr>
          <w:rFonts w:ascii="Calibri" w:eastAsia="Calibri" w:hAnsi="Calibri" w:cs="Calibri"/>
          <w:kern w:val="2"/>
          <w14:ligatures w14:val="standardContextual"/>
        </w:rPr>
        <w:t xml:space="preserve">upheld the sentencing judge’s imposition of a conditional sentence </w:t>
      </w:r>
      <w:r>
        <w:rPr>
          <w:rFonts w:ascii="Calibri" w:eastAsia="Calibri" w:hAnsi="Calibri" w:cs="Calibri"/>
          <w:kern w:val="2"/>
          <w14:ligatures w14:val="standardContextual"/>
        </w:rPr>
        <w:t xml:space="preserve">and probation order that ordered a hospital to keep </w:t>
      </w:r>
      <w:r w:rsidRPr="00AF1F45">
        <w:rPr>
          <w:rFonts w:ascii="Calibri" w:eastAsia="Calibri" w:hAnsi="Calibri" w:cs="Calibri"/>
          <w:kern w:val="2"/>
          <w14:ligatures w14:val="standardContextual"/>
        </w:rPr>
        <w:t>the accused in a locked psychiatric treatment unit where he was receiving treatment</w:t>
      </w:r>
      <w:r w:rsidR="00630390" w:rsidRPr="00AF1F45">
        <w:rPr>
          <w:rFonts w:ascii="Calibri" w:eastAsia="Calibri" w:hAnsi="Calibri" w:cs="Calibri"/>
          <w:kern w:val="2"/>
          <w14:ligatures w14:val="standardContextual"/>
        </w:rPr>
        <w:t>.</w:t>
      </w:r>
      <w:r w:rsidRPr="00AF1F45">
        <w:rPr>
          <w:rFonts w:ascii="Calibri" w:eastAsia="Calibri" w:hAnsi="Calibri" w:cs="Calibri"/>
          <w:kern w:val="2"/>
          <w:vertAlign w:val="superscript"/>
          <w14:ligatures w14:val="standardContextual"/>
        </w:rPr>
        <w:endnoteReference w:id="109"/>
      </w:r>
    </w:p>
    <w:p w14:paraId="4B987746" w14:textId="4BB1E873" w:rsidR="00630390" w:rsidRPr="00AF1F45" w:rsidRDefault="00630390" w:rsidP="00B8130F">
      <w:pPr>
        <w:spacing w:after="160" w:line="259" w:lineRule="auto"/>
        <w:rPr>
          <w:rFonts w:ascii="Calibri" w:eastAsia="Calibri" w:hAnsi="Calibri" w:cs="Calibri"/>
          <w:b/>
          <w:bCs/>
          <w:kern w:val="2"/>
          <w14:ligatures w14:val="standardContextual"/>
        </w:rPr>
      </w:pPr>
      <w:r w:rsidRPr="00AF1F45">
        <w:rPr>
          <w:rFonts w:ascii="Calibri" w:eastAsia="Calibri" w:hAnsi="Calibri" w:cs="Calibri"/>
          <w:b/>
          <w:bCs/>
          <w:kern w:val="2"/>
          <w14:ligatures w14:val="standardContextual"/>
        </w:rPr>
        <w:t>Children’s Aid</w:t>
      </w:r>
    </w:p>
    <w:p w14:paraId="33249C4F" w14:textId="220CB8FE" w:rsidR="00630390" w:rsidRPr="00AF1F45" w:rsidRDefault="0052089B" w:rsidP="00AF1F45">
      <w:pPr>
        <w:spacing w:after="160" w:line="259" w:lineRule="auto"/>
        <w:rPr>
          <w:rFonts w:ascii="Calibri" w:eastAsia="Calibri" w:hAnsi="Calibri" w:cs="Calibri"/>
          <w:kern w:val="2"/>
          <w14:ligatures w14:val="standardContextual"/>
        </w:rPr>
      </w:pPr>
      <w:r>
        <w:rPr>
          <w:rFonts w:ascii="Calibri" w:eastAsia="Calibri" w:hAnsi="Calibri" w:cs="Calibri"/>
          <w:kern w:val="2"/>
          <w14:ligatures w14:val="standardContextual"/>
        </w:rPr>
        <w:t xml:space="preserve">Criminal courts may exercise jurisdiction over local Children’s Aid Societies in a variety of ways. For instance, they frequently prohibit an accused from </w:t>
      </w:r>
      <w:r w:rsidR="00630390" w:rsidRPr="00AF1F45">
        <w:rPr>
          <w:rFonts w:ascii="Calibri" w:eastAsia="Calibri" w:hAnsi="Calibri" w:cs="Calibri"/>
          <w:kern w:val="2"/>
          <w14:ligatures w14:val="standardContextual"/>
        </w:rPr>
        <w:t xml:space="preserve">contact with child victims except under the supervision of the local Children’s Aid Society. </w:t>
      </w:r>
      <w:r>
        <w:rPr>
          <w:rFonts w:ascii="Calibri" w:eastAsia="Calibri" w:hAnsi="Calibri" w:cs="Calibri"/>
          <w:kern w:val="2"/>
          <w14:ligatures w14:val="standardContextual"/>
        </w:rPr>
        <w:t xml:space="preserve">Sections of the </w:t>
      </w:r>
      <w:r w:rsidRPr="0052089B">
        <w:rPr>
          <w:rFonts w:ascii="Calibri" w:eastAsia="Calibri" w:hAnsi="Calibri" w:cs="Calibri"/>
          <w:i/>
          <w:iCs/>
          <w:kern w:val="2"/>
          <w14:ligatures w14:val="standardContextual"/>
        </w:rPr>
        <w:t>Criminal Code</w:t>
      </w:r>
      <w:r>
        <w:rPr>
          <w:rFonts w:ascii="Calibri" w:eastAsia="Calibri" w:hAnsi="Calibri" w:cs="Calibri"/>
          <w:kern w:val="2"/>
          <w14:ligatures w14:val="standardContextual"/>
        </w:rPr>
        <w:t xml:space="preserve"> also empower courts with jurisdiction to order the production of documents from Children’s Aid Societies.</w:t>
      </w:r>
      <w:r>
        <w:rPr>
          <w:rStyle w:val="EndnoteReference"/>
          <w:rFonts w:ascii="Calibri" w:eastAsia="Calibri" w:hAnsi="Calibri" w:cs="Calibri"/>
          <w:kern w:val="2"/>
          <w14:ligatures w14:val="standardContextual"/>
        </w:rPr>
        <w:endnoteReference w:id="110"/>
      </w:r>
      <w:r>
        <w:rPr>
          <w:rFonts w:ascii="Calibri" w:eastAsia="Calibri" w:hAnsi="Calibri" w:cs="Calibri"/>
          <w:kern w:val="2"/>
          <w14:ligatures w14:val="standardContextual"/>
        </w:rPr>
        <w:t xml:space="preserve"> Court orders made under these provisions </w:t>
      </w:r>
      <w:r w:rsidR="00630390" w:rsidRPr="00AF1F45">
        <w:rPr>
          <w:rFonts w:ascii="Calibri" w:eastAsia="Calibri" w:hAnsi="Calibri" w:cs="Calibri"/>
          <w:kern w:val="2"/>
          <w14:ligatures w14:val="standardContextual"/>
        </w:rPr>
        <w:t>have real and practical effects upon the societies’ operations and resources. Yet despite the direct impact flowing from the decisions of criminal courts, there is no coordinated approach to resourcing, procurement of technology, case management, and tools for records creation and administration.</w:t>
      </w:r>
    </w:p>
    <w:p w14:paraId="1E8D6169" w14:textId="3EAAF691" w:rsidR="00630390" w:rsidRPr="00AF1F45" w:rsidRDefault="0052089B" w:rsidP="00AF1F45">
      <w:pPr>
        <w:spacing w:after="160" w:line="259" w:lineRule="auto"/>
        <w:rPr>
          <w:rFonts w:ascii="Calibri" w:eastAsia="Calibri" w:hAnsi="Calibri" w:cs="Calibri"/>
          <w:kern w:val="2"/>
          <w14:ligatures w14:val="standardContextual"/>
        </w:rPr>
      </w:pPr>
      <w:r>
        <w:rPr>
          <w:rFonts w:ascii="Calibri" w:eastAsia="Calibri" w:hAnsi="Calibri" w:cs="Calibri"/>
          <w:kern w:val="2"/>
          <w14:ligatures w14:val="standardContextual"/>
        </w:rPr>
        <w:t xml:space="preserve">The potential future use of AI systems by Children’s Aid – for example to conduct assessments or predict harms – will </w:t>
      </w:r>
      <w:r w:rsidRPr="00AF1F45">
        <w:rPr>
          <w:rFonts w:ascii="Calibri" w:eastAsia="Calibri" w:hAnsi="Calibri" w:cs="Calibri"/>
          <w:kern w:val="2"/>
          <w14:ligatures w14:val="standardContextual"/>
        </w:rPr>
        <w:t>further exacerbate these challenges</w:t>
      </w:r>
      <w:r>
        <w:rPr>
          <w:rFonts w:ascii="Calibri" w:eastAsia="Calibri" w:hAnsi="Calibri" w:cs="Calibri"/>
          <w:kern w:val="2"/>
          <w14:ligatures w14:val="standardContextual"/>
        </w:rPr>
        <w:t xml:space="preserve">. It suggests a need to consider </w:t>
      </w:r>
      <w:r w:rsidRPr="00AF1F45">
        <w:rPr>
          <w:rFonts w:ascii="Calibri" w:eastAsia="Calibri" w:hAnsi="Calibri" w:cs="Calibri"/>
          <w:kern w:val="2"/>
          <w14:ligatures w14:val="standardContextual"/>
        </w:rPr>
        <w:t xml:space="preserve">enhanced coordination when legislating and making policy choices in relation to </w:t>
      </w:r>
      <w:r>
        <w:rPr>
          <w:rFonts w:ascii="Calibri" w:eastAsia="Calibri" w:hAnsi="Calibri" w:cs="Calibri"/>
          <w:kern w:val="2"/>
          <w14:ligatures w14:val="standardContextual"/>
        </w:rPr>
        <w:t xml:space="preserve">AI, such as consequential amendments to provincial legislation or the </w:t>
      </w:r>
      <w:r w:rsidRPr="0052089B">
        <w:rPr>
          <w:rFonts w:ascii="Calibri" w:eastAsia="Calibri" w:hAnsi="Calibri" w:cs="Calibri"/>
          <w:i/>
          <w:iCs/>
          <w:kern w:val="2"/>
          <w14:ligatures w14:val="standardContextual"/>
        </w:rPr>
        <w:t>Criminal Code</w:t>
      </w:r>
      <w:r w:rsidRPr="00AF1F45">
        <w:rPr>
          <w:rFonts w:ascii="Calibri" w:eastAsia="Calibri" w:hAnsi="Calibri" w:cs="Calibri"/>
          <w:kern w:val="2"/>
          <w14:ligatures w14:val="standardContextual"/>
        </w:rPr>
        <w:t>.</w:t>
      </w:r>
      <w:r>
        <w:rPr>
          <w:rFonts w:ascii="Calibri" w:eastAsia="Calibri" w:hAnsi="Calibri" w:cs="Calibri"/>
          <w:kern w:val="2"/>
          <w14:ligatures w14:val="standardContextual"/>
        </w:rPr>
        <w:t xml:space="preserve"> </w:t>
      </w:r>
      <w:r w:rsidR="00630390" w:rsidRPr="00AF1F45">
        <w:rPr>
          <w:rFonts w:ascii="Calibri" w:eastAsia="Calibri" w:hAnsi="Calibri" w:cs="Calibri"/>
          <w:kern w:val="2"/>
          <w14:ligatures w14:val="standardContextual"/>
        </w:rPr>
        <w:t>Th</w:t>
      </w:r>
      <w:r>
        <w:rPr>
          <w:rFonts w:ascii="Calibri" w:eastAsia="Calibri" w:hAnsi="Calibri" w:cs="Calibri"/>
          <w:kern w:val="2"/>
          <w14:ligatures w14:val="standardContextual"/>
        </w:rPr>
        <w:t>e</w:t>
      </w:r>
      <w:r w:rsidR="00630390" w:rsidRPr="00AF1F45">
        <w:rPr>
          <w:rFonts w:ascii="Calibri" w:eastAsia="Calibri" w:hAnsi="Calibri" w:cs="Calibri"/>
          <w:kern w:val="2"/>
          <w14:ligatures w14:val="standardContextual"/>
        </w:rPr>
        <w:t xml:space="preserve"> lack of coordination arrests efficiencies, squanders resources, and negatively impacts the experiences of those served by the child protection and criminal justice system.</w:t>
      </w:r>
    </w:p>
    <w:p w14:paraId="6CFAFA1E" w14:textId="77777777" w:rsidR="00630390" w:rsidRPr="00AF1F45" w:rsidRDefault="00630390" w:rsidP="00B8130F">
      <w:pPr>
        <w:spacing w:after="160" w:line="259" w:lineRule="auto"/>
        <w:rPr>
          <w:rFonts w:ascii="Calibri" w:eastAsia="Calibri" w:hAnsi="Calibri" w:cs="Calibri"/>
          <w:b/>
          <w:bCs/>
          <w:kern w:val="2"/>
          <w14:ligatures w14:val="standardContextual"/>
        </w:rPr>
      </w:pPr>
      <w:r w:rsidRPr="00AF1F45">
        <w:rPr>
          <w:rFonts w:ascii="Calibri" w:eastAsia="Calibri" w:hAnsi="Calibri" w:cs="Calibri"/>
          <w:b/>
          <w:bCs/>
          <w:kern w:val="2"/>
          <w14:ligatures w14:val="standardContextual"/>
        </w:rPr>
        <w:t>Community Programs</w:t>
      </w:r>
    </w:p>
    <w:p w14:paraId="735A3779" w14:textId="7114B33A" w:rsidR="00630390" w:rsidRPr="00AF1F45" w:rsidRDefault="00630390" w:rsidP="00AF1F45">
      <w:pPr>
        <w:spacing w:after="160" w:line="259" w:lineRule="auto"/>
        <w:rPr>
          <w:rFonts w:ascii="Calibri" w:eastAsia="Calibri" w:hAnsi="Calibri" w:cs="Calibri"/>
          <w:kern w:val="2"/>
          <w14:ligatures w14:val="standardContextual"/>
        </w:rPr>
      </w:pPr>
      <w:r w:rsidRPr="00AF1F45">
        <w:rPr>
          <w:rFonts w:ascii="Calibri" w:eastAsia="Calibri" w:hAnsi="Calibri" w:cs="Calibri"/>
          <w:kern w:val="2"/>
          <w14:ligatures w14:val="standardContextual"/>
        </w:rPr>
        <w:t xml:space="preserve">There are many community programs delivering services to participants in the criminal justice system. Those services range from anger management, intimate partner violence, substance abuse and grief counselling, to vocational training, interpretation services, </w:t>
      </w:r>
      <w:r w:rsidR="00CB260F">
        <w:rPr>
          <w:rFonts w:ascii="Calibri" w:eastAsia="Calibri" w:hAnsi="Calibri" w:cs="Calibri"/>
          <w:kern w:val="2"/>
          <w14:ligatures w14:val="standardContextual"/>
        </w:rPr>
        <w:t xml:space="preserve">and </w:t>
      </w:r>
      <w:r w:rsidRPr="00AF1F45">
        <w:rPr>
          <w:rFonts w:ascii="Calibri" w:eastAsia="Calibri" w:hAnsi="Calibri" w:cs="Calibri"/>
          <w:kern w:val="2"/>
          <w14:ligatures w14:val="standardContextual"/>
        </w:rPr>
        <w:t xml:space="preserve">programs </w:t>
      </w:r>
      <w:r w:rsidR="00CB260F">
        <w:rPr>
          <w:rFonts w:ascii="Calibri" w:eastAsia="Calibri" w:hAnsi="Calibri" w:cs="Calibri"/>
          <w:kern w:val="2"/>
          <w14:ligatures w14:val="standardContextual"/>
        </w:rPr>
        <w:t>for</w:t>
      </w:r>
      <w:r w:rsidRPr="00AF1F45">
        <w:rPr>
          <w:rFonts w:ascii="Calibri" w:eastAsia="Calibri" w:hAnsi="Calibri" w:cs="Calibri"/>
          <w:kern w:val="2"/>
          <w14:ligatures w14:val="standardContextual"/>
        </w:rPr>
        <w:t xml:space="preserve"> </w:t>
      </w:r>
      <w:r w:rsidR="00CB260F">
        <w:rPr>
          <w:rFonts w:ascii="Calibri" w:eastAsia="Calibri" w:hAnsi="Calibri" w:cs="Calibri"/>
          <w:kern w:val="2"/>
          <w14:ligatures w14:val="standardContextual"/>
        </w:rPr>
        <w:t>I</w:t>
      </w:r>
      <w:r w:rsidRPr="00AF1F45">
        <w:rPr>
          <w:rFonts w:ascii="Calibri" w:eastAsia="Calibri" w:hAnsi="Calibri" w:cs="Calibri"/>
          <w:kern w:val="2"/>
          <w14:ligatures w14:val="standardContextual"/>
        </w:rPr>
        <w:t>ndigenous people</w:t>
      </w:r>
      <w:r w:rsidR="00CB260F">
        <w:rPr>
          <w:rFonts w:ascii="Calibri" w:eastAsia="Calibri" w:hAnsi="Calibri" w:cs="Calibri"/>
          <w:kern w:val="2"/>
          <w14:ligatures w14:val="standardContextual"/>
        </w:rPr>
        <w:t>.</w:t>
      </w:r>
      <w:r w:rsidRPr="00AF1F45">
        <w:rPr>
          <w:rFonts w:ascii="Calibri" w:eastAsia="Calibri" w:hAnsi="Calibri" w:cs="Calibri"/>
          <w:kern w:val="2"/>
          <w14:ligatures w14:val="standardContextual"/>
        </w:rPr>
        <w:t xml:space="preserve"> </w:t>
      </w:r>
      <w:r w:rsidR="00CB260F">
        <w:rPr>
          <w:rFonts w:ascii="Calibri" w:eastAsia="Calibri" w:hAnsi="Calibri" w:cs="Calibri"/>
          <w:kern w:val="2"/>
          <w14:ligatures w14:val="standardContextual"/>
        </w:rPr>
        <w:t>The standards and practices of such programs are often driven by the needs of the criminal court</w:t>
      </w:r>
      <w:r w:rsidRPr="00AF1F45">
        <w:rPr>
          <w:rFonts w:ascii="Calibri" w:eastAsia="Calibri" w:hAnsi="Calibri" w:cs="Calibri"/>
          <w:kern w:val="2"/>
          <w14:ligatures w14:val="standardContextual"/>
        </w:rPr>
        <w:t>.</w:t>
      </w:r>
    </w:p>
    <w:p w14:paraId="670F106B" w14:textId="17B41075" w:rsidR="00630390" w:rsidRPr="00AF1F45" w:rsidRDefault="00CB260F" w:rsidP="00AF1F45">
      <w:pPr>
        <w:spacing w:after="160" w:line="259" w:lineRule="auto"/>
        <w:rPr>
          <w:rFonts w:ascii="Calibri" w:eastAsia="Calibri" w:hAnsi="Calibri" w:cs="Times New Roman"/>
          <w:kern w:val="2"/>
          <w14:ligatures w14:val="standardContextual"/>
        </w:rPr>
      </w:pPr>
      <w:r>
        <w:rPr>
          <w:rFonts w:ascii="Calibri" w:eastAsia="Calibri" w:hAnsi="Calibri" w:cs="Times New Roman"/>
          <w:kern w:val="2"/>
          <w14:ligatures w14:val="standardContextual"/>
        </w:rPr>
        <w:lastRenderedPageBreak/>
        <w:t>AI</w:t>
      </w:r>
      <w:r w:rsidR="00630390" w:rsidRPr="00AF1F45">
        <w:rPr>
          <w:rFonts w:ascii="Calibri" w:eastAsia="Calibri" w:hAnsi="Calibri" w:cs="Times New Roman"/>
          <w:kern w:val="2"/>
          <w14:ligatures w14:val="standardContextual"/>
        </w:rPr>
        <w:t xml:space="preserve"> is poised to insert itself into the </w:t>
      </w:r>
      <w:r>
        <w:rPr>
          <w:rFonts w:ascii="Calibri" w:eastAsia="Calibri" w:hAnsi="Calibri" w:cs="Times New Roman"/>
          <w:kern w:val="2"/>
          <w14:ligatures w14:val="standardContextual"/>
        </w:rPr>
        <w:t>delivery of these kinds of services and programs. It stands to reason that criminal courts will continue to exercise significant influence over these programs and thus will play a role in setting standards if not regulating any such uses of AI. However, the concerns with AI are manifold, and criminal courts operate independent at the local level. This suggests a patchwork approach that may create different standards and practices around the province.</w:t>
      </w:r>
      <w:r w:rsidR="00630390" w:rsidRPr="00AF1F45">
        <w:rPr>
          <w:rFonts w:ascii="Calibri" w:eastAsia="Calibri" w:hAnsi="Calibri" w:cs="Times New Roman"/>
          <w:kern w:val="2"/>
          <w14:ligatures w14:val="standardContextual"/>
        </w:rPr>
        <w:t xml:space="preserve"> </w:t>
      </w:r>
    </w:p>
    <w:p w14:paraId="3D114586" w14:textId="550A331E" w:rsidR="00630390" w:rsidRPr="00AF1F45" w:rsidRDefault="00630390" w:rsidP="00AF1F45">
      <w:pPr>
        <w:spacing w:after="160" w:line="259" w:lineRule="auto"/>
        <w:rPr>
          <w:rFonts w:ascii="Calibri" w:eastAsia="Calibri" w:hAnsi="Calibri" w:cs="Times New Roman"/>
          <w:kern w:val="2"/>
          <w14:ligatures w14:val="standardContextual"/>
        </w:rPr>
      </w:pPr>
      <w:r w:rsidRPr="00AF1F45">
        <w:rPr>
          <w:rFonts w:ascii="Calibri" w:eastAsia="Calibri" w:hAnsi="Calibri" w:cs="Times New Roman"/>
          <w:kern w:val="2"/>
          <w14:ligatures w14:val="standardContextual"/>
        </w:rPr>
        <w:t>AI’s potential to erode established standards is foreseeable. Also foreseeable is the need to develop a clear, coordinated, and cogent legislative and policy framework governing AI use across the criminal justice system and the institutions over which criminal courts exercise indirect jurisdiction.</w:t>
      </w:r>
    </w:p>
    <w:p w14:paraId="2A7D6381" w14:textId="77777777" w:rsidR="00630390" w:rsidRPr="00C55DD9" w:rsidRDefault="00630390" w:rsidP="00C55DD9"/>
    <w:p w14:paraId="5BD73EBE" w14:textId="7B726708" w:rsidR="00630390" w:rsidRDefault="00630390" w:rsidP="00B8130F">
      <w:pPr>
        <w:pStyle w:val="Heading3"/>
        <w:numPr>
          <w:ilvl w:val="2"/>
          <w:numId w:val="16"/>
        </w:numPr>
      </w:pPr>
      <w:bookmarkStart w:id="32" w:name="_Toc195597985"/>
      <w:r w:rsidRPr="00B8130F">
        <w:t xml:space="preserve">Criminal </w:t>
      </w:r>
      <w:r w:rsidR="00085B1E" w:rsidRPr="00B8130F">
        <w:t>Courts Rely On – But May Challenge – The Internal Practices, Policies, And Standards of Justice-Involved Institutions</w:t>
      </w:r>
      <w:bookmarkEnd w:id="32"/>
    </w:p>
    <w:p w14:paraId="5B854167" w14:textId="77777777" w:rsidR="00630390" w:rsidRDefault="00630390" w:rsidP="00B8130F"/>
    <w:p w14:paraId="3D7E902C" w14:textId="425EBEF1" w:rsidR="0025092B" w:rsidRDefault="00630390" w:rsidP="00B8130F">
      <w:pPr>
        <w:spacing w:after="160" w:line="259" w:lineRule="auto"/>
        <w:rPr>
          <w:rFonts w:ascii="Calibri" w:eastAsia="Calibri" w:hAnsi="Calibri" w:cs="Calibri"/>
          <w:kern w:val="2"/>
          <w14:ligatures w14:val="standardContextual"/>
        </w:rPr>
      </w:pPr>
      <w:r w:rsidRPr="00B8130F">
        <w:rPr>
          <w:rFonts w:ascii="Calibri" w:eastAsia="Calibri" w:hAnsi="Calibri" w:cs="Calibri"/>
          <w:kern w:val="2"/>
          <w14:ligatures w14:val="standardContextual"/>
        </w:rPr>
        <w:t>Criminal courts rely on, but may challenge, the internal practices, policies, and standards of justice-involved institutions.  This occurs in a variety of contexts with diverse outcomes and consequences for the institutions’ practices, policies and standards as well as the criminal trial and appeal process and the remedies available to the accused and other parties.</w:t>
      </w:r>
      <w:r w:rsidR="003243E6">
        <w:rPr>
          <w:rFonts w:ascii="Calibri" w:eastAsia="Calibri" w:hAnsi="Calibri" w:cs="Calibri"/>
          <w:kern w:val="2"/>
          <w14:ligatures w14:val="standardContextual"/>
        </w:rPr>
        <w:t xml:space="preserve"> </w:t>
      </w:r>
      <w:r w:rsidR="003243E6" w:rsidRPr="00B8130F">
        <w:rPr>
          <w:rFonts w:ascii="Calibri" w:eastAsia="Calibri" w:hAnsi="Calibri" w:cs="Calibri"/>
          <w14:ligatures w14:val="standardContextual"/>
        </w:rPr>
        <w:t>It is submitted that, although somewhat dated and involving relatively modest technology by AI standards, this line of cases provides insight into the ways in which artificial intelligence may be treated during the criminal trial and appellate process.</w:t>
      </w:r>
    </w:p>
    <w:p w14:paraId="69E45E76" w14:textId="33A5C683" w:rsidR="00630390" w:rsidRPr="00B8130F" w:rsidRDefault="0025092B" w:rsidP="00B8130F">
      <w:pPr>
        <w:autoSpaceDE w:val="0"/>
        <w:autoSpaceDN w:val="0"/>
        <w:adjustRightInd w:val="0"/>
        <w:rPr>
          <w:rFonts w:ascii="Calibri" w:eastAsia="Calibri" w:hAnsi="Calibri" w:cs="Calibri"/>
          <w14:ligatures w14:val="standardContextual"/>
        </w:rPr>
      </w:pPr>
      <w:r>
        <w:rPr>
          <w:rFonts w:ascii="Calibri" w:eastAsia="Calibri" w:hAnsi="Calibri" w:cs="Calibri"/>
          <w:kern w:val="2"/>
          <w14:ligatures w14:val="standardContextual"/>
        </w:rPr>
        <w:t xml:space="preserve">The first line of cases considered </w:t>
      </w:r>
      <w:r w:rsidRPr="00B8130F">
        <w:rPr>
          <w:rFonts w:ascii="Calibri" w:eastAsia="Calibri" w:hAnsi="Calibri" w:cs="Calibri"/>
          <w:kern w:val="2"/>
          <w14:ligatures w14:val="standardContextual"/>
        </w:rPr>
        <w:t>the issue of prisoner transport</w:t>
      </w:r>
      <w:r>
        <w:rPr>
          <w:rFonts w:ascii="Calibri" w:eastAsia="Calibri" w:hAnsi="Calibri" w:cs="Calibri"/>
          <w:kern w:val="2"/>
          <w14:ligatures w14:val="standardContextual"/>
        </w:rPr>
        <w:t xml:space="preserve">, </w:t>
      </w:r>
      <w:r w:rsidRPr="00B8130F">
        <w:rPr>
          <w:rFonts w:ascii="Calibri" w:eastAsia="Calibri" w:hAnsi="Calibri" w:cs="Calibri"/>
          <w:kern w:val="2"/>
          <w14:ligatures w14:val="standardContextual"/>
        </w:rPr>
        <w:t xml:space="preserve">the incumbent delays and interruptions </w:t>
      </w:r>
      <w:r>
        <w:rPr>
          <w:rFonts w:ascii="Calibri" w:eastAsia="Calibri" w:hAnsi="Calibri" w:cs="Calibri"/>
          <w:kern w:val="2"/>
          <w14:ligatures w14:val="standardContextual"/>
        </w:rPr>
        <w:t>this caused for the</w:t>
      </w:r>
      <w:r w:rsidRPr="00B8130F">
        <w:rPr>
          <w:rFonts w:ascii="Calibri" w:eastAsia="Calibri" w:hAnsi="Calibri" w:cs="Calibri"/>
          <w:kern w:val="2"/>
          <w14:ligatures w14:val="standardContextual"/>
        </w:rPr>
        <w:t xml:space="preserve"> criminal courts</w:t>
      </w:r>
      <w:r>
        <w:rPr>
          <w:rFonts w:ascii="Calibri" w:eastAsia="Calibri" w:hAnsi="Calibri" w:cs="Calibri"/>
          <w:kern w:val="2"/>
          <w14:ligatures w14:val="standardContextual"/>
        </w:rPr>
        <w:t>, and the need for courts to exercise jurisdiction over these procedures.</w:t>
      </w:r>
      <w:r w:rsidR="00630390" w:rsidRPr="00B8130F">
        <w:rPr>
          <w:rFonts w:ascii="Calibri" w:eastAsia="Calibri" w:hAnsi="Calibri" w:cs="Calibri"/>
          <w:kern w:val="2"/>
          <w:vertAlign w:val="superscript"/>
          <w14:ligatures w14:val="standardContextual"/>
        </w:rPr>
        <w:endnoteReference w:id="111"/>
      </w:r>
      <w:r w:rsidR="00630390" w:rsidRPr="00B8130F">
        <w:rPr>
          <w:rFonts w:ascii="Calibri" w:eastAsia="Calibri" w:hAnsi="Calibri" w:cs="Calibri"/>
          <w:kern w:val="2"/>
          <w14:ligatures w14:val="standardContextual"/>
        </w:rPr>
        <w:t xml:space="preserve"> </w:t>
      </w:r>
      <w:r>
        <w:rPr>
          <w:rFonts w:ascii="Calibri" w:eastAsia="Calibri" w:hAnsi="Calibri" w:cs="Calibri"/>
          <w:kern w:val="2"/>
          <w14:ligatures w14:val="standardContextual"/>
        </w:rPr>
        <w:t xml:space="preserve">In some cases, this resulted in </w:t>
      </w:r>
      <w:r w:rsidR="00630390" w:rsidRPr="00B8130F">
        <w:rPr>
          <w:rFonts w:ascii="Calibri" w:eastAsia="Calibri" w:hAnsi="Calibri" w:cs="Calibri"/>
          <w:kern w:val="2"/>
          <w14:ligatures w14:val="standardContextual"/>
        </w:rPr>
        <w:t xml:space="preserve">significant backlogs and ultimately citations for contempt of court for the </w:t>
      </w:r>
      <w:r>
        <w:rPr>
          <w:rFonts w:ascii="Calibri" w:eastAsia="Calibri" w:hAnsi="Calibri" w:cs="Calibri"/>
          <w:kern w:val="2"/>
          <w14:ligatures w14:val="standardContextual"/>
        </w:rPr>
        <w:t>p</w:t>
      </w:r>
      <w:r w:rsidR="00630390" w:rsidRPr="00B8130F">
        <w:rPr>
          <w:rFonts w:ascii="Calibri" w:eastAsia="Calibri" w:hAnsi="Calibri" w:cs="Calibri"/>
          <w:kern w:val="2"/>
          <w14:ligatures w14:val="standardContextual"/>
        </w:rPr>
        <w:t xml:space="preserve">olice </w:t>
      </w:r>
      <w:r>
        <w:rPr>
          <w:rFonts w:ascii="Calibri" w:eastAsia="Calibri" w:hAnsi="Calibri" w:cs="Calibri"/>
          <w:kern w:val="2"/>
          <w14:ligatures w14:val="standardContextual"/>
        </w:rPr>
        <w:t>s</w:t>
      </w:r>
      <w:r w:rsidR="00630390" w:rsidRPr="00B8130F">
        <w:rPr>
          <w:rFonts w:ascii="Calibri" w:eastAsia="Calibri" w:hAnsi="Calibri" w:cs="Calibri"/>
          <w:kern w:val="2"/>
          <w14:ligatures w14:val="standardContextual"/>
        </w:rPr>
        <w:t xml:space="preserve">ervice and its then Chief. </w:t>
      </w:r>
      <w:r>
        <w:rPr>
          <w:rFonts w:ascii="Calibri" w:eastAsia="Calibri" w:hAnsi="Calibri" w:cs="Calibri"/>
          <w:kern w:val="2"/>
          <w14:ligatures w14:val="standardContextual"/>
        </w:rPr>
        <w:t>I</w:t>
      </w:r>
      <w:r w:rsidR="00630390" w:rsidRPr="00B8130F">
        <w:rPr>
          <w:rFonts w:ascii="Calibri" w:eastAsia="Calibri" w:hAnsi="Calibri" w:cs="Calibri"/>
          <w:kern w:val="2"/>
          <w14:ligatures w14:val="standardContextual"/>
        </w:rPr>
        <w:t xml:space="preserve">mmediately upon being cited the police service hired additional staff and implemented a plan to avoid future delays. </w:t>
      </w:r>
      <w:r>
        <w:rPr>
          <w:rFonts w:ascii="Calibri" w:eastAsia="Calibri" w:hAnsi="Calibri" w:cs="Calibri"/>
          <w:kern w:val="2"/>
          <w14:ligatures w14:val="standardContextual"/>
        </w:rPr>
        <w:t xml:space="preserve">A further case determined that </w:t>
      </w:r>
      <w:r w:rsidR="00630390" w:rsidRPr="00B8130F">
        <w:rPr>
          <w:rFonts w:ascii="Calibri" w:eastAsia="Calibri" w:hAnsi="Calibri" w:cs="Calibri"/>
          <w:kern w:val="2"/>
          <w14:ligatures w14:val="standardContextual"/>
        </w:rPr>
        <w:t xml:space="preserve">labour issues and a work slow down by correctional officers delayed the departure of prisoner vans from the jail to the courts. </w:t>
      </w:r>
      <w:r>
        <w:rPr>
          <w:rFonts w:ascii="Calibri" w:eastAsia="Calibri" w:hAnsi="Calibri" w:cs="Calibri"/>
          <w:kern w:val="2"/>
          <w14:ligatures w14:val="standardContextual"/>
        </w:rPr>
        <w:t>This triggered a</w:t>
      </w:r>
      <w:r w:rsidR="00630390" w:rsidRPr="00B8130F">
        <w:rPr>
          <w:rFonts w:ascii="Calibri" w:eastAsia="Calibri" w:hAnsi="Calibri" w:cs="Calibri"/>
          <w:kern w:val="2"/>
          <w14:ligatures w14:val="standardContextual"/>
        </w:rPr>
        <w:t xml:space="preserve"> </w:t>
      </w:r>
      <w:r w:rsidR="00630390" w:rsidRPr="0025092B">
        <w:rPr>
          <w:rFonts w:ascii="Calibri" w:eastAsia="Calibri" w:hAnsi="Calibri" w:cs="Calibri"/>
          <w:kern w:val="2"/>
          <w14:ligatures w14:val="standardContextual"/>
        </w:rPr>
        <w:t>“constitutional crisis”</w:t>
      </w:r>
      <w:r w:rsidR="00630390" w:rsidRPr="00B8130F">
        <w:rPr>
          <w:rFonts w:ascii="Calibri" w:eastAsia="Calibri" w:hAnsi="Calibri" w:cs="Calibri"/>
          <w:kern w:val="2"/>
          <w14:ligatures w14:val="standardContextual"/>
        </w:rPr>
        <w:t xml:space="preserve"> as the delayed transport subsequently </w:t>
      </w:r>
      <w:r>
        <w:rPr>
          <w:rFonts w:ascii="Calibri" w:eastAsia="Calibri" w:hAnsi="Calibri" w:cs="Calibri"/>
          <w:kern w:val="2"/>
          <w14:ligatures w14:val="standardContextual"/>
        </w:rPr>
        <w:t>delayed</w:t>
      </w:r>
      <w:r w:rsidR="00630390" w:rsidRPr="00B8130F">
        <w:rPr>
          <w:rFonts w:ascii="Calibri" w:eastAsia="Calibri" w:hAnsi="Calibri" w:cs="Calibri"/>
          <w:kern w:val="2"/>
          <w14:ligatures w14:val="standardContextual"/>
        </w:rPr>
        <w:t xml:space="preserve"> criminal proceedings. The situation was found to be </w:t>
      </w:r>
      <w:r w:rsidR="00630390" w:rsidRPr="0025092B">
        <w:rPr>
          <w:rFonts w:ascii="Calibri" w:eastAsia="Calibri" w:hAnsi="Calibri" w:cs="Calibri"/>
          <w:kern w:val="2"/>
          <w14:ligatures w14:val="standardContextual"/>
        </w:rPr>
        <w:t>“</w:t>
      </w:r>
      <w:r w:rsidR="00630390" w:rsidRPr="0025092B">
        <w:rPr>
          <w:rFonts w:ascii="Calibri" w:eastAsia="Calibri" w:hAnsi="Calibri" w:cs="Calibri"/>
          <w14:ligatures w14:val="standardContextual"/>
        </w:rPr>
        <w:t>a serious affront to the rule of law and a breach of the s. 7 Charter right of the in-custody accused, persons awaiting trial who are presumptively innocent, to unfettered access to the courts.”</w:t>
      </w:r>
      <w:r w:rsidR="00630390" w:rsidRPr="0025092B">
        <w:rPr>
          <w:rFonts w:ascii="Calibri" w:eastAsia="Calibri" w:hAnsi="Calibri" w:cs="Calibri"/>
          <w:vertAlign w:val="superscript"/>
          <w14:ligatures w14:val="standardContextual"/>
        </w:rPr>
        <w:endnoteReference w:id="112"/>
      </w:r>
      <w:r w:rsidR="00630390" w:rsidRPr="0025092B">
        <w:rPr>
          <w:rFonts w:ascii="Calibri" w:eastAsia="Calibri" w:hAnsi="Calibri" w:cs="Calibri"/>
          <w14:ligatures w14:val="standardContextual"/>
        </w:rPr>
        <w:t xml:space="preserve"> </w:t>
      </w:r>
      <w:r w:rsidR="00630390" w:rsidRPr="0025092B">
        <w:rPr>
          <w:rFonts w:ascii="Calibri" w:eastAsia="Calibri" w:hAnsi="Calibri" w:cs="Calibri"/>
          <w:kern w:val="2"/>
          <w14:ligatures w14:val="standardContextual"/>
        </w:rPr>
        <w:t xml:space="preserve">The superior courts’ inherent jurisdiction was invoked to </w:t>
      </w:r>
      <w:r w:rsidRPr="0025092B">
        <w:rPr>
          <w:rFonts w:ascii="Calibri" w:eastAsia="Calibri" w:hAnsi="Calibri" w:cs="Calibri"/>
          <w:kern w:val="2"/>
          <w14:ligatures w14:val="standardContextual"/>
        </w:rPr>
        <w:t>“</w:t>
      </w:r>
      <w:r w:rsidR="00630390" w:rsidRPr="0025092B">
        <w:rPr>
          <w:rFonts w:ascii="Calibri" w:eastAsia="Calibri" w:hAnsi="Calibri" w:cs="Calibri"/>
          <w14:ligatures w14:val="standardContextual"/>
        </w:rPr>
        <w:t>to defend their own authority’ including prevention of conduct ‘which restricts access to the courts.</w:t>
      </w:r>
      <w:r w:rsidRPr="0025092B">
        <w:rPr>
          <w:rFonts w:ascii="Calibri" w:eastAsia="Calibri" w:hAnsi="Calibri" w:cs="Calibri"/>
          <w14:ligatures w14:val="standardContextual"/>
        </w:rPr>
        <w:t>”</w:t>
      </w:r>
      <w:r w:rsidR="00630390" w:rsidRPr="00B8130F">
        <w:rPr>
          <w:rFonts w:ascii="Calibri" w:eastAsia="Calibri" w:hAnsi="Calibri" w:cs="Calibri"/>
          <w:vertAlign w:val="superscript"/>
          <w14:ligatures w14:val="standardContextual"/>
        </w:rPr>
        <w:endnoteReference w:id="113"/>
      </w:r>
    </w:p>
    <w:p w14:paraId="7908BDC3" w14:textId="77777777" w:rsidR="00630390" w:rsidRPr="00B8130F" w:rsidRDefault="00630390" w:rsidP="00B8130F">
      <w:pPr>
        <w:autoSpaceDE w:val="0"/>
        <w:autoSpaceDN w:val="0"/>
        <w:adjustRightInd w:val="0"/>
        <w:rPr>
          <w:rFonts w:ascii="Calibri" w:eastAsia="Calibri" w:hAnsi="Calibri" w:cs="Calibri"/>
          <w:kern w:val="2"/>
          <w14:ligatures w14:val="standardContextual"/>
        </w:rPr>
      </w:pPr>
    </w:p>
    <w:p w14:paraId="59E5BC1F" w14:textId="77777777" w:rsidR="003243E6" w:rsidRDefault="0025092B" w:rsidP="00B8130F">
      <w:pPr>
        <w:autoSpaceDE w:val="0"/>
        <w:autoSpaceDN w:val="0"/>
        <w:adjustRightInd w:val="0"/>
        <w:rPr>
          <w:rFonts w:ascii="Calibri" w:eastAsia="Calibri" w:hAnsi="Calibri" w:cs="Calibri"/>
          <w:kern w:val="2"/>
          <w14:ligatures w14:val="standardContextual"/>
        </w:rPr>
      </w:pPr>
      <w:r>
        <w:rPr>
          <w:rFonts w:ascii="Calibri" w:eastAsia="Calibri" w:hAnsi="Calibri" w:cs="Calibri"/>
          <w:kern w:val="2"/>
          <w14:ligatures w14:val="standardContextual"/>
        </w:rPr>
        <w:t xml:space="preserve">A second line of cases saw courts intervene into the </w:t>
      </w:r>
      <w:r w:rsidRPr="00B8130F">
        <w:rPr>
          <w:rFonts w:ascii="Calibri" w:eastAsia="Calibri" w:hAnsi="Calibri" w:cs="Calibri"/>
          <w:kern w:val="2"/>
          <w14:ligatures w14:val="standardContextual"/>
        </w:rPr>
        <w:t>sufficiency of transcripts</w:t>
      </w:r>
      <w:r>
        <w:rPr>
          <w:rFonts w:ascii="Calibri" w:eastAsia="Calibri" w:hAnsi="Calibri" w:cs="Calibri"/>
          <w:kern w:val="2"/>
          <w14:ligatures w14:val="standardContextual"/>
        </w:rPr>
        <w:t>.</w:t>
      </w:r>
      <w:r w:rsidR="00630390" w:rsidRPr="00B8130F">
        <w:rPr>
          <w:rFonts w:ascii="Calibri" w:eastAsia="Calibri" w:hAnsi="Calibri" w:cs="Calibri"/>
          <w:kern w:val="2"/>
          <w:vertAlign w:val="superscript"/>
          <w14:ligatures w14:val="standardContextual"/>
        </w:rPr>
        <w:endnoteReference w:id="114"/>
      </w:r>
      <w:r w:rsidR="00630390" w:rsidRPr="00B8130F">
        <w:rPr>
          <w:rFonts w:ascii="Calibri" w:eastAsia="Calibri" w:hAnsi="Calibri" w:cs="Calibri"/>
          <w:kern w:val="2"/>
          <w14:ligatures w14:val="standardContextual"/>
        </w:rPr>
        <w:t xml:space="preserve"> </w:t>
      </w:r>
      <w:r w:rsidR="003243E6">
        <w:rPr>
          <w:rFonts w:ascii="Calibri" w:eastAsia="Calibri" w:hAnsi="Calibri" w:cs="Calibri"/>
          <w:kern w:val="2"/>
          <w14:ligatures w14:val="standardContextual"/>
        </w:rPr>
        <w:t>In the first instance, t</w:t>
      </w:r>
      <w:r>
        <w:rPr>
          <w:rFonts w:ascii="Calibri" w:eastAsia="Calibri" w:hAnsi="Calibri" w:cs="Calibri"/>
          <w:kern w:val="2"/>
          <w14:ligatures w14:val="standardContextual"/>
        </w:rPr>
        <w:t xml:space="preserve">ranscripts related to impaired driving </w:t>
      </w:r>
      <w:r w:rsidR="00630390" w:rsidRPr="00B8130F">
        <w:rPr>
          <w:rFonts w:ascii="Calibri" w:eastAsia="Calibri" w:hAnsi="Calibri" w:cs="Calibri"/>
          <w:kern w:val="2"/>
          <w14:ligatures w14:val="standardContextual"/>
        </w:rPr>
        <w:t xml:space="preserve">were found to be deficient </w:t>
      </w:r>
      <w:r>
        <w:rPr>
          <w:rFonts w:ascii="Calibri" w:eastAsia="Calibri" w:hAnsi="Calibri" w:cs="Calibri"/>
          <w:kern w:val="2"/>
          <w14:ligatures w14:val="standardContextual"/>
        </w:rPr>
        <w:t>and inadequate as a r</w:t>
      </w:r>
      <w:r w:rsidR="00630390" w:rsidRPr="00B8130F">
        <w:rPr>
          <w:rFonts w:ascii="Calibri" w:eastAsia="Calibri" w:hAnsi="Calibri" w:cs="Calibri"/>
          <w:kern w:val="2"/>
          <w14:ligatures w14:val="standardContextual"/>
        </w:rPr>
        <w:t xml:space="preserve">ecord of what transpired in the court below. </w:t>
      </w:r>
      <w:r w:rsidR="003243E6">
        <w:rPr>
          <w:rFonts w:ascii="Calibri" w:eastAsia="Calibri" w:hAnsi="Calibri" w:cs="Calibri"/>
          <w:kern w:val="2"/>
          <w14:ligatures w14:val="standardContextual"/>
        </w:rPr>
        <w:t>T</w:t>
      </w:r>
      <w:r>
        <w:rPr>
          <w:rFonts w:ascii="Calibri" w:eastAsia="Calibri" w:hAnsi="Calibri" w:cs="Calibri"/>
          <w:kern w:val="2"/>
          <w14:ligatures w14:val="standardContextual"/>
        </w:rPr>
        <w:t>he</w:t>
      </w:r>
      <w:r w:rsidR="00630390" w:rsidRPr="00B8130F">
        <w:rPr>
          <w:rFonts w:ascii="Calibri" w:eastAsia="Calibri" w:hAnsi="Calibri" w:cs="Calibri"/>
          <w:kern w:val="2"/>
          <w14:ligatures w14:val="standardContextual"/>
        </w:rPr>
        <w:t xml:space="preserve"> court </w:t>
      </w:r>
      <w:r w:rsidR="003243E6">
        <w:rPr>
          <w:rFonts w:ascii="Calibri" w:eastAsia="Calibri" w:hAnsi="Calibri" w:cs="Calibri"/>
          <w:kern w:val="2"/>
          <w14:ligatures w14:val="standardContextual"/>
        </w:rPr>
        <w:t xml:space="preserve">accordingly </w:t>
      </w:r>
      <w:r w:rsidR="00630390" w:rsidRPr="00B8130F">
        <w:rPr>
          <w:rFonts w:ascii="Calibri" w:eastAsia="Calibri" w:hAnsi="Calibri" w:cs="Calibri"/>
          <w:kern w:val="2"/>
          <w14:ligatures w14:val="standardContextual"/>
        </w:rPr>
        <w:t>ordered the Attorney General to provide a new transcript and directed that the appeal be listed for a hearing within 30 days.</w:t>
      </w:r>
    </w:p>
    <w:p w14:paraId="7E305917" w14:textId="77777777" w:rsidR="003243E6" w:rsidRDefault="003243E6" w:rsidP="00B8130F">
      <w:pPr>
        <w:autoSpaceDE w:val="0"/>
        <w:autoSpaceDN w:val="0"/>
        <w:adjustRightInd w:val="0"/>
        <w:rPr>
          <w:rFonts w:ascii="Calibri" w:eastAsia="Calibri" w:hAnsi="Calibri" w:cs="Calibri"/>
          <w:kern w:val="2"/>
          <w14:ligatures w14:val="standardContextual"/>
        </w:rPr>
      </w:pPr>
    </w:p>
    <w:p w14:paraId="4351FB2E" w14:textId="77777777" w:rsidR="003243E6" w:rsidRDefault="0025092B" w:rsidP="00B8130F">
      <w:pPr>
        <w:autoSpaceDE w:val="0"/>
        <w:autoSpaceDN w:val="0"/>
        <w:adjustRightInd w:val="0"/>
        <w:rPr>
          <w:rFonts w:ascii="Calibri" w:eastAsia="Calibri" w:hAnsi="Calibri" w:cs="Calibri"/>
          <w:kern w:val="2"/>
          <w14:ligatures w14:val="standardContextual"/>
        </w:rPr>
      </w:pPr>
      <w:r>
        <w:rPr>
          <w:rFonts w:ascii="Calibri" w:eastAsia="Calibri" w:hAnsi="Calibri" w:cs="Calibri"/>
          <w:kern w:val="2"/>
          <w14:ligatures w14:val="standardContextual"/>
        </w:rPr>
        <w:t>In another case, a discrepancy was found between an audio recording of a bail hearing and the transcript produced by the prosecution.</w:t>
      </w:r>
      <w:r w:rsidRPr="00B8130F">
        <w:rPr>
          <w:rFonts w:ascii="Calibri" w:eastAsia="Calibri" w:hAnsi="Calibri" w:cs="Calibri"/>
          <w:kern w:val="2"/>
          <w:vertAlign w:val="superscript"/>
          <w14:ligatures w14:val="standardContextual"/>
        </w:rPr>
        <w:endnoteReference w:id="115"/>
      </w:r>
      <w:r>
        <w:rPr>
          <w:rFonts w:ascii="Calibri" w:eastAsia="Calibri" w:hAnsi="Calibri" w:cs="Calibri"/>
          <w:kern w:val="2"/>
          <w14:ligatures w14:val="standardContextual"/>
        </w:rPr>
        <w:t xml:space="preserve"> </w:t>
      </w:r>
      <w:r w:rsidR="00FE34EE">
        <w:rPr>
          <w:rFonts w:ascii="Calibri" w:eastAsia="Calibri" w:hAnsi="Calibri" w:cs="Calibri"/>
          <w:kern w:val="2"/>
          <w14:ligatures w14:val="standardContextual"/>
        </w:rPr>
        <w:t xml:space="preserve">A court monitor also “certified” the transcript with no legal authority to do so. </w:t>
      </w:r>
      <w:r w:rsidR="00630390" w:rsidRPr="00B8130F">
        <w:rPr>
          <w:rFonts w:ascii="Calibri" w:eastAsia="Calibri" w:hAnsi="Calibri" w:cs="Calibri"/>
          <w:kern w:val="2"/>
          <w14:ligatures w14:val="standardContextual"/>
        </w:rPr>
        <w:t>The Crown was ordered to pay $200 in costs</w:t>
      </w:r>
      <w:r w:rsidR="00FE34EE">
        <w:rPr>
          <w:rFonts w:ascii="Calibri" w:eastAsia="Calibri" w:hAnsi="Calibri" w:cs="Calibri"/>
          <w:kern w:val="2"/>
          <w14:ligatures w14:val="standardContextual"/>
        </w:rPr>
        <w:t xml:space="preserve"> with the court noting that </w:t>
      </w:r>
      <w:r w:rsidR="00630390" w:rsidRPr="00B8130F">
        <w:rPr>
          <w:rFonts w:ascii="Calibri" w:eastAsia="Calibri" w:hAnsi="Calibri" w:cs="Calibri"/>
          <w:kern w:val="2"/>
          <w14:ligatures w14:val="standardContextual"/>
        </w:rPr>
        <w:t>the inaccurate transcript wasted twenty minutes of court time, resulted in the applicant being held overnight, and because the error in the transcript made it appear as though a legitimate ground of complaint existed when it did not.</w:t>
      </w:r>
    </w:p>
    <w:p w14:paraId="04E75AA4" w14:textId="77777777" w:rsidR="003243E6" w:rsidRDefault="003243E6" w:rsidP="00B8130F">
      <w:pPr>
        <w:autoSpaceDE w:val="0"/>
        <w:autoSpaceDN w:val="0"/>
        <w:adjustRightInd w:val="0"/>
        <w:rPr>
          <w:rFonts w:ascii="Calibri" w:eastAsia="Calibri" w:hAnsi="Calibri" w:cs="Calibri"/>
          <w:kern w:val="2"/>
          <w14:ligatures w14:val="standardContextual"/>
        </w:rPr>
      </w:pPr>
    </w:p>
    <w:p w14:paraId="0DF2E5C4" w14:textId="1CB50D3B" w:rsidR="00630390" w:rsidRPr="00B8130F" w:rsidRDefault="003243E6" w:rsidP="00B8130F">
      <w:pPr>
        <w:autoSpaceDE w:val="0"/>
        <w:autoSpaceDN w:val="0"/>
        <w:adjustRightInd w:val="0"/>
        <w:rPr>
          <w:rFonts w:ascii="Calibri" w:eastAsia="Calibri" w:hAnsi="Calibri" w:cs="Calibri"/>
          <w:kern w:val="2"/>
          <w14:ligatures w14:val="standardContextual"/>
        </w:rPr>
      </w:pPr>
      <w:r>
        <w:rPr>
          <w:rFonts w:ascii="Calibri" w:eastAsia="Calibri" w:hAnsi="Calibri" w:cs="Calibri"/>
          <w:kern w:val="2"/>
          <w14:ligatures w14:val="standardContextual"/>
        </w:rPr>
        <w:t xml:space="preserve">A third case determined that a transcript made errors in part because of a failure of internal checks and balances including </w:t>
      </w:r>
      <w:r w:rsidRPr="003243E6">
        <w:rPr>
          <w:rFonts w:ascii="Calibri" w:eastAsia="Calibri" w:hAnsi="Calibri" w:cs="Calibri"/>
          <w:kern w:val="2"/>
          <w14:ligatures w14:val="standardContextual"/>
        </w:rPr>
        <w:t>proofread</w:t>
      </w:r>
      <w:r>
        <w:rPr>
          <w:rFonts w:ascii="Calibri" w:eastAsia="Calibri" w:hAnsi="Calibri" w:cs="Calibri"/>
          <w:kern w:val="2"/>
          <w14:ligatures w14:val="standardContextual"/>
        </w:rPr>
        <w:t>ing</w:t>
      </w:r>
      <w:r w:rsidRPr="003243E6">
        <w:rPr>
          <w:rFonts w:ascii="Calibri" w:eastAsia="Calibri" w:hAnsi="Calibri" w:cs="Calibri"/>
          <w:kern w:val="2"/>
          <w14:ligatures w14:val="standardContextual"/>
        </w:rPr>
        <w:t xml:space="preserve"> </w:t>
      </w:r>
      <w:r>
        <w:rPr>
          <w:rFonts w:ascii="Calibri" w:eastAsia="Calibri" w:hAnsi="Calibri" w:cs="Calibri"/>
          <w:kern w:val="2"/>
          <w14:ligatures w14:val="standardContextual"/>
        </w:rPr>
        <w:t xml:space="preserve">the transcript </w:t>
      </w:r>
      <w:r w:rsidRPr="003243E6">
        <w:rPr>
          <w:rFonts w:ascii="Calibri" w:eastAsia="Calibri" w:hAnsi="Calibri" w:cs="Calibri"/>
          <w:kern w:val="2"/>
          <w14:ligatures w14:val="standardContextual"/>
        </w:rPr>
        <w:t>before certification and release</w:t>
      </w:r>
      <w:r>
        <w:rPr>
          <w:rFonts w:ascii="Calibri" w:eastAsia="Calibri" w:hAnsi="Calibri" w:cs="Calibri"/>
          <w:kern w:val="2"/>
          <w14:ligatures w14:val="standardContextual"/>
        </w:rPr>
        <w:t>.</w:t>
      </w:r>
      <w:r w:rsidRPr="00B8130F">
        <w:rPr>
          <w:rFonts w:ascii="Calibri" w:eastAsia="Calibri" w:hAnsi="Calibri" w:cs="Calibri"/>
          <w:kern w:val="2"/>
          <w:vertAlign w:val="superscript"/>
          <w14:ligatures w14:val="standardContextual"/>
        </w:rPr>
        <w:endnoteReference w:id="116"/>
      </w:r>
    </w:p>
    <w:p w14:paraId="3A654687" w14:textId="77777777" w:rsidR="00630390" w:rsidRPr="00B8130F" w:rsidRDefault="00630390" w:rsidP="00B8130F">
      <w:pPr>
        <w:autoSpaceDE w:val="0"/>
        <w:autoSpaceDN w:val="0"/>
        <w:adjustRightInd w:val="0"/>
        <w:rPr>
          <w:rFonts w:ascii="Calibri" w:eastAsia="Calibri" w:hAnsi="Calibri" w:cs="Calibri"/>
          <w14:ligatures w14:val="standardContextual"/>
        </w:rPr>
      </w:pPr>
    </w:p>
    <w:p w14:paraId="5A4F76F8" w14:textId="29F6ECC7" w:rsidR="00630390" w:rsidRPr="00B8130F" w:rsidRDefault="003243E6" w:rsidP="00B8130F">
      <w:pPr>
        <w:autoSpaceDE w:val="0"/>
        <w:autoSpaceDN w:val="0"/>
        <w:adjustRightInd w:val="0"/>
        <w:rPr>
          <w:rFonts w:ascii="Calibri" w:eastAsia="Calibri" w:hAnsi="Calibri" w:cs="Calibri"/>
          <w:kern w:val="2"/>
          <w14:ligatures w14:val="standardContextual"/>
        </w:rPr>
      </w:pPr>
      <w:r>
        <w:rPr>
          <w:rFonts w:ascii="Calibri" w:eastAsia="Calibri" w:hAnsi="Calibri" w:cs="Calibri"/>
          <w14:ligatures w14:val="standardContextual"/>
        </w:rPr>
        <w:t xml:space="preserve">Together, this mix of cases suggests how criminal courts may exercise their jurisdiction over AI systems and impose </w:t>
      </w:r>
      <w:r w:rsidR="00630390" w:rsidRPr="00B8130F">
        <w:rPr>
          <w:rFonts w:ascii="Calibri" w:eastAsia="Calibri" w:hAnsi="Calibri" w:cs="Calibri"/>
          <w14:ligatures w14:val="standardContextual"/>
        </w:rPr>
        <w:t xml:space="preserve">rights and remedies that may be found to be engaged. In essence, the analogy to be drawn between this line of cases and how courts may eventually consider and contend with AI, revolves around the fact that transcripts generated from </w:t>
      </w:r>
      <w:r w:rsidR="00630390" w:rsidRPr="00B8130F">
        <w:rPr>
          <w:rFonts w:ascii="Calibri" w:eastAsia="Calibri" w:hAnsi="Calibri" w:cs="Calibri"/>
          <w:kern w:val="2"/>
          <w14:ligatures w14:val="standardContextual"/>
        </w:rPr>
        <w:t>evidence taken by a sound recording device proved disastrous from an adequacy of the record standpoint (</w:t>
      </w:r>
      <w:r>
        <w:rPr>
          <w:rFonts w:ascii="Calibri" w:eastAsia="Calibri" w:hAnsi="Calibri" w:cs="Calibri"/>
          <w:kern w:val="2"/>
          <w14:ligatures w14:val="standardContextual"/>
        </w:rPr>
        <w:t xml:space="preserve"> for instance, </w:t>
      </w:r>
      <w:r w:rsidR="00630390" w:rsidRPr="00B8130F">
        <w:rPr>
          <w:rFonts w:ascii="Calibri" w:eastAsia="Calibri" w:hAnsi="Calibri" w:cs="Calibri"/>
          <w:kern w:val="2"/>
          <w14:ligatures w14:val="standardContextual"/>
        </w:rPr>
        <w:t xml:space="preserve">500 errors were found to exist in the original </w:t>
      </w:r>
      <w:r w:rsidR="00630390" w:rsidRPr="00B8130F">
        <w:rPr>
          <w:rFonts w:ascii="Calibri" w:eastAsia="Calibri" w:hAnsi="Calibri" w:cs="Calibri"/>
          <w:i/>
          <w:iCs/>
          <w:kern w:val="2"/>
          <w14:ligatures w14:val="standardContextual"/>
        </w:rPr>
        <w:t>Singh</w:t>
      </w:r>
      <w:r w:rsidR="00630390" w:rsidRPr="00B8130F">
        <w:rPr>
          <w:rFonts w:ascii="Calibri" w:eastAsia="Calibri" w:hAnsi="Calibri" w:cs="Calibri"/>
          <w:kern w:val="2"/>
          <w14:ligatures w14:val="standardContextual"/>
        </w:rPr>
        <w:t xml:space="preserve"> transcript.</w:t>
      </w:r>
      <w:r w:rsidR="00630390" w:rsidRPr="00B8130F">
        <w:rPr>
          <w:rFonts w:ascii="Calibri" w:eastAsia="Calibri" w:hAnsi="Calibri" w:cs="Calibri"/>
          <w:kern w:val="2"/>
          <w:vertAlign w:val="superscript"/>
          <w14:ligatures w14:val="standardContextual"/>
        </w:rPr>
        <w:endnoteReference w:id="117"/>
      </w:r>
      <w:r w:rsidR="00630390" w:rsidRPr="00B8130F">
        <w:rPr>
          <w:rFonts w:ascii="Calibri" w:eastAsia="Calibri" w:hAnsi="Calibri" w:cs="Calibri"/>
          <w:kern w:val="2"/>
          <w14:ligatures w14:val="standardContextual"/>
        </w:rPr>
        <w:t xml:space="preserve"> The disastrous result arose in circumstances where the “technology” was utilized without adequate training of the human actor “using” the technology and without adequate supervision and oversight of that primary human actor. The inadequate oversight included an apparent lack of appreciation for the limits of the technology and a systemic failure to ensure adherence to measures designed to support the technology in achieving its intended objectives and to address quality control.</w:t>
      </w:r>
      <w:r>
        <w:rPr>
          <w:rFonts w:ascii="Calibri" w:eastAsia="Calibri" w:hAnsi="Calibri" w:cs="Calibri"/>
          <w:kern w:val="2"/>
          <w14:ligatures w14:val="standardContextual"/>
        </w:rPr>
        <w:t xml:space="preserve"> Similar systemic concerns </w:t>
      </w:r>
      <w:r w:rsidR="00987A9E">
        <w:rPr>
          <w:rFonts w:ascii="Calibri" w:eastAsia="Calibri" w:hAnsi="Calibri" w:cs="Calibri"/>
          <w:kern w:val="2"/>
          <w14:ligatures w14:val="standardContextual"/>
        </w:rPr>
        <w:t>were</w:t>
      </w:r>
      <w:r>
        <w:rPr>
          <w:rFonts w:ascii="Calibri" w:eastAsia="Calibri" w:hAnsi="Calibri" w:cs="Calibri"/>
          <w:kern w:val="2"/>
          <w14:ligatures w14:val="standardContextual"/>
        </w:rPr>
        <w:t xml:space="preserve"> cited in the</w:t>
      </w:r>
      <w:r w:rsidR="00630390" w:rsidRPr="00B8130F">
        <w:rPr>
          <w:rFonts w:ascii="Calibri" w:eastAsia="Calibri" w:hAnsi="Calibri" w:cs="Calibri"/>
          <w:kern w:val="2"/>
          <w14:ligatures w14:val="standardContextual"/>
        </w:rPr>
        <w:t xml:space="preserve"> </w:t>
      </w:r>
      <w:r w:rsidR="00630390" w:rsidRPr="00B8130F">
        <w:rPr>
          <w:rFonts w:ascii="Calibri" w:eastAsia="Calibri" w:hAnsi="Calibri" w:cs="Calibri"/>
          <w:i/>
          <w:iCs/>
          <w:kern w:val="2"/>
          <w14:ligatures w14:val="standardContextual"/>
        </w:rPr>
        <w:t xml:space="preserve">Hannemann </w:t>
      </w:r>
      <w:r>
        <w:rPr>
          <w:rFonts w:ascii="Calibri" w:eastAsia="Calibri" w:hAnsi="Calibri" w:cs="Calibri"/>
          <w:kern w:val="2"/>
          <w14:ligatures w14:val="standardContextual"/>
        </w:rPr>
        <w:t xml:space="preserve">case, finding that </w:t>
      </w:r>
      <w:r w:rsidR="00630390" w:rsidRPr="00B8130F">
        <w:rPr>
          <w:rFonts w:ascii="Calibri" w:eastAsia="Calibri" w:hAnsi="Calibri" w:cs="Calibri"/>
          <w:kern w:val="2"/>
          <w14:ligatures w14:val="standardContextual"/>
        </w:rPr>
        <w:t xml:space="preserve">training and oversight </w:t>
      </w:r>
      <w:r>
        <w:rPr>
          <w:rFonts w:ascii="Calibri" w:eastAsia="Calibri" w:hAnsi="Calibri" w:cs="Calibri"/>
          <w:kern w:val="2"/>
          <w14:ligatures w14:val="standardContextual"/>
        </w:rPr>
        <w:t>was limited and</w:t>
      </w:r>
      <w:r w:rsidR="00630390" w:rsidRPr="00B8130F">
        <w:rPr>
          <w:rFonts w:ascii="Calibri" w:eastAsia="Calibri" w:hAnsi="Calibri" w:cs="Calibri"/>
          <w:kern w:val="2"/>
          <w14:ligatures w14:val="standardContextual"/>
        </w:rPr>
        <w:t xml:space="preserve"> recording equipment was in poor repair and used </w:t>
      </w:r>
      <w:r>
        <w:rPr>
          <w:rFonts w:ascii="Calibri" w:eastAsia="Calibri" w:hAnsi="Calibri" w:cs="Calibri"/>
          <w:kern w:val="2"/>
          <w14:ligatures w14:val="standardContextual"/>
        </w:rPr>
        <w:t>under</w:t>
      </w:r>
      <w:r w:rsidR="00630390" w:rsidRPr="00B8130F">
        <w:rPr>
          <w:rFonts w:ascii="Calibri" w:eastAsia="Calibri" w:hAnsi="Calibri" w:cs="Calibri"/>
          <w:kern w:val="2"/>
          <w14:ligatures w14:val="standardContextual"/>
        </w:rPr>
        <w:t xml:space="preserve"> </w:t>
      </w:r>
      <w:r>
        <w:rPr>
          <w:rFonts w:ascii="Calibri" w:eastAsia="Calibri" w:hAnsi="Calibri" w:cs="Calibri"/>
          <w:kern w:val="2"/>
          <w14:ligatures w14:val="standardContextual"/>
        </w:rPr>
        <w:t xml:space="preserve">inappropriate </w:t>
      </w:r>
      <w:r w:rsidR="00630390" w:rsidRPr="00B8130F">
        <w:rPr>
          <w:rFonts w:ascii="Calibri" w:eastAsia="Calibri" w:hAnsi="Calibri" w:cs="Calibri"/>
          <w:kern w:val="2"/>
          <w14:ligatures w14:val="standardContextual"/>
        </w:rPr>
        <w:t>conditions.</w:t>
      </w:r>
    </w:p>
    <w:p w14:paraId="3593DE56" w14:textId="77777777" w:rsidR="00630390" w:rsidRPr="00B8130F" w:rsidRDefault="00630390" w:rsidP="00B8130F">
      <w:pPr>
        <w:autoSpaceDE w:val="0"/>
        <w:autoSpaceDN w:val="0"/>
        <w:adjustRightInd w:val="0"/>
        <w:rPr>
          <w:rFonts w:ascii="Calibri" w:eastAsia="Calibri" w:hAnsi="Calibri" w:cs="Calibri"/>
          <w:kern w:val="2"/>
          <w14:ligatures w14:val="standardContextual"/>
        </w:rPr>
      </w:pPr>
    </w:p>
    <w:p w14:paraId="04C565B5" w14:textId="77777777" w:rsidR="00630390" w:rsidRPr="00B8130F" w:rsidRDefault="00630390" w:rsidP="00B8130F">
      <w:pPr>
        <w:autoSpaceDE w:val="0"/>
        <w:autoSpaceDN w:val="0"/>
        <w:adjustRightInd w:val="0"/>
        <w:rPr>
          <w:rFonts w:ascii="Calibri" w:eastAsia="Calibri" w:hAnsi="Calibri" w:cs="Calibri"/>
          <w:kern w:val="2"/>
          <w14:ligatures w14:val="standardContextual"/>
        </w:rPr>
      </w:pPr>
      <w:r w:rsidRPr="00B8130F">
        <w:rPr>
          <w:rFonts w:ascii="Calibri" w:eastAsia="Calibri" w:hAnsi="Calibri" w:cs="Calibri"/>
          <w:kern w:val="2"/>
          <w14:ligatures w14:val="standardContextual"/>
        </w:rPr>
        <w:t xml:space="preserve">In </w:t>
      </w:r>
      <w:r w:rsidRPr="00B8130F">
        <w:rPr>
          <w:rFonts w:ascii="Calibri" w:eastAsia="Calibri" w:hAnsi="Calibri" w:cs="Calibri"/>
          <w:i/>
          <w:iCs/>
          <w:kern w:val="2"/>
          <w14:ligatures w14:val="standardContextual"/>
        </w:rPr>
        <w:t xml:space="preserve">Hannemann, </w:t>
      </w:r>
      <w:r w:rsidRPr="00B8130F">
        <w:rPr>
          <w:rFonts w:ascii="Calibri" w:eastAsia="Calibri" w:hAnsi="Calibri" w:cs="Calibri"/>
          <w:kern w:val="2"/>
          <w14:ligatures w14:val="standardContextual"/>
        </w:rPr>
        <w:t>Hill, J. noted the following with respect to rights and remedies in the circumstances of that case:</w:t>
      </w:r>
    </w:p>
    <w:p w14:paraId="23DB89C7" w14:textId="77777777" w:rsidR="00630390" w:rsidRPr="00B8130F" w:rsidRDefault="00630390" w:rsidP="00B8130F">
      <w:pPr>
        <w:autoSpaceDE w:val="0"/>
        <w:autoSpaceDN w:val="0"/>
        <w:adjustRightInd w:val="0"/>
        <w:rPr>
          <w:rFonts w:ascii="Calibri" w:eastAsia="Calibri" w:hAnsi="Calibri" w:cs="Calibri"/>
          <w:kern w:val="2"/>
          <w14:ligatures w14:val="standardContextual"/>
        </w:rPr>
      </w:pPr>
    </w:p>
    <w:p w14:paraId="38415389" w14:textId="77777777" w:rsidR="00630390" w:rsidRPr="00B8130F" w:rsidRDefault="00630390" w:rsidP="00B8130F">
      <w:pPr>
        <w:numPr>
          <w:ilvl w:val="0"/>
          <w:numId w:val="109"/>
        </w:numPr>
        <w:autoSpaceDE w:val="0"/>
        <w:autoSpaceDN w:val="0"/>
        <w:adjustRightInd w:val="0"/>
        <w:spacing w:after="160" w:line="259" w:lineRule="auto"/>
        <w:contextualSpacing/>
        <w:rPr>
          <w:rFonts w:ascii="Calibri" w:eastAsia="Calibri" w:hAnsi="Calibri" w:cs="Calibri"/>
          <w:kern w:val="2"/>
          <w14:ligatures w14:val="standardContextual"/>
        </w:rPr>
      </w:pPr>
      <w:r w:rsidRPr="00B8130F">
        <w:rPr>
          <w:rFonts w:ascii="Calibri" w:eastAsia="Calibri" w:hAnsi="Calibri" w:cs="Calibri"/>
          <w:kern w:val="2"/>
          <w14:ligatures w14:val="standardContextual"/>
        </w:rPr>
        <w:t>There can be no meaningful right of appeal in the absence of an adequate transcript.</w:t>
      </w:r>
    </w:p>
    <w:p w14:paraId="3D2E8A1C" w14:textId="77777777" w:rsidR="00630390" w:rsidRPr="00B8130F" w:rsidRDefault="00630390" w:rsidP="00B8130F">
      <w:pPr>
        <w:numPr>
          <w:ilvl w:val="0"/>
          <w:numId w:val="109"/>
        </w:numPr>
        <w:autoSpaceDE w:val="0"/>
        <w:autoSpaceDN w:val="0"/>
        <w:adjustRightInd w:val="0"/>
        <w:spacing w:after="160" w:line="259" w:lineRule="auto"/>
        <w:contextualSpacing/>
        <w:rPr>
          <w:rFonts w:ascii="Calibri" w:eastAsia="Calibri" w:hAnsi="Calibri" w:cs="Calibri"/>
          <w:kern w:val="2"/>
          <w14:ligatures w14:val="standardContextual"/>
        </w:rPr>
      </w:pPr>
      <w:r w:rsidRPr="00B8130F">
        <w:rPr>
          <w:rFonts w:ascii="Calibri" w:eastAsia="Calibri" w:hAnsi="Calibri" w:cs="Calibri"/>
          <w:kern w:val="2"/>
          <w14:ligatures w14:val="standardContextual"/>
        </w:rPr>
        <w:t>Inaccurate transcripts carry a risk of miscarriage of justice.</w:t>
      </w:r>
    </w:p>
    <w:p w14:paraId="3D7517C2" w14:textId="77777777" w:rsidR="00630390" w:rsidRPr="00B8130F" w:rsidRDefault="00630390" w:rsidP="00B8130F">
      <w:pPr>
        <w:numPr>
          <w:ilvl w:val="0"/>
          <w:numId w:val="109"/>
        </w:numPr>
        <w:autoSpaceDE w:val="0"/>
        <w:autoSpaceDN w:val="0"/>
        <w:adjustRightInd w:val="0"/>
        <w:spacing w:after="160" w:line="259" w:lineRule="auto"/>
        <w:contextualSpacing/>
        <w:rPr>
          <w:rFonts w:ascii="Calibri" w:eastAsia="Calibri" w:hAnsi="Calibri" w:cs="Calibri"/>
          <w:kern w:val="2"/>
          <w14:ligatures w14:val="standardContextual"/>
        </w:rPr>
      </w:pPr>
      <w:r w:rsidRPr="00B8130F">
        <w:rPr>
          <w:rFonts w:ascii="Calibri" w:eastAsia="Calibri" w:hAnsi="Calibri" w:cs="Calibri"/>
          <w:kern w:val="2"/>
          <w14:ligatures w14:val="standardContextual"/>
        </w:rPr>
        <w:t xml:space="preserve">The accused’s fair trial rights were compromised, and the independence of the judiciary was impaired.  </w:t>
      </w:r>
    </w:p>
    <w:p w14:paraId="501D412C" w14:textId="77777777" w:rsidR="00630390" w:rsidRPr="00B8130F" w:rsidRDefault="00630390" w:rsidP="00B8130F">
      <w:pPr>
        <w:numPr>
          <w:ilvl w:val="0"/>
          <w:numId w:val="109"/>
        </w:numPr>
        <w:autoSpaceDE w:val="0"/>
        <w:autoSpaceDN w:val="0"/>
        <w:adjustRightInd w:val="0"/>
        <w:spacing w:after="160" w:line="259" w:lineRule="auto"/>
        <w:contextualSpacing/>
        <w:rPr>
          <w:rFonts w:ascii="Calibri" w:eastAsia="Calibri" w:hAnsi="Calibri" w:cs="Calibri"/>
          <w:kern w:val="2"/>
          <w14:ligatures w14:val="standardContextual"/>
        </w:rPr>
      </w:pPr>
      <w:r w:rsidRPr="00B8130F">
        <w:rPr>
          <w:rFonts w:ascii="Calibri" w:eastAsia="Calibri" w:hAnsi="Calibri" w:cs="Calibri"/>
          <w:kern w:val="2"/>
          <w14:ligatures w14:val="standardContextual"/>
        </w:rPr>
        <w:t>The appearance of justice and fairness were tarnished.</w:t>
      </w:r>
    </w:p>
    <w:p w14:paraId="0D5A0AB5" w14:textId="579B1306" w:rsidR="00630390" w:rsidRPr="00B8130F" w:rsidRDefault="00630390" w:rsidP="00B8130F">
      <w:pPr>
        <w:numPr>
          <w:ilvl w:val="0"/>
          <w:numId w:val="109"/>
        </w:numPr>
        <w:autoSpaceDE w:val="0"/>
        <w:autoSpaceDN w:val="0"/>
        <w:adjustRightInd w:val="0"/>
        <w:spacing w:after="160" w:line="259" w:lineRule="auto"/>
        <w:contextualSpacing/>
        <w:rPr>
          <w:rFonts w:ascii="Calibri" w:eastAsia="Calibri" w:hAnsi="Calibri" w:cs="Calibri"/>
          <w:kern w:val="2"/>
          <w14:ligatures w14:val="standardContextual"/>
        </w:rPr>
      </w:pPr>
      <w:r w:rsidRPr="00987A9E">
        <w:rPr>
          <w:rFonts w:ascii="Calibri" w:eastAsia="Calibri" w:hAnsi="Calibri" w:cs="Calibri"/>
          <w:kern w:val="2"/>
          <w14:ligatures w14:val="standardContextual"/>
        </w:rPr>
        <w:t>However</w:t>
      </w:r>
      <w:r w:rsidRPr="00B8130F">
        <w:rPr>
          <w:rFonts w:ascii="Calibri" w:eastAsia="Calibri" w:hAnsi="Calibri" w:cs="Calibri"/>
          <w:kern w:val="2"/>
          <w14:ligatures w14:val="standardContextual"/>
        </w:rPr>
        <w:t xml:space="preserve">, there was no miscarriage of justice or abuse of process requiring a </w:t>
      </w:r>
      <w:r w:rsidR="00987A9E">
        <w:rPr>
          <w:rFonts w:ascii="Calibri" w:eastAsia="Calibri" w:hAnsi="Calibri" w:cs="Calibri"/>
          <w:kern w:val="2"/>
          <w14:ligatures w14:val="standardContextual"/>
        </w:rPr>
        <w:t xml:space="preserve">new </w:t>
      </w:r>
      <w:r w:rsidRPr="00B8130F">
        <w:rPr>
          <w:rFonts w:ascii="Calibri" w:eastAsia="Calibri" w:hAnsi="Calibri" w:cs="Calibri"/>
          <w:kern w:val="2"/>
          <w14:ligatures w14:val="standardContextual"/>
        </w:rPr>
        <w:t>trial.</w:t>
      </w:r>
    </w:p>
    <w:p w14:paraId="52596D70" w14:textId="77777777" w:rsidR="00630390" w:rsidRPr="00B8130F" w:rsidRDefault="00630390" w:rsidP="00B8130F">
      <w:pPr>
        <w:autoSpaceDE w:val="0"/>
        <w:autoSpaceDN w:val="0"/>
        <w:adjustRightInd w:val="0"/>
        <w:rPr>
          <w:rFonts w:ascii="Calibri" w:eastAsia="Calibri" w:hAnsi="Calibri" w:cs="Calibri"/>
          <w:kern w:val="2"/>
          <w14:ligatures w14:val="standardContextual"/>
        </w:rPr>
      </w:pPr>
    </w:p>
    <w:p w14:paraId="45802F5F" w14:textId="50845137" w:rsidR="00630390" w:rsidRDefault="00630390" w:rsidP="00B8130F">
      <w:pPr>
        <w:rPr>
          <w:rFonts w:ascii="Calibri" w:eastAsia="Calibri" w:hAnsi="Calibri" w:cs="Calibri"/>
          <w:kern w:val="2"/>
          <w14:ligatures w14:val="standardContextual"/>
        </w:rPr>
      </w:pPr>
      <w:r w:rsidRPr="00B8130F">
        <w:rPr>
          <w:rFonts w:ascii="Calibri" w:eastAsia="Calibri" w:hAnsi="Calibri" w:cs="Calibri"/>
          <w:kern w:val="2"/>
          <w14:ligatures w14:val="standardContextual"/>
        </w:rPr>
        <w:t xml:space="preserve">In both the transcript and prisoner transport cases referenced, the criminal court intervened to challenge the practices, policies and/or standards of the justice-involved </w:t>
      </w:r>
      <w:r w:rsidRPr="00B8130F">
        <w:rPr>
          <w:rFonts w:ascii="Calibri" w:eastAsia="Calibri" w:hAnsi="Calibri" w:cs="Calibri"/>
          <w:kern w:val="2"/>
          <w14:ligatures w14:val="standardContextual"/>
        </w:rPr>
        <w:lastRenderedPageBreak/>
        <w:t>institutions impacting the issues being litigated.  If the word “transcript” is replaced with the word “record” in the bullet points which appear immediately above, the analogy as to how courts may challenge AI in similar ways becomes clear.</w:t>
      </w:r>
    </w:p>
    <w:p w14:paraId="6C7700DC" w14:textId="77777777" w:rsidR="00504BAF" w:rsidRDefault="00504BAF" w:rsidP="00B8130F">
      <w:pPr>
        <w:rPr>
          <w:rFonts w:ascii="Calibri" w:eastAsia="Calibri" w:hAnsi="Calibri" w:cs="Calibri"/>
          <w:kern w:val="2"/>
          <w14:ligatures w14:val="standardContextual"/>
        </w:rPr>
      </w:pPr>
    </w:p>
    <w:p w14:paraId="50FB4145" w14:textId="6CA5B8DD" w:rsidR="00504BAF" w:rsidRDefault="00504BAF" w:rsidP="00B8130F">
      <w:pPr>
        <w:rPr>
          <w:rFonts w:ascii="Calibri" w:eastAsia="Calibri" w:hAnsi="Calibri" w:cs="Calibri"/>
          <w:kern w:val="2"/>
          <w14:ligatures w14:val="standardContextual"/>
        </w:rPr>
      </w:pPr>
      <w:r>
        <w:rPr>
          <w:rFonts w:ascii="Calibri" w:eastAsia="Calibri" w:hAnsi="Calibri" w:cs="Calibri"/>
          <w:kern w:val="2"/>
          <w14:ligatures w14:val="standardContextual"/>
        </w:rPr>
        <w:t>At the same time, these cases also suggest how AI, if implemented with proper guardrails, check and balances, may improve the efficiency of matters which courts may otherwise have to intervene in.</w:t>
      </w:r>
    </w:p>
    <w:p w14:paraId="0AC66A80" w14:textId="77777777" w:rsidR="00630390" w:rsidRDefault="00630390" w:rsidP="00B8130F">
      <w:pPr>
        <w:rPr>
          <w:rFonts w:ascii="Calibri" w:eastAsia="Calibri" w:hAnsi="Calibri" w:cs="Calibri"/>
          <w:kern w:val="2"/>
          <w14:ligatures w14:val="standardContextual"/>
        </w:rPr>
      </w:pPr>
    </w:p>
    <w:p w14:paraId="37C8500C" w14:textId="252F20CD" w:rsidR="00630390" w:rsidRDefault="00630390" w:rsidP="00D63551">
      <w:pPr>
        <w:pStyle w:val="Heading3"/>
        <w:numPr>
          <w:ilvl w:val="2"/>
          <w:numId w:val="16"/>
        </w:numPr>
        <w:rPr>
          <w:rFonts w:eastAsia="Calibri"/>
        </w:rPr>
      </w:pPr>
      <w:bookmarkStart w:id="33" w:name="_Toc195597986"/>
      <w:r w:rsidRPr="00D63551">
        <w:rPr>
          <w:rFonts w:eastAsia="Calibri"/>
        </w:rPr>
        <w:t>Case Study: How Courts Might Take Issue with Use of AI Policies Developed by Law Enforcement</w:t>
      </w:r>
      <w:bookmarkEnd w:id="33"/>
    </w:p>
    <w:p w14:paraId="7A017695" w14:textId="77777777" w:rsidR="00630390" w:rsidRDefault="00630390" w:rsidP="00D63551"/>
    <w:p w14:paraId="0AF7CD1D" w14:textId="6A92FFD7" w:rsidR="005C5658" w:rsidRPr="00D63551" w:rsidRDefault="005C5658" w:rsidP="005C5658">
      <w:pPr>
        <w:autoSpaceDE w:val="0"/>
        <w:autoSpaceDN w:val="0"/>
        <w:adjustRightInd w:val="0"/>
        <w:rPr>
          <w:rFonts w:ascii="Calibri" w:eastAsia="Times New Roman" w:hAnsi="Calibri" w:cs="Times New Roman"/>
          <w:kern w:val="2"/>
          <w14:ligatures w14:val="standardContextual"/>
        </w:rPr>
      </w:pPr>
      <w:r w:rsidRPr="00D63551">
        <w:rPr>
          <w:rFonts w:ascii="Calibri" w:eastAsia="Times New Roman" w:hAnsi="Calibri" w:cs="Times New Roman"/>
          <w:kern w:val="2"/>
          <w14:ligatures w14:val="standardContextual"/>
        </w:rPr>
        <w:t>In criminal proceedings, courts often take issue with police polic</w:t>
      </w:r>
      <w:r w:rsidR="00D01302">
        <w:rPr>
          <w:rFonts w:ascii="Calibri" w:eastAsia="Times New Roman" w:hAnsi="Calibri" w:cs="Times New Roman"/>
          <w:kern w:val="2"/>
          <w14:ligatures w14:val="standardContextual"/>
        </w:rPr>
        <w:t>ies</w:t>
      </w:r>
      <w:r w:rsidRPr="00D63551">
        <w:rPr>
          <w:rFonts w:ascii="Calibri" w:eastAsia="Times New Roman" w:hAnsi="Calibri" w:cs="Times New Roman"/>
          <w:kern w:val="2"/>
          <w14:ligatures w14:val="standardContextual"/>
        </w:rPr>
        <w:t xml:space="preserve"> during </w:t>
      </w:r>
      <w:r w:rsidRPr="00D63551">
        <w:rPr>
          <w:rFonts w:ascii="Calibri" w:eastAsia="Times New Roman" w:hAnsi="Calibri" w:cs="Times New Roman"/>
          <w:i/>
          <w:iCs/>
          <w:kern w:val="2"/>
          <w14:ligatures w14:val="standardContextual"/>
        </w:rPr>
        <w:t>Charter</w:t>
      </w:r>
      <w:r w:rsidRPr="00D63551">
        <w:rPr>
          <w:rFonts w:ascii="Calibri" w:eastAsia="Times New Roman" w:hAnsi="Calibri" w:cs="Times New Roman"/>
          <w:kern w:val="2"/>
          <w14:ligatures w14:val="standardContextual"/>
        </w:rPr>
        <w:t xml:space="preserve"> applications</w:t>
      </w:r>
      <w:r>
        <w:rPr>
          <w:rFonts w:ascii="Calibri" w:eastAsia="Times New Roman" w:hAnsi="Calibri" w:cs="Times New Roman"/>
          <w:kern w:val="2"/>
          <w14:ligatures w14:val="standardContextual"/>
        </w:rPr>
        <w:t xml:space="preserve">. Such applications </w:t>
      </w:r>
      <w:r w:rsidRPr="00D63551">
        <w:rPr>
          <w:rFonts w:ascii="Calibri" w:eastAsia="Times New Roman" w:hAnsi="Calibri" w:cs="Times New Roman"/>
          <w:kern w:val="2"/>
          <w14:ligatures w14:val="standardContextual"/>
        </w:rPr>
        <w:t xml:space="preserve">require evaluation of impugned police conduct and its impact upon the rights of the </w:t>
      </w:r>
      <w:r w:rsidR="00EA3BDD" w:rsidRPr="00D63551">
        <w:rPr>
          <w:rFonts w:ascii="Calibri" w:eastAsia="Times New Roman" w:hAnsi="Calibri" w:cs="Times New Roman"/>
          <w:kern w:val="2"/>
          <w14:ligatures w14:val="standardContextual"/>
        </w:rPr>
        <w:t>accused</w:t>
      </w:r>
      <w:r w:rsidR="00EA3BDD">
        <w:rPr>
          <w:rFonts w:ascii="Calibri" w:eastAsia="Times New Roman" w:hAnsi="Calibri" w:cs="Times New Roman"/>
          <w:kern w:val="2"/>
          <w14:ligatures w14:val="standardContextual"/>
        </w:rPr>
        <w:t xml:space="preserve"> and</w:t>
      </w:r>
      <w:r>
        <w:rPr>
          <w:rFonts w:ascii="Calibri" w:eastAsia="Times New Roman" w:hAnsi="Calibri" w:cs="Times New Roman"/>
          <w:kern w:val="2"/>
          <w14:ligatures w14:val="standardContextual"/>
        </w:rPr>
        <w:t xml:space="preserve"> will look to police policies to interpret their practices</w:t>
      </w:r>
      <w:r w:rsidRPr="00D63551">
        <w:rPr>
          <w:rFonts w:ascii="Calibri" w:eastAsia="Times New Roman" w:hAnsi="Calibri" w:cs="Times New Roman"/>
          <w:kern w:val="2"/>
          <w14:ligatures w14:val="standardContextual"/>
        </w:rPr>
        <w:t>.</w:t>
      </w:r>
      <w:r>
        <w:rPr>
          <w:rFonts w:ascii="Calibri" w:eastAsia="Times New Roman" w:hAnsi="Calibri" w:cs="Times New Roman"/>
          <w:kern w:val="2"/>
          <w14:ligatures w14:val="standardContextual"/>
        </w:rPr>
        <w:t xml:space="preserve"> For example, </w:t>
      </w:r>
      <w:r w:rsidRPr="00D63551">
        <w:rPr>
          <w:rFonts w:ascii="Calibri" w:eastAsia="Times New Roman" w:hAnsi="Calibri" w:cs="Times New Roman"/>
          <w:kern w:val="2"/>
          <w14:ligatures w14:val="standardContextual"/>
        </w:rPr>
        <w:t xml:space="preserve">courts have </w:t>
      </w:r>
      <w:r w:rsidR="00EA3BDD">
        <w:rPr>
          <w:rFonts w:ascii="Calibri" w:eastAsia="Times New Roman" w:hAnsi="Calibri" w:cs="Times New Roman"/>
          <w:kern w:val="2"/>
          <w14:ligatures w14:val="standardContextual"/>
        </w:rPr>
        <w:t xml:space="preserve">inquired into the breach of fundamental </w:t>
      </w:r>
      <w:r w:rsidR="00EA3BDD" w:rsidRPr="00EA3BDD">
        <w:rPr>
          <w:rFonts w:ascii="Calibri" w:eastAsia="Times New Roman" w:hAnsi="Calibri" w:cs="Times New Roman"/>
          <w:i/>
          <w:iCs/>
          <w:kern w:val="2"/>
          <w14:ligatures w14:val="standardContextual"/>
        </w:rPr>
        <w:t>Charter of Right</w:t>
      </w:r>
      <w:r w:rsidR="00EA3BDD">
        <w:rPr>
          <w:rFonts w:ascii="Calibri" w:eastAsia="Times New Roman" w:hAnsi="Calibri" w:cs="Times New Roman"/>
          <w:i/>
          <w:iCs/>
          <w:kern w:val="2"/>
          <w14:ligatures w14:val="standardContextual"/>
        </w:rPr>
        <w:t>s and Freedoms</w:t>
      </w:r>
      <w:r w:rsidR="00EA3BDD">
        <w:rPr>
          <w:rFonts w:ascii="Calibri" w:eastAsia="Times New Roman" w:hAnsi="Calibri" w:cs="Times New Roman"/>
          <w:kern w:val="2"/>
          <w14:ligatures w14:val="standardContextual"/>
        </w:rPr>
        <w:t xml:space="preserve"> protections by looking at standards </w:t>
      </w:r>
      <w:r w:rsidR="00E631DF">
        <w:rPr>
          <w:rFonts w:ascii="Calibri" w:eastAsia="Times New Roman" w:hAnsi="Calibri" w:cs="Times New Roman"/>
          <w:kern w:val="2"/>
          <w14:ligatures w14:val="standardContextual"/>
        </w:rPr>
        <w:t xml:space="preserve">or practice </w:t>
      </w:r>
      <w:r w:rsidR="00EA3BDD">
        <w:rPr>
          <w:rFonts w:ascii="Calibri" w:eastAsia="Times New Roman" w:hAnsi="Calibri" w:cs="Times New Roman"/>
          <w:kern w:val="2"/>
          <w14:ligatures w14:val="standardContextual"/>
        </w:rPr>
        <w:t xml:space="preserve">defined in police </w:t>
      </w:r>
      <w:r w:rsidRPr="00D63551">
        <w:rPr>
          <w:rFonts w:ascii="Calibri" w:eastAsia="Times New Roman" w:hAnsi="Calibri" w:cs="Times New Roman"/>
          <w:kern w:val="2"/>
          <w14:ligatures w14:val="standardContextual"/>
        </w:rPr>
        <w:t>policies (both formal</w:t>
      </w:r>
      <w:r>
        <w:rPr>
          <w:rFonts w:ascii="Calibri" w:eastAsia="Times New Roman" w:hAnsi="Calibri" w:cs="Times New Roman"/>
          <w:kern w:val="2"/>
          <w14:ligatures w14:val="standardContextual"/>
        </w:rPr>
        <w:t xml:space="preserve"> documents </w:t>
      </w:r>
      <w:r w:rsidRPr="00D63551">
        <w:rPr>
          <w:rFonts w:ascii="Calibri" w:eastAsia="Times New Roman" w:hAnsi="Calibri" w:cs="Times New Roman"/>
          <w:kern w:val="2"/>
          <w14:ligatures w14:val="standardContextual"/>
        </w:rPr>
        <w:t>and informal “systemic practices”) governing the strip searching of prisoners</w:t>
      </w:r>
      <w:r w:rsidRPr="00D63551">
        <w:rPr>
          <w:rFonts w:ascii="Calibri" w:eastAsia="Times New Roman" w:hAnsi="Calibri" w:cs="Times New Roman"/>
          <w:kern w:val="2"/>
          <w:vertAlign w:val="superscript"/>
          <w14:ligatures w14:val="standardContextual"/>
        </w:rPr>
        <w:endnoteReference w:id="118"/>
      </w:r>
      <w:r w:rsidRPr="00D63551">
        <w:rPr>
          <w:rFonts w:ascii="Calibri" w:eastAsia="Times New Roman" w:hAnsi="Calibri" w:cs="Times New Roman"/>
          <w:kern w:val="2"/>
          <w14:ligatures w14:val="standardContextual"/>
        </w:rPr>
        <w:t xml:space="preserve"> and </w:t>
      </w:r>
      <w:r>
        <w:rPr>
          <w:rFonts w:ascii="Calibri" w:eastAsia="Times New Roman" w:hAnsi="Calibri" w:cs="Times New Roman"/>
          <w:kern w:val="2"/>
          <w14:ligatures w14:val="standardContextual"/>
        </w:rPr>
        <w:t>jail cell</w:t>
      </w:r>
      <w:r w:rsidRPr="00D63551">
        <w:rPr>
          <w:rFonts w:ascii="Calibri" w:eastAsia="Times New Roman" w:hAnsi="Calibri" w:cs="Times New Roman"/>
          <w:kern w:val="2"/>
          <w14:ligatures w14:val="standardContextual"/>
        </w:rPr>
        <w:t xml:space="preserve"> monitoring via video surveillance.</w:t>
      </w:r>
      <w:r w:rsidRPr="00D63551">
        <w:rPr>
          <w:rFonts w:ascii="Calibri" w:eastAsia="Times New Roman" w:hAnsi="Calibri" w:cs="Times New Roman"/>
          <w:kern w:val="2"/>
          <w:vertAlign w:val="superscript"/>
          <w14:ligatures w14:val="standardContextual"/>
        </w:rPr>
        <w:endnoteReference w:id="119"/>
      </w:r>
    </w:p>
    <w:p w14:paraId="5F848370" w14:textId="77777777" w:rsidR="005C5658" w:rsidRPr="00D63551" w:rsidRDefault="005C5658" w:rsidP="005C5658">
      <w:pPr>
        <w:autoSpaceDE w:val="0"/>
        <w:autoSpaceDN w:val="0"/>
        <w:adjustRightInd w:val="0"/>
        <w:rPr>
          <w:rFonts w:ascii="Calibri" w:eastAsia="Times New Roman" w:hAnsi="Calibri" w:cs="Times New Roman"/>
          <w:kern w:val="2"/>
          <w14:ligatures w14:val="standardContextual"/>
        </w:rPr>
      </w:pPr>
    </w:p>
    <w:p w14:paraId="5762AF9E" w14:textId="723EBA2C" w:rsidR="005C5658" w:rsidRDefault="005C5658" w:rsidP="005C5658">
      <w:pPr>
        <w:autoSpaceDE w:val="0"/>
        <w:autoSpaceDN w:val="0"/>
        <w:adjustRightInd w:val="0"/>
        <w:rPr>
          <w:rFonts w:ascii="Calibri" w:eastAsia="Times New Roman" w:hAnsi="Calibri" w:cs="Times New Roman"/>
          <w:kern w:val="2"/>
          <w14:ligatures w14:val="standardContextual"/>
        </w:rPr>
      </w:pPr>
      <w:r w:rsidRPr="00D63551">
        <w:rPr>
          <w:rFonts w:ascii="Calibri" w:eastAsia="Times New Roman" w:hAnsi="Calibri" w:cs="Times New Roman"/>
          <w:kern w:val="2"/>
          <w14:ligatures w14:val="standardContextual"/>
        </w:rPr>
        <w:t xml:space="preserve">Several of the issues </w:t>
      </w:r>
      <w:r w:rsidR="002B596E">
        <w:rPr>
          <w:rFonts w:ascii="Calibri" w:eastAsia="Times New Roman" w:hAnsi="Calibri" w:cs="Times New Roman"/>
          <w:kern w:val="2"/>
          <w14:ligatures w14:val="standardContextual"/>
        </w:rPr>
        <w:t xml:space="preserve">deliberated in </w:t>
      </w:r>
      <w:r>
        <w:rPr>
          <w:rFonts w:ascii="Calibri" w:eastAsia="Times New Roman" w:hAnsi="Calibri" w:cs="Times New Roman"/>
          <w:kern w:val="2"/>
          <w14:ligatures w14:val="standardContextual"/>
        </w:rPr>
        <w:t>these</w:t>
      </w:r>
      <w:r w:rsidRPr="00D63551">
        <w:rPr>
          <w:rFonts w:ascii="Calibri" w:eastAsia="Times New Roman" w:hAnsi="Calibri" w:cs="Times New Roman"/>
          <w:kern w:val="2"/>
          <w14:ligatures w14:val="standardContextual"/>
        </w:rPr>
        <w:t xml:space="preserve"> and other cases </w:t>
      </w:r>
      <w:r>
        <w:rPr>
          <w:rFonts w:ascii="Calibri" w:eastAsia="Times New Roman" w:hAnsi="Calibri" w:cs="Times New Roman"/>
          <w:kern w:val="2"/>
          <w14:ligatures w14:val="standardContextual"/>
        </w:rPr>
        <w:t>suggest how courts might interpret use of AI policies developed by law enforcement agencies.</w:t>
      </w:r>
    </w:p>
    <w:p w14:paraId="6C5E2478" w14:textId="77777777" w:rsidR="005C5658" w:rsidRDefault="005C5658" w:rsidP="005C5658">
      <w:pPr>
        <w:autoSpaceDE w:val="0"/>
        <w:autoSpaceDN w:val="0"/>
        <w:adjustRightInd w:val="0"/>
        <w:rPr>
          <w:rFonts w:ascii="Calibri" w:eastAsia="Times New Roman" w:hAnsi="Calibri" w:cs="Times New Roman"/>
          <w:kern w:val="2"/>
          <w14:ligatures w14:val="standardContextual"/>
        </w:rPr>
      </w:pPr>
    </w:p>
    <w:p w14:paraId="7868CEDB" w14:textId="6784820B" w:rsidR="00630390" w:rsidRDefault="005C5658" w:rsidP="005C5658">
      <w:pPr>
        <w:autoSpaceDE w:val="0"/>
        <w:autoSpaceDN w:val="0"/>
        <w:adjustRightInd w:val="0"/>
        <w:rPr>
          <w:rFonts w:ascii="Calibri" w:eastAsia="Times New Roman" w:hAnsi="Calibri" w:cs="Times New Roman"/>
          <w:kern w:val="2"/>
          <w14:ligatures w14:val="standardContextual"/>
        </w:rPr>
      </w:pPr>
      <w:r>
        <w:rPr>
          <w:rFonts w:ascii="Calibri" w:eastAsia="Times New Roman" w:hAnsi="Calibri" w:cs="Times New Roman"/>
          <w:kern w:val="2"/>
          <w14:ligatures w14:val="standardContextual"/>
        </w:rPr>
        <w:t xml:space="preserve">At present, the leading such policy in </w:t>
      </w:r>
      <w:r w:rsidR="002B596E">
        <w:rPr>
          <w:rFonts w:ascii="Calibri" w:eastAsia="Times New Roman" w:hAnsi="Calibri" w:cs="Times New Roman"/>
          <w:kern w:val="2"/>
          <w14:ligatures w14:val="standardContextual"/>
        </w:rPr>
        <w:t>Ontario</w:t>
      </w:r>
      <w:r>
        <w:rPr>
          <w:rFonts w:ascii="Calibri" w:eastAsia="Times New Roman" w:hAnsi="Calibri" w:cs="Times New Roman"/>
          <w:kern w:val="2"/>
          <w14:ligatures w14:val="standardContextual"/>
        </w:rPr>
        <w:t xml:space="preserve"> is the </w:t>
      </w:r>
      <w:r w:rsidR="00630390" w:rsidRPr="00D63551">
        <w:rPr>
          <w:rFonts w:ascii="Calibri" w:eastAsia="Times New Roman" w:hAnsi="Calibri" w:cs="Times New Roman"/>
          <w:kern w:val="2"/>
          <w14:ligatures w14:val="standardContextual"/>
        </w:rPr>
        <w:t>Toronto Police Services Board</w:t>
      </w:r>
      <w:r>
        <w:rPr>
          <w:rFonts w:ascii="Calibri" w:eastAsia="Times New Roman" w:hAnsi="Calibri" w:cs="Times New Roman"/>
          <w:kern w:val="2"/>
          <w14:ligatures w14:val="standardContextual"/>
        </w:rPr>
        <w:t xml:space="preserve"> (TPSB) policy </w:t>
      </w:r>
      <w:r w:rsidRPr="005C5658">
        <w:rPr>
          <w:rFonts w:ascii="Calibri" w:eastAsia="Times New Roman" w:hAnsi="Calibri" w:cs="Times New Roman"/>
          <w:kern w:val="2"/>
          <w14:ligatures w14:val="standardContextual"/>
        </w:rPr>
        <w:t>“</w:t>
      </w:r>
      <w:r w:rsidR="00630390" w:rsidRPr="005C5658">
        <w:rPr>
          <w:rFonts w:ascii="Calibri" w:eastAsia="Times New Roman" w:hAnsi="Calibri" w:cs="Times New Roman"/>
          <w:kern w:val="2"/>
          <w14:ligatures w14:val="standardContextual"/>
        </w:rPr>
        <w:t>Use of Artificial Intelligence Technology</w:t>
      </w:r>
      <w:r>
        <w:rPr>
          <w:rFonts w:ascii="Calibri" w:eastAsia="Times New Roman" w:hAnsi="Calibri" w:cs="Times New Roman"/>
          <w:kern w:val="2"/>
          <w14:ligatures w14:val="standardContextual"/>
        </w:rPr>
        <w:t>.</w:t>
      </w:r>
      <w:r w:rsidR="00630390" w:rsidRPr="005C5658">
        <w:rPr>
          <w:rFonts w:ascii="Calibri" w:eastAsia="Times New Roman" w:hAnsi="Calibri" w:cs="Times New Roman"/>
          <w:kern w:val="2"/>
          <w14:ligatures w14:val="standardContextual"/>
        </w:rPr>
        <w:t>”</w:t>
      </w:r>
      <w:r w:rsidR="00630390" w:rsidRPr="00D63551">
        <w:rPr>
          <w:rFonts w:ascii="Calibri" w:eastAsia="Times New Roman" w:hAnsi="Calibri" w:cs="Times New Roman"/>
          <w:i/>
          <w:iCs/>
          <w:kern w:val="2"/>
          <w14:ligatures w14:val="standardContextual"/>
        </w:rPr>
        <w:t xml:space="preserve"> </w:t>
      </w:r>
      <w:r>
        <w:rPr>
          <w:rFonts w:ascii="Calibri" w:eastAsia="Times New Roman" w:hAnsi="Calibri" w:cs="Times New Roman"/>
          <w:kern w:val="2"/>
          <w14:ligatures w14:val="standardContextual"/>
        </w:rPr>
        <w:t xml:space="preserve">The policy directs Toronto police </w:t>
      </w:r>
      <w:r w:rsidR="00630390" w:rsidRPr="005C5658">
        <w:rPr>
          <w:rFonts w:ascii="Calibri" w:eastAsia="Times New Roman" w:hAnsi="Calibri" w:cs="Times New Roman"/>
          <w:kern w:val="2"/>
          <w14:ligatures w14:val="standardContextual"/>
        </w:rPr>
        <w:t>“to provide effective and accountable policing through the prudent adoption of new technologies, while, at the same time, ensuring transparency and making certain that policing is provided in accordance with both the law and the interests of the public, and protects and promotes fundamental rights.”</w:t>
      </w:r>
      <w:r w:rsidR="00630390" w:rsidRPr="00D63551">
        <w:rPr>
          <w:rFonts w:ascii="Calibri" w:eastAsia="Times New Roman" w:hAnsi="Calibri" w:cs="Times New Roman"/>
          <w:kern w:val="2"/>
          <w:vertAlign w:val="superscript"/>
          <w14:ligatures w14:val="standardContextual"/>
        </w:rPr>
        <w:endnoteReference w:id="120"/>
      </w:r>
      <w:r w:rsidR="00630390" w:rsidRPr="00D63551">
        <w:rPr>
          <w:rFonts w:ascii="Calibri" w:eastAsia="Times New Roman" w:hAnsi="Calibri" w:cs="Times New Roman"/>
          <w:kern w:val="2"/>
          <w14:ligatures w14:val="standardContextual"/>
        </w:rPr>
        <w:t xml:space="preserve"> </w:t>
      </w:r>
    </w:p>
    <w:p w14:paraId="6182D4A0" w14:textId="77777777" w:rsidR="00630390" w:rsidRDefault="00630390" w:rsidP="00D63551">
      <w:pPr>
        <w:autoSpaceDE w:val="0"/>
        <w:autoSpaceDN w:val="0"/>
        <w:adjustRightInd w:val="0"/>
        <w:rPr>
          <w:rFonts w:ascii="Calibri" w:eastAsia="Times New Roman" w:hAnsi="Calibri" w:cs="Times New Roman"/>
          <w:kern w:val="2"/>
          <w14:ligatures w14:val="standardContextual"/>
        </w:rPr>
      </w:pPr>
    </w:p>
    <w:p w14:paraId="1042FCDD" w14:textId="1C8474E7" w:rsidR="005C5658" w:rsidRPr="002B596E" w:rsidRDefault="00630390" w:rsidP="00D63551">
      <w:pPr>
        <w:autoSpaceDE w:val="0"/>
        <w:autoSpaceDN w:val="0"/>
        <w:adjustRightInd w:val="0"/>
        <w:rPr>
          <w:rFonts w:ascii="Calibri" w:eastAsia="Times New Roman" w:hAnsi="Calibri" w:cs="Times New Roman"/>
          <w:kern w:val="2"/>
          <w14:ligatures w14:val="standardContextual"/>
        </w:rPr>
      </w:pPr>
      <w:r w:rsidRPr="00D63551">
        <w:rPr>
          <w:rFonts w:ascii="Calibri" w:eastAsia="Times New Roman" w:hAnsi="Calibri" w:cs="Times New Roman"/>
          <w:kern w:val="2"/>
          <w14:ligatures w14:val="standardContextual"/>
        </w:rPr>
        <w:t xml:space="preserve">The policy goes on to </w:t>
      </w:r>
      <w:r w:rsidR="005C5658">
        <w:rPr>
          <w:rFonts w:ascii="Calibri" w:eastAsia="Times New Roman" w:hAnsi="Calibri" w:cs="Times New Roman"/>
          <w:kern w:val="2"/>
          <w14:ligatures w14:val="standardContextual"/>
        </w:rPr>
        <w:t>establish</w:t>
      </w:r>
      <w:r w:rsidRPr="00D63551">
        <w:rPr>
          <w:rFonts w:ascii="Calibri" w:eastAsia="Times New Roman" w:hAnsi="Calibri" w:cs="Times New Roman"/>
          <w:kern w:val="2"/>
          <w14:ligatures w14:val="standardContextual"/>
        </w:rPr>
        <w:t xml:space="preserve"> </w:t>
      </w:r>
      <w:r w:rsidR="002B596E">
        <w:rPr>
          <w:rFonts w:ascii="Calibri" w:eastAsia="Times New Roman" w:hAnsi="Calibri" w:cs="Times New Roman"/>
          <w:kern w:val="2"/>
          <w14:ligatures w14:val="standardContextual"/>
        </w:rPr>
        <w:t>Board governance over</w:t>
      </w:r>
      <w:r w:rsidR="002B596E" w:rsidRPr="002B596E">
        <w:rPr>
          <w:rFonts w:ascii="Calibri" w:eastAsia="Times New Roman" w:hAnsi="Calibri" w:cs="Times New Roman"/>
          <w:kern w:val="2"/>
          <w14:ligatures w14:val="standardContextual"/>
        </w:rPr>
        <w:t xml:space="preserve"> </w:t>
      </w:r>
      <w:r w:rsidRPr="002B596E">
        <w:rPr>
          <w:rFonts w:ascii="Calibri" w:eastAsia="Times New Roman" w:hAnsi="Calibri" w:cs="Times New Roman"/>
          <w:kern w:val="2"/>
          <w14:ligatures w14:val="standardContextual"/>
        </w:rPr>
        <w:t>“the consideration of the use of new or enhanced technologies using AI, or of previously approved AI technology that is to be used for a novel purpose or in a novel circumstance, and to establish an assessment and accountability framework.”</w:t>
      </w:r>
      <w:r w:rsidRPr="002B596E">
        <w:rPr>
          <w:rFonts w:ascii="Calibri" w:eastAsia="Times New Roman" w:hAnsi="Calibri" w:cs="Times New Roman"/>
          <w:kern w:val="2"/>
          <w:vertAlign w:val="superscript"/>
          <w14:ligatures w14:val="standardContextual"/>
        </w:rPr>
        <w:endnoteReference w:id="121"/>
      </w:r>
    </w:p>
    <w:p w14:paraId="05A985CF" w14:textId="77777777" w:rsidR="005C5658" w:rsidRDefault="005C5658" w:rsidP="00D63551">
      <w:pPr>
        <w:autoSpaceDE w:val="0"/>
        <w:autoSpaceDN w:val="0"/>
        <w:adjustRightInd w:val="0"/>
        <w:rPr>
          <w:rFonts w:ascii="Calibri" w:eastAsia="Times New Roman" w:hAnsi="Calibri" w:cs="Times New Roman"/>
          <w:kern w:val="2"/>
          <w14:ligatures w14:val="standardContextual"/>
        </w:rPr>
      </w:pPr>
    </w:p>
    <w:p w14:paraId="58BD763A" w14:textId="2ADB9C7A" w:rsidR="00630390" w:rsidRDefault="002B596E" w:rsidP="00D63551">
      <w:pPr>
        <w:autoSpaceDE w:val="0"/>
        <w:autoSpaceDN w:val="0"/>
        <w:adjustRightInd w:val="0"/>
        <w:rPr>
          <w:rFonts w:ascii="Calibri" w:eastAsia="Times New Roman" w:hAnsi="Calibri" w:cs="Times New Roman"/>
          <w:kern w:val="2"/>
          <w14:ligatures w14:val="standardContextual"/>
        </w:rPr>
      </w:pPr>
      <w:r>
        <w:rPr>
          <w:rFonts w:ascii="Calibri" w:eastAsia="Times New Roman" w:hAnsi="Calibri" w:cs="Times New Roman"/>
          <w:kern w:val="2"/>
          <w14:ligatures w14:val="standardContextual"/>
        </w:rPr>
        <w:t xml:space="preserve">To achieve this aim, the policy creates an AI risk categorization scale defining different requirements for AI used in </w:t>
      </w:r>
      <w:r w:rsidR="00630390" w:rsidRPr="00D63551">
        <w:rPr>
          <w:rFonts w:ascii="Calibri" w:eastAsia="Times New Roman" w:hAnsi="Calibri" w:cs="Times New Roman"/>
          <w:kern w:val="2"/>
          <w14:ligatures w14:val="standardContextual"/>
        </w:rPr>
        <w:t>extreme, high, moderate, and low risk</w:t>
      </w:r>
      <w:r>
        <w:rPr>
          <w:rFonts w:ascii="Calibri" w:eastAsia="Times New Roman" w:hAnsi="Calibri" w:cs="Times New Roman"/>
          <w:kern w:val="2"/>
          <w14:ligatures w14:val="standardContextual"/>
        </w:rPr>
        <w:t xml:space="preserve"> contexts</w:t>
      </w:r>
      <w:r w:rsidR="00630390" w:rsidRPr="00D63551">
        <w:rPr>
          <w:rFonts w:ascii="Calibri" w:eastAsia="Times New Roman" w:hAnsi="Calibri" w:cs="Times New Roman"/>
          <w:kern w:val="2"/>
          <w14:ligatures w14:val="standardContextual"/>
        </w:rPr>
        <w:t xml:space="preserve">. Extreme risk technologies </w:t>
      </w:r>
      <w:r>
        <w:rPr>
          <w:rFonts w:ascii="Calibri" w:eastAsia="Times New Roman" w:hAnsi="Calibri" w:cs="Times New Roman"/>
          <w:kern w:val="2"/>
          <w14:ligatures w14:val="standardContextual"/>
        </w:rPr>
        <w:t xml:space="preserve">are presumptively prohibited and </w:t>
      </w:r>
      <w:r w:rsidR="00630390" w:rsidRPr="00D63551">
        <w:rPr>
          <w:rFonts w:ascii="Calibri" w:eastAsia="Times New Roman" w:hAnsi="Calibri" w:cs="Times New Roman"/>
          <w:kern w:val="2"/>
          <w14:ligatures w14:val="standardContextual"/>
        </w:rPr>
        <w:t xml:space="preserve">cannot be considered for adoption. High and moderate risk AI </w:t>
      </w:r>
      <w:r>
        <w:rPr>
          <w:rFonts w:ascii="Calibri" w:eastAsia="Times New Roman" w:hAnsi="Calibri" w:cs="Times New Roman"/>
          <w:kern w:val="2"/>
          <w14:ligatures w14:val="standardContextual"/>
        </w:rPr>
        <w:t xml:space="preserve">are not to be </w:t>
      </w:r>
      <w:r w:rsidR="00630390" w:rsidRPr="00D63551">
        <w:rPr>
          <w:rFonts w:ascii="Calibri" w:eastAsia="Times New Roman" w:hAnsi="Calibri" w:cs="Times New Roman"/>
          <w:kern w:val="2"/>
          <w14:ligatures w14:val="standardContextual"/>
        </w:rPr>
        <w:t>procured</w:t>
      </w:r>
      <w:r>
        <w:rPr>
          <w:rFonts w:ascii="Calibri" w:eastAsia="Times New Roman" w:hAnsi="Calibri" w:cs="Times New Roman"/>
          <w:kern w:val="2"/>
          <w14:ligatures w14:val="standardContextual"/>
        </w:rPr>
        <w:t xml:space="preserve"> </w:t>
      </w:r>
      <w:r w:rsidR="00630390" w:rsidRPr="00D63551">
        <w:rPr>
          <w:rFonts w:ascii="Calibri" w:eastAsia="Times New Roman" w:hAnsi="Calibri" w:cs="Times New Roman"/>
          <w:kern w:val="2"/>
          <w14:ligatures w14:val="standardContextual"/>
        </w:rPr>
        <w:t>or deployed without prior reporting and approval of the Board.</w:t>
      </w:r>
      <w:r>
        <w:rPr>
          <w:rFonts w:ascii="Calibri" w:eastAsia="Times New Roman" w:hAnsi="Calibri" w:cs="Times New Roman"/>
          <w:kern w:val="2"/>
          <w14:ligatures w14:val="standardContextual"/>
        </w:rPr>
        <w:t xml:space="preserve"> T</w:t>
      </w:r>
      <w:r w:rsidR="00630390" w:rsidRPr="00D63551">
        <w:rPr>
          <w:rFonts w:ascii="Calibri" w:eastAsia="Times New Roman" w:hAnsi="Calibri" w:cs="Times New Roman"/>
          <w:kern w:val="2"/>
          <w14:ligatures w14:val="standardContextual"/>
        </w:rPr>
        <w:t>he Board must be informed of the decision to procure</w:t>
      </w:r>
      <w:r>
        <w:rPr>
          <w:rFonts w:ascii="Calibri" w:eastAsia="Times New Roman" w:hAnsi="Calibri" w:cs="Times New Roman"/>
          <w:kern w:val="2"/>
          <w14:ligatures w14:val="standardContextual"/>
        </w:rPr>
        <w:t xml:space="preserve"> </w:t>
      </w:r>
      <w:r w:rsidR="00630390" w:rsidRPr="00D63551">
        <w:rPr>
          <w:rFonts w:ascii="Calibri" w:eastAsia="Times New Roman" w:hAnsi="Calibri" w:cs="Times New Roman"/>
          <w:kern w:val="2"/>
          <w14:ligatures w14:val="standardContextual"/>
        </w:rPr>
        <w:t xml:space="preserve">or deploy low risk technology at the earliest opportunity and </w:t>
      </w:r>
      <w:r>
        <w:rPr>
          <w:rFonts w:ascii="Calibri" w:eastAsia="Times New Roman" w:hAnsi="Calibri" w:cs="Times New Roman"/>
          <w:kern w:val="2"/>
          <w14:ligatures w14:val="standardContextual"/>
        </w:rPr>
        <w:t>receive an explanation for the low-risk designation.</w:t>
      </w:r>
    </w:p>
    <w:p w14:paraId="3A561037" w14:textId="77777777" w:rsidR="00630390" w:rsidRDefault="00630390" w:rsidP="00D63551">
      <w:pPr>
        <w:autoSpaceDE w:val="0"/>
        <w:autoSpaceDN w:val="0"/>
        <w:adjustRightInd w:val="0"/>
        <w:rPr>
          <w:rFonts w:ascii="Calibri" w:eastAsia="Times New Roman" w:hAnsi="Calibri" w:cs="Times New Roman"/>
          <w:kern w:val="2"/>
          <w14:ligatures w14:val="standardContextual"/>
        </w:rPr>
      </w:pPr>
    </w:p>
    <w:p w14:paraId="4FEEC2B9" w14:textId="54BEB545" w:rsidR="00630390" w:rsidRPr="00D63551" w:rsidRDefault="00630390" w:rsidP="00D63551">
      <w:pPr>
        <w:autoSpaceDE w:val="0"/>
        <w:autoSpaceDN w:val="0"/>
        <w:adjustRightInd w:val="0"/>
        <w:rPr>
          <w:rFonts w:ascii="Calibri" w:eastAsia="Times New Roman" w:hAnsi="Calibri" w:cs="Times New Roman"/>
          <w:kern w:val="2"/>
          <w14:ligatures w14:val="standardContextual"/>
        </w:rPr>
      </w:pPr>
      <w:r w:rsidRPr="00D63551">
        <w:rPr>
          <w:rFonts w:ascii="Calibri" w:eastAsia="Times New Roman" w:hAnsi="Calibri" w:cs="Times New Roman"/>
          <w:kern w:val="2"/>
          <w14:ligatures w14:val="standardContextual"/>
        </w:rPr>
        <w:t>Other features of the policy include subjecting AI technology to risk assessment prior to procurement, implementation, or deployment</w:t>
      </w:r>
      <w:r w:rsidR="00584AFC">
        <w:rPr>
          <w:rFonts w:ascii="Calibri" w:eastAsia="Times New Roman" w:hAnsi="Calibri" w:cs="Times New Roman"/>
          <w:kern w:val="2"/>
          <w14:ligatures w14:val="standardContextual"/>
        </w:rPr>
        <w:t xml:space="preserve"> (effectively adopting a “precautionary </w:t>
      </w:r>
      <w:r w:rsidR="00584AFC">
        <w:rPr>
          <w:rFonts w:ascii="Calibri" w:eastAsia="Times New Roman" w:hAnsi="Calibri" w:cs="Times New Roman"/>
          <w:kern w:val="2"/>
          <w14:ligatures w14:val="standardContextual"/>
        </w:rPr>
        <w:lastRenderedPageBreak/>
        <w:t>principle”)</w:t>
      </w:r>
      <w:r w:rsidRPr="00D63551">
        <w:rPr>
          <w:rFonts w:ascii="Calibri" w:eastAsia="Times New Roman" w:hAnsi="Calibri" w:cs="Times New Roman"/>
          <w:kern w:val="2"/>
          <w14:ligatures w14:val="standardContextual"/>
        </w:rPr>
        <w:t xml:space="preserve">; a risk mitigation plan (including auditing to ensure adequate and lawful use); a </w:t>
      </w:r>
      <w:r w:rsidR="00584AFC">
        <w:rPr>
          <w:rFonts w:ascii="Calibri" w:eastAsia="Times New Roman" w:hAnsi="Calibri" w:cs="Times New Roman"/>
          <w:kern w:val="2"/>
          <w14:ligatures w14:val="standardContextual"/>
        </w:rPr>
        <w:t>means</w:t>
      </w:r>
      <w:r w:rsidRPr="00D63551">
        <w:rPr>
          <w:rFonts w:ascii="Calibri" w:eastAsia="Times New Roman" w:hAnsi="Calibri" w:cs="Times New Roman"/>
          <w:kern w:val="2"/>
          <w14:ligatures w14:val="standardContextual"/>
        </w:rPr>
        <w:t xml:space="preserve"> for </w:t>
      </w:r>
      <w:r w:rsidR="00584AFC">
        <w:rPr>
          <w:rFonts w:ascii="Calibri" w:eastAsia="Times New Roman" w:hAnsi="Calibri" w:cs="Times New Roman"/>
          <w:kern w:val="2"/>
          <w14:ligatures w14:val="standardContextual"/>
        </w:rPr>
        <w:t xml:space="preserve">the </w:t>
      </w:r>
      <w:r w:rsidRPr="00D63551">
        <w:rPr>
          <w:rFonts w:ascii="Calibri" w:eastAsia="Times New Roman" w:hAnsi="Calibri" w:cs="Times New Roman"/>
          <w:kern w:val="2"/>
          <w14:ligatures w14:val="standardContextual"/>
        </w:rPr>
        <w:t xml:space="preserve">public </w:t>
      </w:r>
      <w:r w:rsidR="00584AFC">
        <w:rPr>
          <w:rFonts w:ascii="Calibri" w:eastAsia="Times New Roman" w:hAnsi="Calibri" w:cs="Times New Roman"/>
          <w:kern w:val="2"/>
          <w14:ligatures w14:val="standardContextual"/>
        </w:rPr>
        <w:t>to report</w:t>
      </w:r>
      <w:r w:rsidRPr="00D63551">
        <w:rPr>
          <w:rFonts w:ascii="Calibri" w:eastAsia="Times New Roman" w:hAnsi="Calibri" w:cs="Times New Roman"/>
          <w:kern w:val="2"/>
          <w14:ligatures w14:val="standardContextual"/>
        </w:rPr>
        <w:t xml:space="preserve"> concerns; public and stakeholder engagement to communicate known risks; </w:t>
      </w:r>
      <w:r w:rsidR="00584AFC">
        <w:rPr>
          <w:rFonts w:ascii="Calibri" w:eastAsia="Times New Roman" w:hAnsi="Calibri" w:cs="Times New Roman"/>
          <w:kern w:val="2"/>
          <w14:ligatures w14:val="standardContextual"/>
        </w:rPr>
        <w:t xml:space="preserve">and a system for </w:t>
      </w:r>
      <w:r w:rsidRPr="00D63551">
        <w:rPr>
          <w:rFonts w:ascii="Calibri" w:eastAsia="Times New Roman" w:hAnsi="Calibri" w:cs="Times New Roman"/>
          <w:kern w:val="2"/>
          <w14:ligatures w14:val="standardContextual"/>
        </w:rPr>
        <w:t xml:space="preserve">continuous review, </w:t>
      </w:r>
      <w:r w:rsidR="00D01302">
        <w:rPr>
          <w:rFonts w:ascii="Calibri" w:eastAsia="Times New Roman" w:hAnsi="Calibri" w:cs="Times New Roman"/>
          <w:kern w:val="2"/>
          <w14:ligatures w14:val="standardContextual"/>
        </w:rPr>
        <w:t xml:space="preserve">including suspension of any AI </w:t>
      </w:r>
      <w:r w:rsidRPr="00D63551">
        <w:rPr>
          <w:rFonts w:ascii="Calibri" w:eastAsia="Times New Roman" w:hAnsi="Calibri" w:cs="Times New Roman"/>
          <w:kern w:val="2"/>
          <w14:ligatures w14:val="standardContextual"/>
        </w:rPr>
        <w:t xml:space="preserve">technology </w:t>
      </w:r>
      <w:r w:rsidR="00D01302">
        <w:rPr>
          <w:rFonts w:ascii="Calibri" w:eastAsia="Times New Roman" w:hAnsi="Calibri" w:cs="Times New Roman"/>
          <w:kern w:val="2"/>
          <w14:ligatures w14:val="standardContextual"/>
        </w:rPr>
        <w:t xml:space="preserve">identified as “extreme risk” and in use prior to adoption of the policy. </w:t>
      </w:r>
    </w:p>
    <w:p w14:paraId="15B113DE" w14:textId="77777777" w:rsidR="00630390" w:rsidRPr="00D63551" w:rsidRDefault="00630390" w:rsidP="00D63551">
      <w:pPr>
        <w:autoSpaceDE w:val="0"/>
        <w:autoSpaceDN w:val="0"/>
        <w:adjustRightInd w:val="0"/>
        <w:rPr>
          <w:rFonts w:ascii="Calibri" w:eastAsia="Times New Roman" w:hAnsi="Calibri" w:cs="Times New Roman"/>
          <w:kern w:val="2"/>
          <w14:ligatures w14:val="standardContextual"/>
        </w:rPr>
      </w:pPr>
    </w:p>
    <w:p w14:paraId="11D85F4A" w14:textId="3D9CB02E" w:rsidR="00630390" w:rsidRPr="00D63551" w:rsidRDefault="00E631DF" w:rsidP="00D63551">
      <w:pPr>
        <w:autoSpaceDE w:val="0"/>
        <w:autoSpaceDN w:val="0"/>
        <w:adjustRightInd w:val="0"/>
        <w:rPr>
          <w:rFonts w:ascii="Calibri" w:eastAsia="Times New Roman" w:hAnsi="Calibri" w:cs="Times New Roman"/>
          <w:kern w:val="2"/>
          <w14:ligatures w14:val="standardContextual"/>
        </w:rPr>
      </w:pPr>
      <w:r>
        <w:rPr>
          <w:rFonts w:ascii="Calibri" w:eastAsia="Times New Roman" w:hAnsi="Calibri" w:cs="Times New Roman"/>
          <w:kern w:val="2"/>
          <w14:ligatures w14:val="standardContextual"/>
        </w:rPr>
        <w:t>Among the criminal court cases reviewing police policies, several principles and factors are likely to have a bearing on the interpretation of AI review and practices internal to police. For instance</w:t>
      </w:r>
      <w:r w:rsidR="005C5658">
        <w:rPr>
          <w:rFonts w:ascii="Calibri" w:eastAsia="Times New Roman" w:hAnsi="Calibri" w:cs="Times New Roman"/>
          <w:kern w:val="2"/>
          <w14:ligatures w14:val="standardContextual"/>
        </w:rPr>
        <w:t>:</w:t>
      </w:r>
    </w:p>
    <w:p w14:paraId="34CC5813" w14:textId="77777777" w:rsidR="00630390" w:rsidRPr="00D63551" w:rsidRDefault="00630390" w:rsidP="00D63551">
      <w:pPr>
        <w:autoSpaceDE w:val="0"/>
        <w:autoSpaceDN w:val="0"/>
        <w:adjustRightInd w:val="0"/>
        <w:rPr>
          <w:rFonts w:ascii="Calibri" w:eastAsia="Times New Roman" w:hAnsi="Calibri" w:cs="Times New Roman"/>
          <w:kern w:val="2"/>
          <w14:ligatures w14:val="standardContextual"/>
        </w:rPr>
      </w:pPr>
    </w:p>
    <w:p w14:paraId="1E5BA19A" w14:textId="63289618" w:rsidR="00630390" w:rsidRPr="00D63551" w:rsidRDefault="00E631DF" w:rsidP="00D63551">
      <w:pPr>
        <w:numPr>
          <w:ilvl w:val="0"/>
          <w:numId w:val="111"/>
        </w:numPr>
        <w:autoSpaceDE w:val="0"/>
        <w:autoSpaceDN w:val="0"/>
        <w:adjustRightInd w:val="0"/>
        <w:spacing w:after="160" w:line="259" w:lineRule="auto"/>
        <w:contextualSpacing/>
        <w:rPr>
          <w:rFonts w:ascii="Calibri" w:eastAsia="Times New Roman" w:hAnsi="Calibri" w:cs="Times New Roman"/>
          <w:kern w:val="2"/>
          <w14:ligatures w14:val="standardContextual"/>
        </w:rPr>
      </w:pPr>
      <w:r>
        <w:rPr>
          <w:rFonts w:ascii="Calibri" w:eastAsia="Times New Roman" w:hAnsi="Calibri" w:cs="Times New Roman"/>
          <w:kern w:val="2"/>
          <w14:ligatures w14:val="standardContextual"/>
        </w:rPr>
        <w:t>AI is a relatively new technology that can be put to a variety of uses. In reviewing police AI policies, t</w:t>
      </w:r>
      <w:r w:rsidR="00630390" w:rsidRPr="00D63551">
        <w:rPr>
          <w:rFonts w:ascii="Calibri" w:eastAsia="Times New Roman" w:hAnsi="Calibri" w:cs="Times New Roman"/>
          <w:kern w:val="2"/>
          <w14:ligatures w14:val="standardContextual"/>
        </w:rPr>
        <w:t xml:space="preserve">he concept of </w:t>
      </w:r>
      <w:r w:rsidR="005C5658">
        <w:rPr>
          <w:rFonts w:ascii="Calibri" w:eastAsia="Times New Roman" w:hAnsi="Calibri" w:cs="Times New Roman"/>
          <w:kern w:val="2"/>
          <w14:ligatures w14:val="standardContextual"/>
        </w:rPr>
        <w:t>“</w:t>
      </w:r>
      <w:r w:rsidR="00630390" w:rsidRPr="00D63551">
        <w:rPr>
          <w:rFonts w:ascii="Calibri" w:eastAsia="Times New Roman" w:hAnsi="Calibri" w:cs="Times New Roman"/>
          <w:kern w:val="2"/>
          <w14:ligatures w14:val="standardContextual"/>
        </w:rPr>
        <w:t>case of first instance</w:t>
      </w:r>
      <w:r w:rsidR="005C5658">
        <w:rPr>
          <w:rFonts w:ascii="Calibri" w:eastAsia="Times New Roman" w:hAnsi="Calibri" w:cs="Times New Roman"/>
          <w:kern w:val="2"/>
          <w14:ligatures w14:val="standardContextual"/>
        </w:rPr>
        <w:t>”</w:t>
      </w:r>
      <w:r w:rsidR="00630390" w:rsidRPr="00D63551">
        <w:rPr>
          <w:rFonts w:ascii="Calibri" w:eastAsia="Times New Roman" w:hAnsi="Calibri" w:cs="Times New Roman"/>
          <w:kern w:val="2"/>
          <w14:ligatures w14:val="standardContextual"/>
        </w:rPr>
        <w:t xml:space="preserve"> may </w:t>
      </w:r>
      <w:r w:rsidR="005C5658">
        <w:rPr>
          <w:rFonts w:ascii="Calibri" w:eastAsia="Times New Roman" w:hAnsi="Calibri" w:cs="Times New Roman"/>
          <w:kern w:val="2"/>
          <w14:ligatures w14:val="standardContextual"/>
        </w:rPr>
        <w:t xml:space="preserve">be invoked to insulate </w:t>
      </w:r>
      <w:r>
        <w:rPr>
          <w:rFonts w:ascii="Calibri" w:eastAsia="Times New Roman" w:hAnsi="Calibri" w:cs="Times New Roman"/>
          <w:kern w:val="2"/>
          <w14:ligatures w14:val="standardContextual"/>
        </w:rPr>
        <w:t xml:space="preserve">or defer to </w:t>
      </w:r>
      <w:r w:rsidR="005C5658">
        <w:rPr>
          <w:rFonts w:ascii="Calibri" w:eastAsia="Times New Roman" w:hAnsi="Calibri" w:cs="Times New Roman"/>
          <w:kern w:val="2"/>
          <w14:ligatures w14:val="standardContextual"/>
        </w:rPr>
        <w:t>the policies of law enforcement</w:t>
      </w:r>
      <w:r>
        <w:rPr>
          <w:rFonts w:ascii="Calibri" w:eastAsia="Times New Roman" w:hAnsi="Calibri" w:cs="Times New Roman"/>
          <w:kern w:val="2"/>
          <w14:ligatures w14:val="standardContextual"/>
        </w:rPr>
        <w:t xml:space="preserve"> given this novelty</w:t>
      </w:r>
      <w:r w:rsidR="00630390" w:rsidRPr="00D63551">
        <w:rPr>
          <w:rFonts w:ascii="Calibri" w:eastAsia="Times New Roman" w:hAnsi="Calibri" w:cs="Times New Roman"/>
          <w:kern w:val="2"/>
          <w14:ligatures w14:val="standardContextual"/>
        </w:rPr>
        <w:t xml:space="preserve">.  </w:t>
      </w:r>
    </w:p>
    <w:p w14:paraId="3C535C79" w14:textId="666C16E0" w:rsidR="00630390" w:rsidRPr="00D63551" w:rsidRDefault="00E631DF" w:rsidP="00D63551">
      <w:pPr>
        <w:numPr>
          <w:ilvl w:val="0"/>
          <w:numId w:val="111"/>
        </w:numPr>
        <w:autoSpaceDE w:val="0"/>
        <w:autoSpaceDN w:val="0"/>
        <w:adjustRightInd w:val="0"/>
        <w:spacing w:after="160" w:line="259" w:lineRule="auto"/>
        <w:contextualSpacing/>
        <w:rPr>
          <w:rFonts w:ascii="Calibri" w:eastAsia="Times New Roman" w:hAnsi="Calibri" w:cs="Times New Roman"/>
          <w:kern w:val="2"/>
          <w14:ligatures w14:val="standardContextual"/>
        </w:rPr>
      </w:pPr>
      <w:r>
        <w:rPr>
          <w:rFonts w:ascii="Calibri" w:eastAsia="Times New Roman" w:hAnsi="Calibri" w:cs="Times New Roman"/>
          <w:kern w:val="2"/>
          <w14:ligatures w14:val="standardContextual"/>
        </w:rPr>
        <w:t xml:space="preserve">AI is a technology that is often unseen unless </w:t>
      </w:r>
      <w:r w:rsidR="00C70A80">
        <w:rPr>
          <w:rFonts w:ascii="Calibri" w:eastAsia="Times New Roman" w:hAnsi="Calibri" w:cs="Times New Roman"/>
          <w:kern w:val="2"/>
          <w14:ligatures w14:val="standardContextual"/>
        </w:rPr>
        <w:t xml:space="preserve">its use is proactively </w:t>
      </w:r>
      <w:r>
        <w:rPr>
          <w:rFonts w:ascii="Calibri" w:eastAsia="Times New Roman" w:hAnsi="Calibri" w:cs="Times New Roman"/>
          <w:kern w:val="2"/>
          <w14:ligatures w14:val="standardContextual"/>
        </w:rPr>
        <w:t xml:space="preserve">disclosed. In reviewing police AI policies, courts may </w:t>
      </w:r>
      <w:r w:rsidR="00C70A80">
        <w:rPr>
          <w:rFonts w:ascii="Calibri" w:eastAsia="Times New Roman" w:hAnsi="Calibri" w:cs="Times New Roman"/>
          <w:kern w:val="2"/>
          <w14:ligatures w14:val="standardContextual"/>
        </w:rPr>
        <w:t>look to transparency provisions about the risks of using AI and requirements to communicate these risks to the public in determining if a particular use is egregious enough to merit a stay of proceedings.</w:t>
      </w:r>
    </w:p>
    <w:p w14:paraId="650F6B64" w14:textId="03B93D03" w:rsidR="00630390" w:rsidRPr="00D63551" w:rsidRDefault="00C70A80" w:rsidP="00D63551">
      <w:pPr>
        <w:numPr>
          <w:ilvl w:val="0"/>
          <w:numId w:val="111"/>
        </w:numPr>
        <w:autoSpaceDE w:val="0"/>
        <w:autoSpaceDN w:val="0"/>
        <w:adjustRightInd w:val="0"/>
        <w:spacing w:after="160" w:line="259" w:lineRule="auto"/>
        <w:contextualSpacing/>
        <w:rPr>
          <w:rFonts w:ascii="Calibri" w:eastAsia="Times New Roman" w:hAnsi="Calibri" w:cs="Times New Roman"/>
          <w:kern w:val="2"/>
          <w14:ligatures w14:val="standardContextual"/>
        </w:rPr>
      </w:pPr>
      <w:r>
        <w:rPr>
          <w:rFonts w:ascii="Calibri" w:eastAsia="Times New Roman" w:hAnsi="Calibri" w:cs="Times New Roman"/>
          <w:kern w:val="2"/>
          <w14:ligatures w14:val="standardContextual"/>
        </w:rPr>
        <w:t>AI systems may be assessed to one standard and operationalized to another. Courts may intervene and find egregious breaches where the technology is used in ways that may not meet the</w:t>
      </w:r>
      <w:r w:rsidR="0036223A">
        <w:rPr>
          <w:rFonts w:ascii="Calibri" w:eastAsia="Times New Roman" w:hAnsi="Calibri" w:cs="Times New Roman"/>
          <w:kern w:val="2"/>
          <w14:ligatures w14:val="standardContextual"/>
        </w:rPr>
        <w:t xml:space="preserve"> set policy</w:t>
      </w:r>
      <w:r>
        <w:rPr>
          <w:rFonts w:ascii="Calibri" w:eastAsia="Times New Roman" w:hAnsi="Calibri" w:cs="Times New Roman"/>
          <w:kern w:val="2"/>
          <w14:ligatures w14:val="standardContextual"/>
        </w:rPr>
        <w:t xml:space="preserve"> standard or used in ways outside the documented policy.</w:t>
      </w:r>
    </w:p>
    <w:p w14:paraId="1B97C893" w14:textId="375586D8" w:rsidR="00630390" w:rsidRPr="00D63551" w:rsidRDefault="00C70A80" w:rsidP="00D63551">
      <w:pPr>
        <w:numPr>
          <w:ilvl w:val="0"/>
          <w:numId w:val="111"/>
        </w:numPr>
        <w:autoSpaceDE w:val="0"/>
        <w:autoSpaceDN w:val="0"/>
        <w:adjustRightInd w:val="0"/>
        <w:spacing w:after="160" w:line="259" w:lineRule="auto"/>
        <w:contextualSpacing/>
        <w:rPr>
          <w:rFonts w:ascii="Calibri" w:eastAsia="Times New Roman" w:hAnsi="Calibri" w:cs="Times New Roman"/>
          <w:kern w:val="2"/>
          <w14:ligatures w14:val="standardContextual"/>
        </w:rPr>
      </w:pPr>
      <w:r>
        <w:rPr>
          <w:rFonts w:ascii="Calibri" w:eastAsia="Times New Roman" w:hAnsi="Calibri" w:cs="Times New Roman"/>
          <w:kern w:val="2"/>
          <w14:ligatures w14:val="standardContextual"/>
        </w:rPr>
        <w:t xml:space="preserve">AI governance measures may be deemed informed and sufficient to warrant deference given the </w:t>
      </w:r>
      <w:r w:rsidR="00054694">
        <w:rPr>
          <w:rFonts w:ascii="Calibri" w:eastAsia="Times New Roman" w:hAnsi="Calibri" w:cs="Times New Roman"/>
          <w:kern w:val="2"/>
          <w14:ligatures w14:val="standardContextual"/>
        </w:rPr>
        <w:t xml:space="preserve">significance of </w:t>
      </w:r>
      <w:r>
        <w:rPr>
          <w:rFonts w:ascii="Calibri" w:eastAsia="Times New Roman" w:hAnsi="Calibri" w:cs="Times New Roman"/>
          <w:kern w:val="2"/>
          <w14:ligatures w14:val="standardContextual"/>
        </w:rPr>
        <w:t xml:space="preserve">available remedies. For instance, courts may interpret the standards articulated in </w:t>
      </w:r>
      <w:r w:rsidR="00054694">
        <w:rPr>
          <w:rFonts w:ascii="Calibri" w:eastAsia="Times New Roman" w:hAnsi="Calibri" w:cs="Times New Roman"/>
          <w:kern w:val="2"/>
          <w14:ligatures w14:val="standardContextual"/>
        </w:rPr>
        <w:t>an</w:t>
      </w:r>
      <w:r>
        <w:rPr>
          <w:rFonts w:ascii="Calibri" w:eastAsia="Times New Roman" w:hAnsi="Calibri" w:cs="Times New Roman"/>
          <w:kern w:val="2"/>
          <w14:ligatures w14:val="standardContextual"/>
        </w:rPr>
        <w:t xml:space="preserve"> AI policy as mitigating against </w:t>
      </w:r>
      <w:r w:rsidR="00630390" w:rsidRPr="00D63551">
        <w:rPr>
          <w:rFonts w:ascii="Calibri" w:eastAsia="Times New Roman" w:hAnsi="Calibri" w:cs="Times New Roman"/>
          <w:kern w:val="2"/>
          <w14:ligatures w14:val="standardContextual"/>
        </w:rPr>
        <w:t xml:space="preserve">a stay of proceedings </w:t>
      </w:r>
      <w:r>
        <w:rPr>
          <w:rFonts w:ascii="Calibri" w:eastAsia="Times New Roman" w:hAnsi="Calibri" w:cs="Times New Roman"/>
          <w:kern w:val="2"/>
          <w14:ligatures w14:val="standardContextual"/>
        </w:rPr>
        <w:t>as</w:t>
      </w:r>
      <w:r w:rsidR="00630390" w:rsidRPr="00D63551">
        <w:rPr>
          <w:rFonts w:ascii="Calibri" w:eastAsia="Times New Roman" w:hAnsi="Calibri" w:cs="Times New Roman"/>
          <w:kern w:val="2"/>
          <w14:ligatures w14:val="standardContextual"/>
        </w:rPr>
        <w:t xml:space="preserve"> a prospective remedy</w:t>
      </w:r>
      <w:r>
        <w:rPr>
          <w:rFonts w:ascii="Calibri" w:eastAsia="Times New Roman" w:hAnsi="Calibri" w:cs="Times New Roman"/>
          <w:kern w:val="2"/>
          <w14:ligatures w14:val="standardContextual"/>
        </w:rPr>
        <w:t xml:space="preserve"> even where </w:t>
      </w:r>
      <w:r w:rsidR="00630390" w:rsidRPr="00D63551">
        <w:rPr>
          <w:rFonts w:ascii="Calibri" w:eastAsia="Times New Roman" w:hAnsi="Calibri" w:cs="Times New Roman"/>
          <w:kern w:val="2"/>
          <w14:ligatures w14:val="standardContextual"/>
        </w:rPr>
        <w:t xml:space="preserve">the conduct and use of AI at issue is found to constitute a violation of </w:t>
      </w:r>
      <w:r w:rsidR="00630390" w:rsidRPr="00D63551">
        <w:rPr>
          <w:rFonts w:ascii="Calibri" w:eastAsia="Times New Roman" w:hAnsi="Calibri" w:cs="Times New Roman"/>
          <w:i/>
          <w:iCs/>
          <w:kern w:val="2"/>
          <w14:ligatures w14:val="standardContextual"/>
        </w:rPr>
        <w:t>Charter</w:t>
      </w:r>
      <w:r w:rsidR="00630390" w:rsidRPr="00D63551">
        <w:rPr>
          <w:rFonts w:ascii="Calibri" w:eastAsia="Times New Roman" w:hAnsi="Calibri" w:cs="Times New Roman"/>
          <w:kern w:val="2"/>
          <w14:ligatures w14:val="standardContextual"/>
        </w:rPr>
        <w:t xml:space="preserve"> rights.</w:t>
      </w:r>
      <w:r w:rsidR="00630390" w:rsidRPr="00D63551">
        <w:rPr>
          <w:rFonts w:ascii="Calibri" w:eastAsia="Times New Roman" w:hAnsi="Calibri" w:cs="Times New Roman"/>
          <w:kern w:val="2"/>
          <w:vertAlign w:val="superscript"/>
          <w14:ligatures w14:val="standardContextual"/>
        </w:rPr>
        <w:endnoteReference w:id="122"/>
      </w:r>
    </w:p>
    <w:p w14:paraId="3D659207" w14:textId="0AE1E75B" w:rsidR="00630390" w:rsidRPr="004D5061" w:rsidRDefault="00C70A80" w:rsidP="004D5061">
      <w:pPr>
        <w:numPr>
          <w:ilvl w:val="0"/>
          <w:numId w:val="111"/>
        </w:numPr>
        <w:autoSpaceDE w:val="0"/>
        <w:autoSpaceDN w:val="0"/>
        <w:adjustRightInd w:val="0"/>
        <w:spacing w:after="160" w:line="259" w:lineRule="auto"/>
        <w:contextualSpacing/>
        <w:rPr>
          <w:rFonts w:ascii="Calibri" w:eastAsia="Times New Roman" w:hAnsi="Calibri" w:cs="Times New Roman"/>
          <w:kern w:val="2"/>
          <w14:ligatures w14:val="standardContextual"/>
        </w:rPr>
      </w:pPr>
      <w:r>
        <w:rPr>
          <w:rFonts w:ascii="Calibri" w:eastAsia="Times New Roman" w:hAnsi="Calibri" w:cs="Times New Roman"/>
          <w:kern w:val="2"/>
          <w14:ligatures w14:val="standardContextual"/>
        </w:rPr>
        <w:t xml:space="preserve">AI may create valid new enforcement interests that will engage new or analogous concerns with a range of privacy rights. </w:t>
      </w:r>
      <w:r w:rsidR="00630390" w:rsidRPr="00D63551">
        <w:rPr>
          <w:rFonts w:ascii="Calibri" w:eastAsia="Times New Roman" w:hAnsi="Calibri" w:cs="Times New Roman"/>
          <w:kern w:val="2"/>
          <w14:ligatures w14:val="standardContextual"/>
        </w:rPr>
        <w:t>The TPSB policy acknowledges that new technologies may impact privacy, dignity, and equality of the individuals affected.</w:t>
      </w:r>
      <w:r>
        <w:rPr>
          <w:rFonts w:ascii="Calibri" w:eastAsia="Times New Roman" w:hAnsi="Calibri" w:cs="Times New Roman"/>
          <w:kern w:val="2"/>
          <w14:ligatures w14:val="standardContextual"/>
        </w:rPr>
        <w:t xml:space="preserve"> </w:t>
      </w:r>
      <w:r w:rsidR="00630390" w:rsidRPr="00D63551">
        <w:rPr>
          <w:rFonts w:ascii="Calibri" w:eastAsia="Times New Roman" w:hAnsi="Calibri" w:cs="Times New Roman"/>
          <w:kern w:val="2"/>
          <w14:ligatures w14:val="standardContextual"/>
        </w:rPr>
        <w:t>Courts have consistently held that there are permissible limits on the right to privacy when valid law enforcement interests are engaged, particularly following arrest.</w:t>
      </w:r>
      <w:r>
        <w:rPr>
          <w:rStyle w:val="EndnoteReference"/>
          <w:rFonts w:ascii="Calibri" w:eastAsia="Times New Roman" w:hAnsi="Calibri" w:cs="Times New Roman"/>
          <w:kern w:val="2"/>
          <w14:ligatures w14:val="standardContextual"/>
        </w:rPr>
        <w:endnoteReference w:id="123"/>
      </w:r>
      <w:r w:rsidR="004D5061">
        <w:rPr>
          <w:rFonts w:ascii="Calibri" w:eastAsia="Times New Roman" w:hAnsi="Calibri" w:cs="Times New Roman"/>
          <w:kern w:val="2"/>
          <w14:ligatures w14:val="standardContextual"/>
        </w:rPr>
        <w:t xml:space="preserve"> </w:t>
      </w:r>
      <w:r w:rsidR="00630390" w:rsidRPr="004D5061">
        <w:rPr>
          <w:rFonts w:ascii="Calibri" w:eastAsia="Calibri" w:hAnsi="Calibri" w:cs="Calibri"/>
          <w:color w:val="212121"/>
          <w:kern w:val="2"/>
          <w:bdr w:val="none" w:sz="0" w:space="0" w:color="auto" w:frame="1"/>
          <w:shd w:val="clear" w:color="auto" w:fill="FFFFFF"/>
          <w14:ligatures w14:val="standardContextual"/>
        </w:rPr>
        <w:t>However, criminal courts have also recognized that dignity and bodily integrity must be respected</w:t>
      </w:r>
      <w:r w:rsidR="004D5061">
        <w:rPr>
          <w:rFonts w:ascii="Calibri" w:eastAsia="Calibri" w:hAnsi="Calibri" w:cs="Calibri"/>
          <w:color w:val="212121"/>
          <w:kern w:val="2"/>
          <w:bdr w:val="none" w:sz="0" w:space="0" w:color="auto" w:frame="1"/>
          <w:shd w:val="clear" w:color="auto" w:fill="FFFFFF"/>
          <w14:ligatures w14:val="standardContextual"/>
        </w:rPr>
        <w:t>, raising the prospect that complex, data-driven systems like AI may engage such rights.</w:t>
      </w:r>
      <w:r w:rsidR="004D5061" w:rsidRPr="00D63551">
        <w:rPr>
          <w:rFonts w:ascii="Calibri" w:eastAsia="Times New Roman" w:hAnsi="Calibri" w:cs="Calibri"/>
          <w:kern w:val="2"/>
          <w:vertAlign w:val="superscript"/>
          <w14:ligatures w14:val="standardContextual"/>
        </w:rPr>
        <w:endnoteReference w:id="124"/>
      </w:r>
    </w:p>
    <w:p w14:paraId="7C9FE870" w14:textId="77777777" w:rsidR="00630390" w:rsidRPr="00D63551" w:rsidRDefault="00630390" w:rsidP="00D63551">
      <w:pPr>
        <w:autoSpaceDE w:val="0"/>
        <w:autoSpaceDN w:val="0"/>
        <w:adjustRightInd w:val="0"/>
        <w:ind w:left="720"/>
        <w:rPr>
          <w:rFonts w:ascii="Calibri" w:eastAsia="Calibri" w:hAnsi="Calibri" w:cs="Calibri"/>
          <w:i/>
          <w:iCs/>
          <w:color w:val="212121"/>
          <w:kern w:val="2"/>
          <w:shd w:val="clear" w:color="auto" w:fill="FFFFFF"/>
          <w14:ligatures w14:val="standardContextual"/>
        </w:rPr>
      </w:pPr>
    </w:p>
    <w:p w14:paraId="14464806" w14:textId="07623F42" w:rsidR="00630390" w:rsidRPr="00D63551" w:rsidRDefault="00630390" w:rsidP="00D63551">
      <w:pPr>
        <w:autoSpaceDE w:val="0"/>
        <w:autoSpaceDN w:val="0"/>
        <w:adjustRightInd w:val="0"/>
        <w:rPr>
          <w:rFonts w:ascii="Calibri" w:eastAsia="Times New Roman" w:hAnsi="Calibri" w:cs="Calibri"/>
          <w:kern w:val="2"/>
          <w14:ligatures w14:val="standardContextual"/>
        </w:rPr>
      </w:pPr>
      <w:r w:rsidRPr="00D63551">
        <w:rPr>
          <w:rFonts w:ascii="Calibri" w:eastAsia="Times New Roman" w:hAnsi="Calibri" w:cs="Calibri"/>
          <w:kern w:val="2"/>
          <w14:ligatures w14:val="standardContextual"/>
        </w:rPr>
        <w:t>The balancing of these interests will always be context driven and before the criminal law is likely to factor significantly into the conclusions reached regarding the appropriate balance. Consider a “street checks” analogy.</w:t>
      </w:r>
      <w:r w:rsidR="000110D8">
        <w:rPr>
          <w:rFonts w:ascii="Calibri" w:eastAsia="Times New Roman" w:hAnsi="Calibri" w:cs="Calibri"/>
          <w:kern w:val="2"/>
          <w14:ligatures w14:val="standardContextual"/>
        </w:rPr>
        <w:t xml:space="preserve"> </w:t>
      </w:r>
      <w:r w:rsidRPr="00D63551">
        <w:rPr>
          <w:rFonts w:ascii="Calibri" w:eastAsia="Times New Roman" w:hAnsi="Calibri" w:cs="Calibri"/>
          <w:kern w:val="2"/>
          <w14:ligatures w14:val="standardContextual"/>
        </w:rPr>
        <w:t>As a stand-alone practice, street checks might support a court’s finding of a valid law enforcement objective.</w:t>
      </w:r>
      <w:r w:rsidR="000110D8">
        <w:rPr>
          <w:rFonts w:ascii="Calibri" w:eastAsia="Times New Roman" w:hAnsi="Calibri" w:cs="Calibri"/>
          <w:kern w:val="2"/>
          <w14:ligatures w14:val="standardContextual"/>
        </w:rPr>
        <w:t xml:space="preserve"> </w:t>
      </w:r>
      <w:r w:rsidRPr="00D63551">
        <w:rPr>
          <w:rFonts w:ascii="Calibri" w:eastAsia="Times New Roman" w:hAnsi="Calibri" w:cs="Calibri"/>
          <w:kern w:val="2"/>
          <w14:ligatures w14:val="standardContextual"/>
        </w:rPr>
        <w:t>However, the validity of the law enforcement objective is likely to be outweighed by concerns regarding the infringement of rights</w:t>
      </w:r>
      <w:r w:rsidR="000110D8">
        <w:rPr>
          <w:rFonts w:ascii="Calibri" w:eastAsia="Times New Roman" w:hAnsi="Calibri" w:cs="Calibri"/>
          <w:kern w:val="2"/>
          <w14:ligatures w14:val="standardContextual"/>
        </w:rPr>
        <w:t xml:space="preserve"> where the practice is </w:t>
      </w:r>
      <w:r w:rsidRPr="00D63551">
        <w:rPr>
          <w:rFonts w:ascii="Calibri" w:eastAsia="Times New Roman" w:hAnsi="Calibri" w:cs="Calibri"/>
          <w:kern w:val="2"/>
          <w14:ligatures w14:val="standardContextual"/>
        </w:rPr>
        <w:t xml:space="preserve">premised or applied in a </w:t>
      </w:r>
      <w:r w:rsidRPr="00D63551">
        <w:rPr>
          <w:rFonts w:ascii="Calibri" w:eastAsia="Times New Roman" w:hAnsi="Calibri" w:cs="Calibri"/>
          <w:kern w:val="2"/>
          <w14:ligatures w14:val="standardContextual"/>
        </w:rPr>
        <w:lastRenderedPageBreak/>
        <w:t>biased or discriminatory fashion, or to otherwise negatively impact racialized and other historically disadvantaged groups.</w:t>
      </w:r>
    </w:p>
    <w:p w14:paraId="6745CF97" w14:textId="77777777" w:rsidR="00630390" w:rsidRPr="00D63551" w:rsidRDefault="00630390" w:rsidP="00D63551">
      <w:pPr>
        <w:autoSpaceDE w:val="0"/>
        <w:autoSpaceDN w:val="0"/>
        <w:adjustRightInd w:val="0"/>
        <w:rPr>
          <w:rFonts w:ascii="Calibri" w:eastAsia="Times New Roman" w:hAnsi="Calibri" w:cs="Times New Roman"/>
          <w:kern w:val="2"/>
          <w14:ligatures w14:val="standardContextual"/>
        </w:rPr>
      </w:pPr>
    </w:p>
    <w:p w14:paraId="39F9986D" w14:textId="4F160227" w:rsidR="00630390" w:rsidRDefault="00630390" w:rsidP="00D63551">
      <w:pPr>
        <w:autoSpaceDE w:val="0"/>
        <w:autoSpaceDN w:val="0"/>
        <w:adjustRightInd w:val="0"/>
        <w:rPr>
          <w:rFonts w:ascii="Calibri" w:eastAsia="Times New Roman" w:hAnsi="Calibri" w:cs="Times New Roman"/>
          <w:kern w:val="2"/>
          <w14:ligatures w14:val="standardContextual"/>
        </w:rPr>
      </w:pPr>
      <w:r w:rsidRPr="00D63551">
        <w:rPr>
          <w:rFonts w:ascii="Calibri" w:eastAsia="Times New Roman" w:hAnsi="Calibri" w:cs="Times New Roman"/>
          <w:kern w:val="2"/>
          <w14:ligatures w14:val="standardContextual"/>
        </w:rPr>
        <w:t xml:space="preserve">The TPSB </w:t>
      </w:r>
      <w:r w:rsidR="000110D8">
        <w:rPr>
          <w:rFonts w:ascii="Calibri" w:eastAsia="Times New Roman" w:hAnsi="Calibri" w:cs="Times New Roman"/>
          <w:kern w:val="2"/>
          <w14:ligatures w14:val="standardContextual"/>
        </w:rPr>
        <w:t xml:space="preserve">Use of AI </w:t>
      </w:r>
      <w:r w:rsidRPr="00D63551">
        <w:rPr>
          <w:rFonts w:ascii="Calibri" w:eastAsia="Times New Roman" w:hAnsi="Calibri" w:cs="Times New Roman"/>
          <w:kern w:val="2"/>
          <w14:ligatures w14:val="standardContextual"/>
        </w:rPr>
        <w:t>policy states that all use of technology, including AI technology, will adhere to a number of principles including transparency.</w:t>
      </w:r>
      <w:r>
        <w:rPr>
          <w:rFonts w:ascii="Calibri" w:eastAsia="Times New Roman" w:hAnsi="Calibri" w:cs="Times New Roman"/>
          <w:kern w:val="2"/>
          <w14:ligatures w14:val="standardContextual"/>
        </w:rPr>
        <w:t xml:space="preserve"> </w:t>
      </w:r>
      <w:r w:rsidR="00F11D09" w:rsidRPr="00D63551">
        <w:rPr>
          <w:rFonts w:ascii="Calibri" w:eastAsia="Times New Roman" w:hAnsi="Calibri" w:cs="Times New Roman"/>
          <w:kern w:val="2"/>
          <w14:ligatures w14:val="standardContextual"/>
        </w:rPr>
        <w:t>Specifically,</w:t>
      </w:r>
      <w:r w:rsidRPr="00D63551">
        <w:rPr>
          <w:rFonts w:ascii="Calibri" w:eastAsia="Times New Roman" w:hAnsi="Calibri" w:cs="Times New Roman"/>
          <w:kern w:val="2"/>
          <w14:ligatures w14:val="standardContextual"/>
        </w:rPr>
        <w:t xml:space="preserve"> under the transparency heading the policy states: </w:t>
      </w:r>
      <w:r w:rsidRPr="00D01302">
        <w:rPr>
          <w:rFonts w:ascii="Calibri" w:eastAsia="Times New Roman" w:hAnsi="Calibri" w:cs="Times New Roman"/>
          <w:kern w:val="2"/>
          <w14:ligatures w14:val="standardContextual"/>
        </w:rPr>
        <w:t>“[w]here a decision assisted by AI technology may lead to the laying of criminal or other charges against an individual, the possible influence of the AI technology must be included in the disclosure provided to the Crown.”</w:t>
      </w:r>
      <w:r w:rsidRPr="00D01302">
        <w:rPr>
          <w:rFonts w:ascii="Calibri" w:eastAsia="Times New Roman" w:hAnsi="Calibri" w:cs="Times New Roman"/>
          <w:kern w:val="2"/>
          <w:vertAlign w:val="superscript"/>
          <w14:ligatures w14:val="standardContextual"/>
        </w:rPr>
        <w:endnoteReference w:id="125"/>
      </w:r>
    </w:p>
    <w:p w14:paraId="79A5FF18" w14:textId="77777777" w:rsidR="00630390" w:rsidRDefault="00630390" w:rsidP="00D63551">
      <w:pPr>
        <w:autoSpaceDE w:val="0"/>
        <w:autoSpaceDN w:val="0"/>
        <w:adjustRightInd w:val="0"/>
        <w:rPr>
          <w:rFonts w:ascii="Calibri" w:eastAsia="Times New Roman" w:hAnsi="Calibri" w:cs="Times New Roman"/>
          <w:kern w:val="2"/>
          <w14:ligatures w14:val="standardContextual"/>
        </w:rPr>
      </w:pPr>
    </w:p>
    <w:p w14:paraId="34B96870" w14:textId="1A5D6E55" w:rsidR="00630390" w:rsidRDefault="00630390" w:rsidP="00D63551">
      <w:pPr>
        <w:autoSpaceDE w:val="0"/>
        <w:autoSpaceDN w:val="0"/>
        <w:adjustRightInd w:val="0"/>
        <w:rPr>
          <w:rFonts w:ascii="Calibri" w:eastAsia="Times New Roman" w:hAnsi="Calibri" w:cs="Calibri"/>
          <w:kern w:val="2"/>
          <w14:ligatures w14:val="standardContextual"/>
        </w:rPr>
      </w:pPr>
      <w:r w:rsidRPr="00D63551">
        <w:rPr>
          <w:rFonts w:ascii="Calibri" w:eastAsia="Times New Roman" w:hAnsi="Calibri" w:cs="Times New Roman"/>
          <w:kern w:val="2"/>
          <w14:ligatures w14:val="standardContextual"/>
        </w:rPr>
        <w:t xml:space="preserve">Trial and appellate courts are certainly empowered to review issues related to alleged non-disclosure. Where charges are laid, disclosure of the factors which featured in the formulation of reasonable grounds would be expected to be shared in disclosure materials. However, it is difficult to imagine how the obligation the TPSB </w:t>
      </w:r>
      <w:r w:rsidRPr="00D63551">
        <w:rPr>
          <w:rFonts w:ascii="Calibri" w:eastAsia="Times New Roman" w:hAnsi="Calibri" w:cs="Calibri"/>
          <w:kern w:val="2"/>
          <w14:ligatures w14:val="standardContextual"/>
        </w:rPr>
        <w:t xml:space="preserve">policy contemplates under the heading transparency in relation to charges which “may” be laid could ever be taken up by courts or supported by the Crown given jurisdictional concerns and the well-established privilege relative to matters under investigation.  </w:t>
      </w:r>
    </w:p>
    <w:p w14:paraId="39BBD52F" w14:textId="77777777" w:rsidR="00630390" w:rsidRDefault="00630390" w:rsidP="00D63551">
      <w:pPr>
        <w:autoSpaceDE w:val="0"/>
        <w:autoSpaceDN w:val="0"/>
        <w:adjustRightInd w:val="0"/>
        <w:rPr>
          <w:rFonts w:ascii="Calibri" w:eastAsia="Times New Roman" w:hAnsi="Calibri" w:cs="Calibri"/>
          <w:kern w:val="2"/>
          <w14:ligatures w14:val="standardContextual"/>
        </w:rPr>
      </w:pPr>
    </w:p>
    <w:p w14:paraId="4D4E1E19" w14:textId="0AF67A25" w:rsidR="00630390" w:rsidRDefault="00630390" w:rsidP="00D63551">
      <w:pPr>
        <w:autoSpaceDE w:val="0"/>
        <w:autoSpaceDN w:val="0"/>
        <w:adjustRightInd w:val="0"/>
        <w:rPr>
          <w:rFonts w:ascii="Calibri" w:eastAsia="Times New Roman" w:hAnsi="Calibri" w:cs="Calibri"/>
          <w:kern w:val="2"/>
          <w14:ligatures w14:val="standardContextual"/>
        </w:rPr>
      </w:pPr>
      <w:r w:rsidRPr="00D63551">
        <w:rPr>
          <w:rFonts w:ascii="Calibri" w:eastAsia="Times New Roman" w:hAnsi="Calibri" w:cs="Calibri"/>
          <w:kern w:val="2"/>
          <w14:ligatures w14:val="standardContextual"/>
        </w:rPr>
        <w:t xml:space="preserve">Perhaps the passage cited above is intended to convey that: </w:t>
      </w:r>
      <w:r w:rsidRPr="000110D8">
        <w:rPr>
          <w:rFonts w:ascii="Calibri" w:eastAsia="Times New Roman" w:hAnsi="Calibri" w:cs="Calibri"/>
          <w:kern w:val="2"/>
          <w14:ligatures w14:val="standardContextual"/>
        </w:rPr>
        <w:t xml:space="preserve">“[w]here a decision assisted by AI technology may </w:t>
      </w:r>
      <w:r w:rsidRPr="000110D8">
        <w:rPr>
          <w:rFonts w:ascii="Calibri" w:eastAsia="Times New Roman" w:hAnsi="Calibri" w:cs="Calibri"/>
          <w:b/>
          <w:bCs/>
          <w:kern w:val="2"/>
          <w:u w:val="single"/>
          <w14:ligatures w14:val="standardContextual"/>
        </w:rPr>
        <w:t>have</w:t>
      </w:r>
      <w:r w:rsidRPr="000110D8">
        <w:rPr>
          <w:rFonts w:ascii="Calibri" w:eastAsia="Times New Roman" w:hAnsi="Calibri" w:cs="Calibri"/>
          <w:kern w:val="2"/>
          <w:u w:val="single"/>
          <w14:ligatures w14:val="standardContextual"/>
        </w:rPr>
        <w:t xml:space="preserve"> </w:t>
      </w:r>
      <w:r w:rsidRPr="000110D8">
        <w:rPr>
          <w:rFonts w:ascii="Calibri" w:eastAsia="Times New Roman" w:hAnsi="Calibri" w:cs="Calibri"/>
          <w:b/>
          <w:bCs/>
          <w:kern w:val="2"/>
          <w:u w:val="single"/>
          <w14:ligatures w14:val="standardContextual"/>
        </w:rPr>
        <w:t>led</w:t>
      </w:r>
      <w:r w:rsidRPr="000110D8">
        <w:rPr>
          <w:rFonts w:ascii="Calibri" w:eastAsia="Times New Roman" w:hAnsi="Calibri" w:cs="Calibri"/>
          <w:kern w:val="2"/>
          <w14:ligatures w14:val="standardContextual"/>
        </w:rPr>
        <w:t xml:space="preserve"> to the laying of criminal or other charges against an individual, the possible influence of the AI technology must be included in the disclosure provided to the Crown.”  </w:t>
      </w:r>
      <w:r w:rsidRPr="00D63551">
        <w:rPr>
          <w:rFonts w:ascii="Calibri" w:eastAsia="Times New Roman" w:hAnsi="Calibri" w:cs="Calibri"/>
          <w:kern w:val="2"/>
          <w14:ligatures w14:val="standardContextual"/>
        </w:rPr>
        <w:t>Especially since</w:t>
      </w:r>
      <w:r w:rsidR="00D01302">
        <w:rPr>
          <w:rFonts w:ascii="Calibri" w:eastAsia="Times New Roman" w:hAnsi="Calibri" w:cs="Calibri"/>
          <w:kern w:val="2"/>
          <w14:ligatures w14:val="standardContextual"/>
        </w:rPr>
        <w:t xml:space="preserve"> </w:t>
      </w:r>
      <w:r w:rsidRPr="00D63551">
        <w:rPr>
          <w:rFonts w:ascii="Calibri" w:eastAsia="Times New Roman" w:hAnsi="Calibri" w:cs="Calibri"/>
          <w:kern w:val="2"/>
          <w14:ligatures w14:val="standardContextual"/>
        </w:rPr>
        <w:t xml:space="preserve">the policy states:  </w:t>
      </w:r>
    </w:p>
    <w:p w14:paraId="288AA6AA" w14:textId="77777777" w:rsidR="00630390" w:rsidRDefault="00630390" w:rsidP="00D63551">
      <w:pPr>
        <w:autoSpaceDE w:val="0"/>
        <w:autoSpaceDN w:val="0"/>
        <w:adjustRightInd w:val="0"/>
        <w:rPr>
          <w:rFonts w:ascii="Calibri" w:eastAsia="Times New Roman" w:hAnsi="Calibri" w:cs="Calibri"/>
          <w:kern w:val="2"/>
          <w14:ligatures w14:val="standardContextual"/>
        </w:rPr>
      </w:pPr>
    </w:p>
    <w:p w14:paraId="3250CD53" w14:textId="77777777" w:rsidR="00630390" w:rsidRPr="00CA700C" w:rsidRDefault="00630390" w:rsidP="00874520">
      <w:pPr>
        <w:pStyle w:val="Quote"/>
        <w:jc w:val="both"/>
        <w:rPr>
          <w:i w:val="0"/>
          <w:iCs w:val="0"/>
          <w:shd w:val="clear" w:color="auto" w:fill="FFFFFF"/>
        </w:rPr>
      </w:pPr>
      <w:r w:rsidRPr="00CA700C">
        <w:rPr>
          <w:rFonts w:eastAsia="Times New Roman"/>
          <w:i w:val="0"/>
          <w:iCs w:val="0"/>
        </w:rPr>
        <w:t>“</w:t>
      </w:r>
      <w:r w:rsidRPr="00CA700C">
        <w:rPr>
          <w:i w:val="0"/>
          <w:iCs w:val="0"/>
          <w:shd w:val="clear" w:color="auto" w:fill="FFFFFF"/>
        </w:rPr>
        <w:t>Where full transparency may unduly endanger the efficacy of investigative techniques or operations, the Service will endeavour to make publicly available as much information about the AI technology as possible . . .”</w:t>
      </w:r>
      <w:r w:rsidRPr="00CA700C">
        <w:rPr>
          <w:i w:val="0"/>
          <w:iCs w:val="0"/>
          <w:shd w:val="clear" w:color="auto" w:fill="FFFFFF"/>
          <w:vertAlign w:val="superscript"/>
        </w:rPr>
        <w:endnoteReference w:id="126"/>
      </w:r>
      <w:r w:rsidRPr="00CA700C">
        <w:rPr>
          <w:i w:val="0"/>
          <w:iCs w:val="0"/>
          <w:shd w:val="clear" w:color="auto" w:fill="FFFFFF"/>
        </w:rPr>
        <w:t xml:space="preserve">  </w:t>
      </w:r>
    </w:p>
    <w:p w14:paraId="50F990D3" w14:textId="77777777" w:rsidR="00630390" w:rsidRDefault="00630390" w:rsidP="00D63551">
      <w:pPr>
        <w:autoSpaceDE w:val="0"/>
        <w:autoSpaceDN w:val="0"/>
        <w:adjustRightInd w:val="0"/>
        <w:rPr>
          <w:rFonts w:ascii="Calibri" w:eastAsia="Calibri" w:hAnsi="Calibri" w:cs="Calibri"/>
          <w:color w:val="222021"/>
          <w:kern w:val="2"/>
          <w:shd w:val="clear" w:color="auto" w:fill="FFFFFF"/>
          <w14:ligatures w14:val="standardContextual"/>
        </w:rPr>
      </w:pPr>
    </w:p>
    <w:p w14:paraId="7C39C3A5" w14:textId="3D77474C" w:rsidR="00630390" w:rsidRPr="00D63551" w:rsidRDefault="00630390" w:rsidP="00D63551">
      <w:pPr>
        <w:autoSpaceDE w:val="0"/>
        <w:autoSpaceDN w:val="0"/>
        <w:adjustRightInd w:val="0"/>
        <w:rPr>
          <w:rFonts w:ascii="Calibri" w:eastAsia="Times New Roman" w:hAnsi="Calibri" w:cs="Calibri"/>
          <w:kern w:val="2"/>
          <w14:ligatures w14:val="standardContextual"/>
        </w:rPr>
      </w:pPr>
      <w:r w:rsidRPr="00D63551">
        <w:rPr>
          <w:rFonts w:ascii="Calibri" w:eastAsia="Calibri" w:hAnsi="Calibri" w:cs="Calibri"/>
          <w:color w:val="222021"/>
          <w:kern w:val="2"/>
          <w:shd w:val="clear" w:color="auto" w:fill="FFFFFF"/>
          <w14:ligatures w14:val="standardContextual"/>
        </w:rPr>
        <w:t xml:space="preserve">However, another question arises.  Consider </w:t>
      </w:r>
      <w:r w:rsidRPr="00D63551">
        <w:rPr>
          <w:rFonts w:ascii="Calibri" w:eastAsia="Times New Roman" w:hAnsi="Calibri" w:cs="Calibri"/>
          <w:kern w:val="2"/>
          <w14:ligatures w14:val="standardContextual"/>
        </w:rPr>
        <w:t>the obligation under the heading Review and Assessment of new AI Technologies that</w:t>
      </w:r>
      <w:r w:rsidR="00874520">
        <w:rPr>
          <w:rFonts w:ascii="Calibri" w:eastAsia="Times New Roman" w:hAnsi="Calibri" w:cs="Calibri"/>
          <w:kern w:val="2"/>
          <w14:ligatures w14:val="standardContextual"/>
        </w:rPr>
        <w:t>:</w:t>
      </w:r>
    </w:p>
    <w:p w14:paraId="55E96BFF" w14:textId="77777777" w:rsidR="00630390" w:rsidRDefault="00630390" w:rsidP="00D63551">
      <w:pPr>
        <w:autoSpaceDE w:val="0"/>
        <w:autoSpaceDN w:val="0"/>
        <w:adjustRightInd w:val="0"/>
        <w:rPr>
          <w:rFonts w:ascii="Calibri" w:eastAsia="Times New Roman" w:hAnsi="Calibri" w:cs="Calibri"/>
          <w:kern w:val="2"/>
          <w14:ligatures w14:val="standardContextual"/>
        </w:rPr>
      </w:pPr>
    </w:p>
    <w:p w14:paraId="4F139171" w14:textId="1135BEE7" w:rsidR="00630390" w:rsidRPr="00CA700C" w:rsidRDefault="00630390" w:rsidP="00874520">
      <w:pPr>
        <w:pStyle w:val="Quote"/>
        <w:jc w:val="both"/>
        <w:rPr>
          <w:i w:val="0"/>
          <w:iCs w:val="0"/>
          <w:lang w:eastAsia="en-CA"/>
        </w:rPr>
      </w:pPr>
      <w:r w:rsidRPr="00CA700C">
        <w:rPr>
          <w:i w:val="0"/>
          <w:iCs w:val="0"/>
          <w:kern w:val="2"/>
          <w14:ligatures w14:val="standardContextual"/>
        </w:rPr>
        <w:t xml:space="preserve">“all Toronto Police Service members be trained to </w:t>
      </w:r>
      <w:r w:rsidRPr="00CA700C">
        <w:rPr>
          <w:i w:val="0"/>
          <w:iCs w:val="0"/>
          <w:lang w:eastAsia="en-CA"/>
        </w:rPr>
        <w:t>identify new AI technologies” for the purpose of obtaining an approval in accordance with [section] 1(a).  [Section] 1(a) stipulates that TPS members “may not use new AI technologies prior to receiving approval and training in accordance with the procedures and processes.”</w:t>
      </w:r>
    </w:p>
    <w:p w14:paraId="3CBF89AC" w14:textId="77777777" w:rsidR="00630390" w:rsidRPr="00D63551" w:rsidRDefault="00630390" w:rsidP="00D63551">
      <w:pPr>
        <w:autoSpaceDE w:val="0"/>
        <w:autoSpaceDN w:val="0"/>
        <w:adjustRightInd w:val="0"/>
        <w:rPr>
          <w:rFonts w:ascii="Calibri" w:eastAsia="Times New Roman" w:hAnsi="Calibri" w:cs="Times New Roman"/>
          <w:kern w:val="2"/>
          <w:highlight w:val="magenta"/>
          <w14:ligatures w14:val="standardContextual"/>
        </w:rPr>
      </w:pPr>
    </w:p>
    <w:p w14:paraId="1B115B5C" w14:textId="110BEE46" w:rsidR="00630390" w:rsidRPr="00D63551" w:rsidRDefault="00630390" w:rsidP="00D63551">
      <w:pPr>
        <w:autoSpaceDE w:val="0"/>
        <w:autoSpaceDN w:val="0"/>
        <w:adjustRightInd w:val="0"/>
        <w:rPr>
          <w:rFonts w:ascii="Calibri" w:eastAsia="Times New Roman" w:hAnsi="Calibri" w:cs="Times New Roman"/>
          <w:kern w:val="2"/>
          <w14:ligatures w14:val="standardContextual"/>
        </w:rPr>
      </w:pPr>
      <w:r w:rsidRPr="00D63551">
        <w:rPr>
          <w:rFonts w:ascii="Calibri" w:eastAsia="Times New Roman" w:hAnsi="Calibri" w:cs="Times New Roman"/>
          <w:kern w:val="2"/>
          <w14:ligatures w14:val="standardContextual"/>
        </w:rPr>
        <w:t>How can individual TPS members be expected to recognize AI impacts?  Is there anyway to ensure effective training in this regard? Is this obligation on police officers, possible to achieve, fair, reasonable, and/or enforceable?</w:t>
      </w:r>
    </w:p>
    <w:p w14:paraId="65FD4371" w14:textId="77777777" w:rsidR="00630390" w:rsidRPr="00D63551" w:rsidRDefault="00630390" w:rsidP="00D63551">
      <w:pPr>
        <w:autoSpaceDE w:val="0"/>
        <w:autoSpaceDN w:val="0"/>
        <w:adjustRightInd w:val="0"/>
        <w:rPr>
          <w:rFonts w:ascii="Calibri" w:eastAsia="Times New Roman" w:hAnsi="Calibri" w:cs="Times New Roman"/>
          <w:strike/>
          <w:kern w:val="2"/>
          <w:highlight w:val="magenta"/>
          <w14:ligatures w14:val="standardContextual"/>
        </w:rPr>
      </w:pPr>
    </w:p>
    <w:p w14:paraId="3F732D47" w14:textId="263A6AAE" w:rsidR="00630390" w:rsidRDefault="00630390" w:rsidP="00D63551">
      <w:pPr>
        <w:autoSpaceDE w:val="0"/>
        <w:autoSpaceDN w:val="0"/>
        <w:adjustRightInd w:val="0"/>
        <w:rPr>
          <w:rFonts w:ascii="Calibri" w:eastAsia="Times New Roman" w:hAnsi="Calibri" w:cs="Times New Roman"/>
          <w:kern w:val="2"/>
          <w14:ligatures w14:val="standardContextual"/>
        </w:rPr>
      </w:pPr>
      <w:r>
        <w:rPr>
          <w:rFonts w:ascii="Calibri" w:eastAsia="Times New Roman" w:hAnsi="Calibri" w:cs="Times New Roman"/>
          <w:kern w:val="2"/>
          <w14:ligatures w14:val="standardContextual"/>
        </w:rPr>
        <w:lastRenderedPageBreak/>
        <w:t>Subsequent to these developments, the</w:t>
      </w:r>
      <w:r w:rsidRPr="00D63551">
        <w:rPr>
          <w:rFonts w:ascii="Calibri" w:eastAsia="Times New Roman" w:hAnsi="Calibri" w:cs="Times New Roman"/>
          <w:kern w:val="2"/>
          <w14:ligatures w14:val="standardContextual"/>
        </w:rPr>
        <w:t xml:space="preserve"> Information and Privacy Commissioner of Ontario (IPC) wrote to the Toronto Police Service Board in a letter dated December 20, 2021 as part of the public consultation process. The letter addressed recommendations aimed at clarifying and strengthening the policy, which are summarized here for guidance when assessing other AI policies. The IPC’s letter included recommendations to clarify the focus, definitions of key terms, and who and what are covered in a dedicated scope section of the policy such that</w:t>
      </w:r>
      <w:r>
        <w:rPr>
          <w:rFonts w:ascii="Calibri" w:eastAsia="Times New Roman" w:hAnsi="Calibri" w:cs="Times New Roman"/>
          <w:kern w:val="2"/>
          <w14:ligatures w14:val="standardContextual"/>
        </w:rPr>
        <w:t>:</w:t>
      </w:r>
    </w:p>
    <w:p w14:paraId="5A0E4B9A" w14:textId="77777777" w:rsidR="00630390" w:rsidRDefault="00630390" w:rsidP="00D63551">
      <w:pPr>
        <w:autoSpaceDE w:val="0"/>
        <w:autoSpaceDN w:val="0"/>
        <w:adjustRightInd w:val="0"/>
        <w:rPr>
          <w:rFonts w:ascii="Calibri" w:eastAsia="Times New Roman" w:hAnsi="Calibri" w:cs="Times New Roman"/>
          <w:kern w:val="2"/>
          <w14:ligatures w14:val="standardContextual"/>
        </w:rPr>
      </w:pPr>
    </w:p>
    <w:p w14:paraId="35E23D19" w14:textId="55643090" w:rsidR="00630390" w:rsidRPr="00D3328C" w:rsidRDefault="00630390" w:rsidP="00D63551">
      <w:pPr>
        <w:pStyle w:val="Quote"/>
        <w:jc w:val="both"/>
        <w:rPr>
          <w:i w:val="0"/>
          <w:iCs w:val="0"/>
        </w:rPr>
      </w:pPr>
      <w:r w:rsidRPr="00D3328C">
        <w:rPr>
          <w:i w:val="0"/>
          <w:iCs w:val="0"/>
        </w:rPr>
        <w:t>“there is no doubt about whether ‘members of the public’ includes victims of crime, complainants, person of interest, suspects, people in custody, Service members themselves, or job applicants to the Service.  Ambiguity about the Policy’s scope could lead to uncertainty about whether or not tools such as those to detect altered fingerprints, crack mobile device passcodes, monitor Service member stress levels, or streamline recruiting processes at the Service would be subject to the Policy.”</w:t>
      </w:r>
      <w:r w:rsidR="00231193" w:rsidRPr="00D3328C">
        <w:rPr>
          <w:rStyle w:val="EndnoteReference"/>
          <w:i w:val="0"/>
          <w:iCs w:val="0"/>
        </w:rPr>
        <w:endnoteReference w:id="127"/>
      </w:r>
    </w:p>
    <w:p w14:paraId="5A182AEA" w14:textId="77777777" w:rsidR="00874520" w:rsidRDefault="00630390" w:rsidP="00D63551">
      <w:pPr>
        <w:autoSpaceDE w:val="0"/>
        <w:autoSpaceDN w:val="0"/>
        <w:adjustRightInd w:val="0"/>
        <w:rPr>
          <w:rFonts w:ascii="Calibri" w:eastAsia="Times New Roman" w:hAnsi="Calibri" w:cs="Times New Roman"/>
          <w:kern w:val="2"/>
          <w14:ligatures w14:val="standardContextual"/>
        </w:rPr>
      </w:pPr>
      <w:r w:rsidRPr="00D63551">
        <w:rPr>
          <w:rFonts w:ascii="Calibri" w:eastAsia="Times New Roman" w:hAnsi="Calibri" w:cs="Times New Roman"/>
          <w:kern w:val="2"/>
          <w14:ligatures w14:val="standardContextual"/>
        </w:rPr>
        <w:t>It was also recommended that the TPSB ensure de-identified information and group privacy issues are in-scope, clearly require a retroactive assessment of AI currently in use by the Service and rework the risk rating scheme.</w:t>
      </w:r>
    </w:p>
    <w:p w14:paraId="0593ACBF" w14:textId="77777777" w:rsidR="00874520" w:rsidRDefault="00874520" w:rsidP="00D63551">
      <w:pPr>
        <w:autoSpaceDE w:val="0"/>
        <w:autoSpaceDN w:val="0"/>
        <w:adjustRightInd w:val="0"/>
        <w:rPr>
          <w:rFonts w:ascii="Calibri" w:eastAsia="Times New Roman" w:hAnsi="Calibri" w:cs="Times New Roman"/>
          <w:kern w:val="2"/>
          <w14:ligatures w14:val="standardContextual"/>
        </w:rPr>
      </w:pPr>
    </w:p>
    <w:p w14:paraId="2A049398" w14:textId="6C3342B9" w:rsidR="00630390" w:rsidRDefault="00630390" w:rsidP="00D63551">
      <w:pPr>
        <w:autoSpaceDE w:val="0"/>
        <w:autoSpaceDN w:val="0"/>
        <w:adjustRightInd w:val="0"/>
        <w:rPr>
          <w:rFonts w:ascii="Calibri" w:eastAsia="Times New Roman" w:hAnsi="Calibri" w:cs="Times New Roman"/>
          <w:kern w:val="2"/>
          <w14:ligatures w14:val="standardContextual"/>
        </w:rPr>
      </w:pPr>
      <w:r w:rsidRPr="00D63551">
        <w:rPr>
          <w:rFonts w:ascii="Calibri" w:eastAsia="Times New Roman" w:hAnsi="Calibri" w:cs="Times New Roman"/>
          <w:kern w:val="2"/>
          <w14:ligatures w14:val="standardContextual"/>
        </w:rPr>
        <w:t>Regarding risk, it was recommended that the risk ratings scheme should be based on harm rather than applications; that TPSB recognize that use of multiple AI systems may be used in ways that cumulatively may lead to new risks, and that members of impacted communities be included in the stakeholders involved in the development of the risk rating scheme.</w:t>
      </w:r>
    </w:p>
    <w:p w14:paraId="49DD11F4" w14:textId="77777777" w:rsidR="00630390" w:rsidRDefault="00630390" w:rsidP="00D63551">
      <w:pPr>
        <w:autoSpaceDE w:val="0"/>
        <w:autoSpaceDN w:val="0"/>
        <w:adjustRightInd w:val="0"/>
        <w:rPr>
          <w:rFonts w:ascii="Calibri" w:eastAsia="Times New Roman" w:hAnsi="Calibri" w:cs="Times New Roman"/>
          <w:kern w:val="2"/>
          <w14:ligatures w14:val="standardContextual"/>
        </w:rPr>
      </w:pPr>
    </w:p>
    <w:p w14:paraId="40112283" w14:textId="2CFD81F2" w:rsidR="00630390" w:rsidRDefault="00630390" w:rsidP="00D63551">
      <w:pPr>
        <w:autoSpaceDE w:val="0"/>
        <w:autoSpaceDN w:val="0"/>
        <w:adjustRightInd w:val="0"/>
        <w:rPr>
          <w:rFonts w:ascii="Calibri" w:eastAsia="Times New Roman" w:hAnsi="Calibri" w:cs="Times New Roman"/>
          <w:kern w:val="2"/>
          <w14:ligatures w14:val="standardContextual"/>
        </w:rPr>
      </w:pPr>
      <w:r w:rsidRPr="00D63551">
        <w:rPr>
          <w:rFonts w:ascii="Calibri" w:eastAsia="Times New Roman" w:hAnsi="Calibri" w:cs="Times New Roman"/>
          <w:kern w:val="2"/>
          <w14:ligatures w14:val="standardContextual"/>
        </w:rPr>
        <w:t xml:space="preserve">Finally, </w:t>
      </w:r>
      <w:r w:rsidR="00874520">
        <w:rPr>
          <w:rFonts w:ascii="Calibri" w:eastAsia="Times New Roman" w:hAnsi="Calibri" w:cs="Times New Roman"/>
          <w:kern w:val="2"/>
          <w14:ligatures w14:val="standardContextual"/>
        </w:rPr>
        <w:t xml:space="preserve">the IPC recommended </w:t>
      </w:r>
      <w:r w:rsidRPr="00D63551">
        <w:rPr>
          <w:rFonts w:ascii="Calibri" w:eastAsia="Times New Roman" w:hAnsi="Calibri" w:cs="Times New Roman"/>
          <w:kern w:val="2"/>
          <w14:ligatures w14:val="standardContextual"/>
        </w:rPr>
        <w:t xml:space="preserve">expansion of internal oversight and accountability provisions, the establishment of requirements for effective intervention and meaningful </w:t>
      </w:r>
      <w:r w:rsidR="00874520" w:rsidRPr="00D63551">
        <w:rPr>
          <w:rFonts w:ascii="Calibri" w:eastAsia="Times New Roman" w:hAnsi="Calibri" w:cs="Times New Roman"/>
          <w:kern w:val="2"/>
          <w14:ligatures w14:val="standardContextual"/>
        </w:rPr>
        <w:t>explainability and</w:t>
      </w:r>
      <w:r w:rsidRPr="00D63551">
        <w:rPr>
          <w:rFonts w:ascii="Calibri" w:eastAsia="Times New Roman" w:hAnsi="Calibri" w:cs="Times New Roman"/>
          <w:kern w:val="2"/>
          <w14:ligatures w14:val="standardContextual"/>
        </w:rPr>
        <w:t xml:space="preserve"> continued public consultation.</w:t>
      </w:r>
      <w:r>
        <w:rPr>
          <w:rFonts w:ascii="Calibri" w:eastAsia="Times New Roman" w:hAnsi="Calibri" w:cs="Times New Roman"/>
          <w:kern w:val="2"/>
          <w14:ligatures w14:val="standardContextual"/>
        </w:rPr>
        <w:t xml:space="preserve"> </w:t>
      </w:r>
      <w:r w:rsidRPr="00D63551">
        <w:rPr>
          <w:rFonts w:ascii="Calibri" w:eastAsia="Times New Roman" w:hAnsi="Calibri" w:cs="Times New Roman"/>
          <w:kern w:val="2"/>
          <w14:ligatures w14:val="standardContextual"/>
        </w:rPr>
        <w:t>Noting that few public sector policies meaningfully incorporate participation from the public and external stakeholders, it was recommended that consultations with the Information and Privacy Commissioner and public should be considered for automated decision making-systems that might pose high risks. Specifically, criteria should be developed to establish the circumstances in which a public consultation should be included as part of the pre-deployment risk assessment process.</w:t>
      </w:r>
    </w:p>
    <w:p w14:paraId="60644132" w14:textId="77777777" w:rsidR="00874520" w:rsidRDefault="00874520" w:rsidP="00D63551">
      <w:pPr>
        <w:autoSpaceDE w:val="0"/>
        <w:autoSpaceDN w:val="0"/>
        <w:adjustRightInd w:val="0"/>
        <w:rPr>
          <w:rFonts w:ascii="Calibri" w:eastAsia="Times New Roman" w:hAnsi="Calibri" w:cs="Times New Roman"/>
          <w:kern w:val="2"/>
          <w14:ligatures w14:val="standardContextual"/>
        </w:rPr>
      </w:pPr>
    </w:p>
    <w:p w14:paraId="1F0B11B3" w14:textId="77777777" w:rsidR="00630390" w:rsidRDefault="00630390" w:rsidP="00D63551">
      <w:pPr>
        <w:autoSpaceDE w:val="0"/>
        <w:autoSpaceDN w:val="0"/>
        <w:adjustRightInd w:val="0"/>
        <w:rPr>
          <w:rFonts w:ascii="Calibri" w:eastAsia="Times New Roman" w:hAnsi="Calibri" w:cs="Times New Roman"/>
          <w:kern w:val="2"/>
          <w14:ligatures w14:val="standardContextual"/>
        </w:rPr>
      </w:pPr>
    </w:p>
    <w:p w14:paraId="56B40A4C" w14:textId="677CF994" w:rsidR="00630390" w:rsidRDefault="00630390" w:rsidP="008E507E">
      <w:pPr>
        <w:pStyle w:val="Heading2"/>
        <w:numPr>
          <w:ilvl w:val="1"/>
          <w:numId w:val="16"/>
        </w:numPr>
      </w:pPr>
      <w:bookmarkStart w:id="34" w:name="_Toc195597987"/>
      <w:r>
        <w:t>How is AI Being Introduced into Criminal Proceedings?</w:t>
      </w:r>
      <w:bookmarkEnd w:id="34"/>
    </w:p>
    <w:p w14:paraId="7AE3DE0A" w14:textId="77777777" w:rsidR="00630390" w:rsidRDefault="00630390" w:rsidP="00ED2F00"/>
    <w:p w14:paraId="6F511D8A" w14:textId="4B81AAA4" w:rsidR="00630390" w:rsidRDefault="00630390" w:rsidP="00ED2F00">
      <w:pPr>
        <w:pStyle w:val="Heading3"/>
        <w:numPr>
          <w:ilvl w:val="2"/>
          <w:numId w:val="16"/>
        </w:numPr>
      </w:pPr>
      <w:bookmarkStart w:id="35" w:name="_Toc195597988"/>
      <w:r>
        <w:t>Different AI Systems Are Already Appearing in Court</w:t>
      </w:r>
      <w:bookmarkEnd w:id="35"/>
    </w:p>
    <w:p w14:paraId="0FC9CB1C" w14:textId="77777777" w:rsidR="00630390" w:rsidRDefault="00630390" w:rsidP="00ED2F00"/>
    <w:p w14:paraId="04C00A31" w14:textId="7F334F87" w:rsidR="00630390" w:rsidRDefault="00630390" w:rsidP="00ED2F00">
      <w:pPr>
        <w:rPr>
          <w:rFonts w:ascii="Calibri" w:eastAsia="Times New Roman" w:hAnsi="Calibri" w:cs="Calibri"/>
          <w:lang w:val="en-US"/>
        </w:rPr>
      </w:pPr>
      <w:r w:rsidRPr="00ED2F00">
        <w:rPr>
          <w:rFonts w:ascii="Calibri" w:eastAsia="Times New Roman" w:hAnsi="Calibri" w:cs="Calibri"/>
          <w:lang w:val="en-US"/>
        </w:rPr>
        <w:lastRenderedPageBreak/>
        <w:t>To date, in the province of Ontario, AI has been introduced without a regulatory scheme or guidelines specifically designed to address its impact upon criminal law and proceedings</w:t>
      </w:r>
      <w:r w:rsidR="00C14137">
        <w:rPr>
          <w:rFonts w:ascii="Calibri" w:eastAsia="Times New Roman" w:hAnsi="Calibri" w:cs="Calibri"/>
          <w:lang w:val="en-US"/>
        </w:rPr>
        <w:t xml:space="preserve">. </w:t>
      </w:r>
      <w:r w:rsidRPr="00ED2F00">
        <w:rPr>
          <w:rFonts w:ascii="Calibri" w:eastAsia="Times New Roman" w:hAnsi="Calibri" w:cs="Calibri"/>
          <w:lang w:val="en-US"/>
        </w:rPr>
        <w:t>As previously articulated, “the LCO has identified many unexplored, unregulated and poorly understood issues respecting data, discrimination, algorithms and the law.”</w:t>
      </w:r>
      <w:r w:rsidRPr="00ED2F00">
        <w:rPr>
          <w:rFonts w:ascii="Calibri" w:eastAsia="Times New Roman" w:hAnsi="Calibri" w:cs="Calibri"/>
          <w:vertAlign w:val="superscript"/>
          <w:lang w:val="en-US"/>
        </w:rPr>
        <w:endnoteReference w:id="128"/>
      </w:r>
      <w:r w:rsidRPr="00ED2F00">
        <w:rPr>
          <w:rFonts w:ascii="Calibri" w:eastAsia="Times New Roman" w:hAnsi="Calibri" w:cs="Calibri"/>
          <w:lang w:val="en-US"/>
        </w:rPr>
        <w:t xml:space="preserve"> </w:t>
      </w:r>
    </w:p>
    <w:p w14:paraId="13B53906" w14:textId="77777777" w:rsidR="00C14137" w:rsidRDefault="00C14137" w:rsidP="00ED2F00">
      <w:pPr>
        <w:rPr>
          <w:rFonts w:ascii="Calibri" w:eastAsia="Times New Roman" w:hAnsi="Calibri" w:cs="Calibri"/>
          <w:lang w:val="en-US"/>
        </w:rPr>
      </w:pPr>
    </w:p>
    <w:p w14:paraId="3EE657CF" w14:textId="7FBBB503" w:rsidR="00C14137" w:rsidRPr="00ED2F00" w:rsidRDefault="00C14137" w:rsidP="00ED2F00">
      <w:pPr>
        <w:rPr>
          <w:rFonts w:ascii="Calibri" w:eastAsia="Times New Roman" w:hAnsi="Calibri" w:cs="Calibri"/>
          <w:lang w:val="en-US"/>
        </w:rPr>
      </w:pPr>
      <w:r>
        <w:rPr>
          <w:rFonts w:ascii="Calibri" w:eastAsia="Times New Roman" w:hAnsi="Calibri" w:cs="Calibri"/>
          <w:shd w:val="clear" w:color="auto" w:fill="D9E2F3" w:themeFill="accent5" w:themeFillTint="33"/>
          <w:lang w:val="en-US"/>
        </w:rPr>
        <w:t>[</w:t>
      </w:r>
      <w:r w:rsidRPr="00C14137">
        <w:rPr>
          <w:rFonts w:ascii="Calibri" w:eastAsia="Times New Roman" w:hAnsi="Calibri" w:cs="Calibri"/>
          <w:shd w:val="clear" w:color="auto" w:fill="D9E2F3" w:themeFill="accent5" w:themeFillTint="33"/>
          <w:lang w:val="en-US"/>
        </w:rPr>
        <w:t>SIDEBAR:</w:t>
      </w:r>
      <w:r>
        <w:rPr>
          <w:rFonts w:ascii="Calibri" w:eastAsia="Times New Roman" w:hAnsi="Calibri" w:cs="Calibri"/>
          <w:shd w:val="clear" w:color="auto" w:fill="D9E2F3" w:themeFill="accent5" w:themeFillTint="33"/>
          <w:lang w:val="en-US"/>
        </w:rPr>
        <w:t>]</w:t>
      </w:r>
      <w:r w:rsidRPr="00C14137">
        <w:rPr>
          <w:rFonts w:ascii="Calibri" w:eastAsia="Times New Roman" w:hAnsi="Calibri" w:cs="Calibri"/>
          <w:shd w:val="clear" w:color="auto" w:fill="D9E2F3" w:themeFill="accent5" w:themeFillTint="33"/>
          <w:lang w:val="en-US"/>
        </w:rPr>
        <w:t xml:space="preserve"> See LCO </w:t>
      </w:r>
      <w:r w:rsidRPr="00A560EA">
        <w:rPr>
          <w:rFonts w:ascii="Calibri" w:eastAsia="Times New Roman" w:hAnsi="Calibri" w:cs="Calibri"/>
          <w:b/>
          <w:bCs/>
          <w:i/>
          <w:iCs/>
          <w:shd w:val="clear" w:color="auto" w:fill="D9E2F3" w:themeFill="accent5" w:themeFillTint="33"/>
          <w:lang w:val="en-US"/>
        </w:rPr>
        <w:t>Project Paper 1, Introduction and Summary</w:t>
      </w:r>
      <w:r w:rsidRPr="00C14137">
        <w:rPr>
          <w:rFonts w:ascii="Calibri" w:eastAsia="Times New Roman" w:hAnsi="Calibri" w:cs="Calibri"/>
          <w:shd w:val="clear" w:color="auto" w:fill="D9E2F3" w:themeFill="accent5" w:themeFillTint="33"/>
          <w:lang w:val="en-US"/>
        </w:rPr>
        <w:t xml:space="preserve"> for an overview of existing policies and legislative provisions</w:t>
      </w:r>
      <w:r w:rsidR="00DF40EA">
        <w:rPr>
          <w:rFonts w:ascii="Calibri" w:eastAsia="Times New Roman" w:hAnsi="Calibri" w:cs="Calibri"/>
          <w:shd w:val="clear" w:color="auto" w:fill="D9E2F3" w:themeFill="accent5" w:themeFillTint="33"/>
          <w:lang w:val="en-US"/>
        </w:rPr>
        <w:t xml:space="preserve"> in Ontario and across Canada</w:t>
      </w:r>
      <w:r w:rsidRPr="00C14137">
        <w:rPr>
          <w:rFonts w:ascii="Calibri" w:eastAsia="Times New Roman" w:hAnsi="Calibri" w:cs="Calibri"/>
          <w:shd w:val="clear" w:color="auto" w:fill="D9E2F3" w:themeFill="accent5" w:themeFillTint="33"/>
          <w:lang w:val="en-US"/>
        </w:rPr>
        <w:t>.</w:t>
      </w:r>
    </w:p>
    <w:p w14:paraId="56539B25" w14:textId="77777777" w:rsidR="00630390" w:rsidRPr="00ED2F00" w:rsidRDefault="00630390" w:rsidP="00ED2F00">
      <w:pPr>
        <w:rPr>
          <w:rFonts w:ascii="Calibri" w:eastAsia="Times New Roman" w:hAnsi="Calibri" w:cs="Calibri"/>
          <w:lang w:val="en-US"/>
        </w:rPr>
      </w:pPr>
    </w:p>
    <w:p w14:paraId="6073ADC3" w14:textId="3EDD1D5D" w:rsidR="00630390" w:rsidRPr="00ED2F00" w:rsidRDefault="00630390" w:rsidP="00ED2F00">
      <w:pPr>
        <w:rPr>
          <w:rFonts w:ascii="Calibri" w:eastAsia="Times New Roman" w:hAnsi="Calibri" w:cs="Calibri"/>
        </w:rPr>
      </w:pPr>
      <w:r w:rsidRPr="00ED2F00">
        <w:rPr>
          <w:rFonts w:ascii="Calibri" w:eastAsia="Times New Roman" w:hAnsi="Calibri" w:cs="Calibri"/>
        </w:rPr>
        <w:t xml:space="preserve">Broadly speaking, artificial intelligence has entered the criminal trial process in Canada through law enforcement procurement of AI-based technology, AI enabled legal research products and other AI technology engaged with at the investigative stage or in use within the public sphere.  In future, AI outputs might be tendered as evidence at a criminal trial (including on </w:t>
      </w:r>
      <w:r w:rsidRPr="00ED2F00">
        <w:rPr>
          <w:rFonts w:ascii="Calibri" w:eastAsia="Times New Roman" w:hAnsi="Calibri" w:cs="Calibri"/>
          <w:i/>
          <w:iCs/>
        </w:rPr>
        <w:t>Charter</w:t>
      </w:r>
      <w:r w:rsidRPr="00ED2F00">
        <w:rPr>
          <w:rFonts w:ascii="Calibri" w:eastAsia="Times New Roman" w:hAnsi="Calibri" w:cs="Calibri"/>
        </w:rPr>
        <w:t xml:space="preserve"> motions and at the sentencing phase), when determining bail pending appeal, and upon appellate review of conviction and sentence because of its potential use for the following purposes:</w:t>
      </w:r>
    </w:p>
    <w:p w14:paraId="50DDEB14" w14:textId="77777777" w:rsidR="00630390" w:rsidRPr="00ED2F00" w:rsidRDefault="00630390" w:rsidP="00ED2F00">
      <w:pPr>
        <w:rPr>
          <w:rFonts w:ascii="Calibri" w:eastAsia="Times New Roman" w:hAnsi="Calibri" w:cs="Calibri"/>
        </w:rPr>
      </w:pPr>
    </w:p>
    <w:p w14:paraId="6C9044EA" w14:textId="77777777" w:rsidR="00630390" w:rsidRPr="00ED2F00" w:rsidRDefault="00630390" w:rsidP="00ED2F00">
      <w:pPr>
        <w:numPr>
          <w:ilvl w:val="0"/>
          <w:numId w:val="115"/>
        </w:numPr>
        <w:spacing w:after="160" w:line="259" w:lineRule="auto"/>
        <w:contextualSpacing/>
        <w:rPr>
          <w:rFonts w:ascii="Calibri" w:eastAsia="Times New Roman" w:hAnsi="Calibri" w:cs="Calibri"/>
        </w:rPr>
      </w:pPr>
      <w:r w:rsidRPr="00ED2F00">
        <w:rPr>
          <w:rFonts w:ascii="Calibri" w:hAnsi="Calibri" w:cs="Calibri"/>
          <w:color w:val="262526"/>
        </w:rPr>
        <w:t xml:space="preserve">Photographic and video analysis, including facial recognition; </w:t>
      </w:r>
    </w:p>
    <w:p w14:paraId="75B0BF5D" w14:textId="77777777" w:rsidR="00630390" w:rsidRPr="00ED2F00" w:rsidRDefault="00630390" w:rsidP="00ED2F00">
      <w:pPr>
        <w:numPr>
          <w:ilvl w:val="0"/>
          <w:numId w:val="115"/>
        </w:numPr>
        <w:spacing w:after="160" w:line="259" w:lineRule="auto"/>
        <w:contextualSpacing/>
        <w:rPr>
          <w:rFonts w:ascii="Calibri" w:eastAsia="Times New Roman" w:hAnsi="Calibri" w:cs="Calibri"/>
        </w:rPr>
      </w:pPr>
      <w:r w:rsidRPr="00ED2F00">
        <w:rPr>
          <w:rFonts w:ascii="Calibri" w:hAnsi="Calibri" w:cs="Calibri"/>
          <w:color w:val="262526"/>
        </w:rPr>
        <w:t>DNA profiling and evidence, including probabilistic genotyping;</w:t>
      </w:r>
    </w:p>
    <w:p w14:paraId="18AA4474" w14:textId="77777777" w:rsidR="00630390" w:rsidRPr="00ED2F00" w:rsidRDefault="00630390" w:rsidP="00ED2F00">
      <w:pPr>
        <w:numPr>
          <w:ilvl w:val="0"/>
          <w:numId w:val="115"/>
        </w:numPr>
        <w:spacing w:after="160" w:line="259" w:lineRule="auto"/>
        <w:contextualSpacing/>
        <w:rPr>
          <w:rFonts w:ascii="Calibri" w:eastAsia="Times New Roman" w:hAnsi="Calibri" w:cs="Calibri"/>
        </w:rPr>
      </w:pPr>
      <w:r w:rsidRPr="00ED2F00">
        <w:rPr>
          <w:rFonts w:ascii="Calibri" w:hAnsi="Calibri" w:cs="Calibri"/>
          <w:color w:val="262526"/>
        </w:rPr>
        <w:t>Predictive crime mapping (predictive policing);</w:t>
      </w:r>
    </w:p>
    <w:p w14:paraId="5710DEBF" w14:textId="77777777" w:rsidR="00630390" w:rsidRPr="00ED2F00" w:rsidRDefault="00630390" w:rsidP="00ED2F00">
      <w:pPr>
        <w:numPr>
          <w:ilvl w:val="0"/>
          <w:numId w:val="115"/>
        </w:numPr>
        <w:spacing w:after="160" w:line="259" w:lineRule="auto"/>
        <w:contextualSpacing/>
        <w:rPr>
          <w:rFonts w:ascii="Calibri" w:eastAsia="Times New Roman" w:hAnsi="Calibri" w:cs="Calibri"/>
        </w:rPr>
      </w:pPr>
      <w:r w:rsidRPr="00ED2F00">
        <w:rPr>
          <w:rFonts w:ascii="Calibri" w:hAnsi="Calibri" w:cs="Calibri"/>
          <w:color w:val="262526"/>
        </w:rPr>
        <w:t xml:space="preserve">Mobile phone and extraction tools; </w:t>
      </w:r>
    </w:p>
    <w:p w14:paraId="3D3E1F9A" w14:textId="77777777" w:rsidR="00630390" w:rsidRPr="00ED2F00" w:rsidRDefault="00630390" w:rsidP="00ED2F00">
      <w:pPr>
        <w:numPr>
          <w:ilvl w:val="0"/>
          <w:numId w:val="115"/>
        </w:numPr>
        <w:spacing w:after="160" w:line="259" w:lineRule="auto"/>
        <w:contextualSpacing/>
        <w:rPr>
          <w:rFonts w:ascii="Calibri" w:eastAsia="Times New Roman" w:hAnsi="Calibri" w:cs="Calibri"/>
        </w:rPr>
      </w:pPr>
      <w:r w:rsidRPr="00ED2F00">
        <w:rPr>
          <w:rFonts w:ascii="Calibri" w:hAnsi="Calibri" w:cs="Calibri"/>
          <w:color w:val="262526"/>
        </w:rPr>
        <w:t xml:space="preserve">Data mining and social media intelligence; </w:t>
      </w:r>
    </w:p>
    <w:p w14:paraId="134F2519" w14:textId="77777777" w:rsidR="00630390" w:rsidRPr="00ED2F00" w:rsidRDefault="00630390" w:rsidP="00ED2F00">
      <w:pPr>
        <w:numPr>
          <w:ilvl w:val="0"/>
          <w:numId w:val="115"/>
        </w:numPr>
        <w:spacing w:after="160" w:line="259" w:lineRule="auto"/>
        <w:contextualSpacing/>
        <w:rPr>
          <w:rFonts w:ascii="Calibri" w:eastAsia="Times New Roman" w:hAnsi="Calibri" w:cs="Calibri"/>
        </w:rPr>
      </w:pPr>
      <w:r w:rsidRPr="00ED2F00">
        <w:rPr>
          <w:rFonts w:ascii="Calibri" w:hAnsi="Calibri" w:cs="Calibri"/>
          <w:color w:val="262526"/>
        </w:rPr>
        <w:t xml:space="preserve">Bail algorithms that predict likelihood of </w:t>
      </w:r>
      <w:r w:rsidRPr="00ED2F00">
        <w:rPr>
          <w:rFonts w:ascii="Calibri" w:hAnsi="Calibri" w:cs="Calibri"/>
          <w:strike/>
          <w:color w:val="262526"/>
        </w:rPr>
        <w:t>being</w:t>
      </w:r>
      <w:r w:rsidRPr="00ED2F00">
        <w:rPr>
          <w:rFonts w:ascii="Calibri" w:hAnsi="Calibri" w:cs="Calibri"/>
          <w:color w:val="262526"/>
        </w:rPr>
        <w:t xml:space="preserve"> future arrests or failure to appear;</w:t>
      </w:r>
    </w:p>
    <w:p w14:paraId="5E4EF4DD" w14:textId="69631332" w:rsidR="00630390" w:rsidRPr="00ED2F00" w:rsidRDefault="00630390" w:rsidP="00ED2F00">
      <w:pPr>
        <w:numPr>
          <w:ilvl w:val="0"/>
          <w:numId w:val="115"/>
        </w:numPr>
        <w:spacing w:after="160" w:line="259" w:lineRule="auto"/>
        <w:contextualSpacing/>
        <w:rPr>
          <w:rFonts w:ascii="Calibri" w:eastAsia="Times New Roman" w:hAnsi="Calibri" w:cs="Calibri"/>
        </w:rPr>
      </w:pPr>
      <w:r w:rsidRPr="00ED2F00">
        <w:rPr>
          <w:rFonts w:ascii="Calibri" w:hAnsi="Calibri" w:cs="Calibri"/>
          <w:color w:val="262526"/>
        </w:rPr>
        <w:t xml:space="preserve">Sentencing algorithms that predict likelihood of future arrests; </w:t>
      </w:r>
    </w:p>
    <w:p w14:paraId="1614B8C0" w14:textId="77777777" w:rsidR="00630390" w:rsidRPr="00ED2F00" w:rsidRDefault="00630390" w:rsidP="00ED2F00">
      <w:pPr>
        <w:numPr>
          <w:ilvl w:val="0"/>
          <w:numId w:val="115"/>
        </w:numPr>
        <w:spacing w:after="160" w:line="259" w:lineRule="auto"/>
        <w:contextualSpacing/>
        <w:rPr>
          <w:rFonts w:ascii="Calibri" w:eastAsia="Times New Roman" w:hAnsi="Calibri" w:cs="Calibri"/>
        </w:rPr>
      </w:pPr>
      <w:r w:rsidRPr="00ED2F00">
        <w:rPr>
          <w:rFonts w:ascii="Calibri" w:hAnsi="Calibri" w:cs="Calibri"/>
          <w:color w:val="262526"/>
        </w:rPr>
        <w:t xml:space="preserve">“Scoring at arrest” algorithms that advise how to charge an individual; </w:t>
      </w:r>
    </w:p>
    <w:p w14:paraId="340057E5" w14:textId="6E1E4329" w:rsidR="00630390" w:rsidRPr="00ED2F00" w:rsidRDefault="00630390" w:rsidP="00ED2F00">
      <w:pPr>
        <w:numPr>
          <w:ilvl w:val="0"/>
          <w:numId w:val="115"/>
        </w:numPr>
        <w:spacing w:after="160" w:line="259" w:lineRule="auto"/>
        <w:contextualSpacing/>
        <w:rPr>
          <w:rFonts w:ascii="Calibri" w:eastAsia="Times New Roman" w:hAnsi="Calibri" w:cs="Calibri"/>
        </w:rPr>
      </w:pPr>
      <w:r w:rsidRPr="00ED2F00">
        <w:rPr>
          <w:rFonts w:ascii="Calibri" w:hAnsi="Calibri" w:cs="Calibri"/>
          <w:color w:val="262526"/>
        </w:rPr>
        <w:t>“Scoring suspects” algorithms that</w:t>
      </w:r>
      <w:r w:rsidR="00E215CA">
        <w:rPr>
          <w:rFonts w:ascii="Calibri" w:hAnsi="Calibri" w:cs="Calibri"/>
          <w:color w:val="262526"/>
        </w:rPr>
        <w:t xml:space="preserve"> predict </w:t>
      </w:r>
      <w:r w:rsidRPr="00ED2F00">
        <w:rPr>
          <w:rFonts w:ascii="Calibri" w:hAnsi="Calibri" w:cs="Calibri"/>
          <w:color w:val="262526"/>
        </w:rPr>
        <w:t xml:space="preserve">an individual’s </w:t>
      </w:r>
      <w:r w:rsidR="00E215CA">
        <w:rPr>
          <w:rFonts w:ascii="Calibri" w:hAnsi="Calibri" w:cs="Calibri"/>
          <w:color w:val="262526"/>
        </w:rPr>
        <w:t xml:space="preserve">risk of future </w:t>
      </w:r>
      <w:r w:rsidRPr="00ED2F00">
        <w:rPr>
          <w:rFonts w:ascii="Calibri" w:hAnsi="Calibri" w:cs="Calibri"/>
          <w:color w:val="262526"/>
        </w:rPr>
        <w:t xml:space="preserve">behaviour; </w:t>
      </w:r>
    </w:p>
    <w:p w14:paraId="0C38C43C" w14:textId="77777777" w:rsidR="00630390" w:rsidRPr="00ED2F00" w:rsidRDefault="00630390" w:rsidP="00ED2F00">
      <w:pPr>
        <w:numPr>
          <w:ilvl w:val="0"/>
          <w:numId w:val="115"/>
        </w:numPr>
        <w:spacing w:after="160" w:line="259" w:lineRule="auto"/>
        <w:contextualSpacing/>
        <w:rPr>
          <w:rFonts w:ascii="Calibri" w:eastAsia="Times New Roman" w:hAnsi="Calibri" w:cs="Calibri"/>
        </w:rPr>
      </w:pPr>
      <w:r w:rsidRPr="00ED2F00">
        <w:rPr>
          <w:rFonts w:ascii="Calibri" w:hAnsi="Calibri" w:cs="Calibri"/>
          <w:color w:val="262526"/>
        </w:rPr>
        <w:t xml:space="preserve">“Scoring victims” algorithms that predict likelihood of being a victim of crime; and, </w:t>
      </w:r>
    </w:p>
    <w:p w14:paraId="78CCF5AE" w14:textId="77777777" w:rsidR="00630390" w:rsidRPr="00ED2F00" w:rsidRDefault="00630390" w:rsidP="00ED2F00">
      <w:pPr>
        <w:numPr>
          <w:ilvl w:val="0"/>
          <w:numId w:val="115"/>
        </w:numPr>
        <w:spacing w:after="160" w:line="259" w:lineRule="auto"/>
        <w:contextualSpacing/>
        <w:rPr>
          <w:rFonts w:ascii="Calibri" w:eastAsia="Times New Roman" w:hAnsi="Calibri" w:cs="Calibri"/>
        </w:rPr>
      </w:pPr>
      <w:r w:rsidRPr="00ED2F00">
        <w:rPr>
          <w:rFonts w:ascii="Calibri" w:hAnsi="Calibri" w:cs="Calibri"/>
          <w:color w:val="262526"/>
        </w:rPr>
        <w:t>Correctional algorithms that predict likelihood of offending within an institution.</w:t>
      </w:r>
      <w:r w:rsidRPr="00ED2F00">
        <w:rPr>
          <w:rFonts w:ascii="Calibri" w:eastAsia="Calibri" w:hAnsi="Calibri" w:cs="Times New Roman"/>
          <w:kern w:val="2"/>
          <w:sz w:val="22"/>
          <w:szCs w:val="22"/>
          <w:vertAlign w:val="superscript"/>
          <w14:ligatures w14:val="standardContextual"/>
        </w:rPr>
        <w:endnoteReference w:id="129"/>
      </w:r>
    </w:p>
    <w:p w14:paraId="69FA03C7" w14:textId="77777777" w:rsidR="00630390" w:rsidRPr="00ED2F00" w:rsidRDefault="00630390" w:rsidP="00ED2F00">
      <w:pPr>
        <w:ind w:left="1800"/>
        <w:contextualSpacing/>
        <w:rPr>
          <w:rFonts w:ascii="Calibri" w:eastAsia="Times New Roman" w:hAnsi="Calibri" w:cs="Calibri"/>
        </w:rPr>
      </w:pPr>
    </w:p>
    <w:p w14:paraId="376FD4F7" w14:textId="2730BC6B" w:rsidR="00630390" w:rsidRPr="00ED2F00" w:rsidRDefault="00630390" w:rsidP="00ED2F00">
      <w:pPr>
        <w:rPr>
          <w:rFonts w:ascii="Calibri" w:eastAsia="Times New Roman" w:hAnsi="Calibri" w:cs="Calibri"/>
        </w:rPr>
      </w:pPr>
      <w:r w:rsidRPr="00ED2F00">
        <w:rPr>
          <w:rFonts w:ascii="Calibri" w:eastAsia="Times New Roman" w:hAnsi="Calibri" w:cs="Calibri"/>
        </w:rPr>
        <w:t xml:space="preserve">AI </w:t>
      </w:r>
      <w:r w:rsidR="007C7143">
        <w:rPr>
          <w:rFonts w:ascii="Calibri" w:eastAsia="Times New Roman" w:hAnsi="Calibri" w:cs="Calibri"/>
        </w:rPr>
        <w:t>is also certain to be adduced at trial because of it’s use by non-state actors.</w:t>
      </w:r>
    </w:p>
    <w:p w14:paraId="5849E23E" w14:textId="77777777" w:rsidR="00630390" w:rsidRPr="00ED2F00" w:rsidRDefault="00630390" w:rsidP="00ED2F00">
      <w:pPr>
        <w:rPr>
          <w:rFonts w:ascii="Calibri" w:eastAsia="Times New Roman" w:hAnsi="Calibri" w:cs="Calibri"/>
        </w:rPr>
      </w:pPr>
    </w:p>
    <w:p w14:paraId="25794E8D" w14:textId="77777777" w:rsidR="00630390" w:rsidRPr="00ED2F00" w:rsidRDefault="00630390" w:rsidP="00ED2F00">
      <w:pPr>
        <w:rPr>
          <w:rFonts w:ascii="Calibri" w:eastAsia="Times New Roman" w:hAnsi="Calibri" w:cs="Calibri"/>
        </w:rPr>
      </w:pPr>
      <w:r w:rsidRPr="00ED2F00">
        <w:rPr>
          <w:rFonts w:ascii="Calibri" w:eastAsia="Times New Roman" w:hAnsi="Calibri" w:cs="Calibri"/>
        </w:rPr>
        <w:t>Today, AI photo generators and editors, Chat GPT, and other AI technology is literally at the fingertips of anyone with access to the internet. In some cases, the commission of crimes will be assisted using readily available AI tools such as those mentioned above. While other circumstances and criminal objectives made possible or easier with the help of AI will “demand advanced technological skills, costly infrastructure, and considerable time investments.”</w:t>
      </w:r>
      <w:r w:rsidRPr="00ED2F00">
        <w:rPr>
          <w:rFonts w:ascii="Calibri" w:eastAsia="Times New Roman" w:hAnsi="Calibri" w:cs="Calibri"/>
          <w:vertAlign w:val="superscript"/>
        </w:rPr>
        <w:endnoteReference w:id="130"/>
      </w:r>
    </w:p>
    <w:p w14:paraId="39C72B86" w14:textId="77777777" w:rsidR="00630390" w:rsidRPr="00ED2F00" w:rsidRDefault="00630390" w:rsidP="00ED2F00">
      <w:pPr>
        <w:rPr>
          <w:rFonts w:ascii="Calibri" w:eastAsia="Times New Roman" w:hAnsi="Calibri" w:cs="Calibri"/>
        </w:rPr>
      </w:pPr>
    </w:p>
    <w:p w14:paraId="28DD8547" w14:textId="5AFC67F4" w:rsidR="00630390" w:rsidRDefault="00630390" w:rsidP="00ED2F00">
      <w:pPr>
        <w:spacing w:after="200" w:line="276" w:lineRule="auto"/>
        <w:rPr>
          <w:rFonts w:ascii="Calibri" w:eastAsia="Times New Roman" w:hAnsi="Calibri" w:cs="Calibri"/>
        </w:rPr>
      </w:pPr>
      <w:r w:rsidRPr="00ED2F00">
        <w:rPr>
          <w:rFonts w:ascii="Calibri" w:eastAsia="Times New Roman" w:hAnsi="Calibri" w:cs="Calibri"/>
        </w:rPr>
        <w:lastRenderedPageBreak/>
        <w:t>In either case, many forms of criminal activity may thrive with AI assistance that enables more sophisticated phishing, social engineering attacks, AI powered malware and adversarial attacks on AI systems to disrupt their functioning (i.e., facial recognition and autonomous vehicles)</w:t>
      </w:r>
      <w:r w:rsidR="00A560EA">
        <w:rPr>
          <w:rFonts w:ascii="Calibri" w:eastAsia="Times New Roman" w:hAnsi="Calibri" w:cs="Calibri"/>
        </w:rPr>
        <w:t>.</w:t>
      </w:r>
      <w:r w:rsidR="007C7143">
        <w:rPr>
          <w:rStyle w:val="EndnoteReference"/>
          <w:rFonts w:ascii="Calibri" w:eastAsia="Times New Roman" w:hAnsi="Calibri" w:cs="Calibri"/>
        </w:rPr>
        <w:endnoteReference w:id="131"/>
      </w:r>
      <w:r w:rsidR="007C7143">
        <w:rPr>
          <w:rFonts w:ascii="Calibri" w:eastAsia="Times New Roman" w:hAnsi="Calibri" w:cs="Calibri"/>
        </w:rPr>
        <w:t xml:space="preserve"> </w:t>
      </w:r>
      <w:r w:rsidRPr="00ED2F00">
        <w:rPr>
          <w:rFonts w:ascii="Calibri" w:eastAsia="Times New Roman" w:hAnsi="Calibri" w:cs="Calibri"/>
        </w:rPr>
        <w:t>The creation of remarkably realistic deepfakes, deceitful websites, disinformation campaigns (including those that spark political and other forms of violence), fraudulent social media profiles and AI-powered scam bots will also be possible and cases involving all of the above are certain to eventually be brought to trial.</w:t>
      </w:r>
      <w:r w:rsidRPr="00ED2F00">
        <w:rPr>
          <w:rFonts w:ascii="Calibri" w:eastAsia="Times New Roman" w:hAnsi="Calibri" w:cs="Calibri"/>
          <w:vertAlign w:val="superscript"/>
        </w:rPr>
        <w:endnoteReference w:id="132"/>
      </w:r>
      <w:r w:rsidRPr="00ED2F00">
        <w:rPr>
          <w:rFonts w:ascii="Calibri" w:eastAsia="Times New Roman" w:hAnsi="Calibri" w:cs="Calibri"/>
        </w:rPr>
        <w:t xml:space="preserve"> Thus, artificial intelligence is certain to enter the criminal trial process, even if </w:t>
      </w:r>
      <w:r w:rsidR="00E215CA">
        <w:rPr>
          <w:rFonts w:ascii="Calibri" w:eastAsia="Times New Roman" w:hAnsi="Calibri" w:cs="Calibri"/>
        </w:rPr>
        <w:t>the</w:t>
      </w:r>
      <w:r w:rsidRPr="00ED2F00">
        <w:rPr>
          <w:rFonts w:ascii="Calibri" w:eastAsia="Times New Roman" w:hAnsi="Calibri" w:cs="Calibri"/>
        </w:rPr>
        <w:t xml:space="preserve"> procurement of AI technology </w:t>
      </w:r>
      <w:r w:rsidR="00E215CA">
        <w:rPr>
          <w:rFonts w:ascii="Calibri" w:eastAsia="Times New Roman" w:hAnsi="Calibri" w:cs="Calibri"/>
        </w:rPr>
        <w:t xml:space="preserve">by various sectors and institutions </w:t>
      </w:r>
      <w:r w:rsidRPr="00ED2F00">
        <w:rPr>
          <w:rFonts w:ascii="Calibri" w:eastAsia="Times New Roman" w:hAnsi="Calibri" w:cs="Calibri"/>
        </w:rPr>
        <w:t xml:space="preserve">is </w:t>
      </w:r>
      <w:r w:rsidR="00E215CA">
        <w:rPr>
          <w:rFonts w:ascii="Calibri" w:eastAsia="Times New Roman" w:hAnsi="Calibri" w:cs="Calibri"/>
        </w:rPr>
        <w:t xml:space="preserve">done in a thoughtful and </w:t>
      </w:r>
      <w:r w:rsidRPr="00ED2F00">
        <w:rPr>
          <w:rFonts w:ascii="Calibri" w:eastAsia="Times New Roman" w:hAnsi="Calibri" w:cs="Calibri"/>
        </w:rPr>
        <w:t>deliberately slower and more cautious</w:t>
      </w:r>
      <w:r w:rsidR="00E215CA">
        <w:rPr>
          <w:rFonts w:ascii="Calibri" w:eastAsia="Times New Roman" w:hAnsi="Calibri" w:cs="Calibri"/>
        </w:rPr>
        <w:t xml:space="preserve"> way.</w:t>
      </w:r>
    </w:p>
    <w:p w14:paraId="3BC3CAAB" w14:textId="1BB99293" w:rsidR="00630390" w:rsidRDefault="00E215CA" w:rsidP="00ED2F00">
      <w:pPr>
        <w:spacing w:after="200" w:line="276" w:lineRule="auto"/>
        <w:rPr>
          <w:rFonts w:ascii="Calibri" w:eastAsia="Calibri" w:hAnsi="Calibri" w:cs="Calibri"/>
          <w:kern w:val="2"/>
          <w:shd w:val="clear" w:color="auto" w:fill="B4C6E7" w:themeFill="accent5" w:themeFillTint="66"/>
          <w:lang w:val="en-US"/>
          <w14:ligatures w14:val="standardContextual"/>
        </w:rPr>
      </w:pPr>
      <w:r w:rsidRPr="0014281E">
        <w:rPr>
          <w:rFonts w:ascii="Calibri" w:eastAsia="Calibri" w:hAnsi="Calibri" w:cs="Calibri"/>
          <w:b/>
          <w:bCs/>
          <w:kern w:val="2"/>
          <w:shd w:val="clear" w:color="auto" w:fill="D5DCE4" w:themeFill="text2" w:themeFillTint="33"/>
          <w:lang w:val="en-US"/>
          <w14:ligatures w14:val="standardContextual"/>
        </w:rPr>
        <w:t>SIDEBAR</w:t>
      </w:r>
      <w:r w:rsidRPr="0014281E">
        <w:rPr>
          <w:rFonts w:ascii="Calibri" w:eastAsia="Calibri" w:hAnsi="Calibri" w:cs="Calibri"/>
          <w:kern w:val="2"/>
          <w:shd w:val="clear" w:color="auto" w:fill="D5DCE4" w:themeFill="text2" w:themeFillTint="33"/>
          <w:lang w:val="en-US"/>
          <w14:ligatures w14:val="standardContextual"/>
        </w:rPr>
        <w:t xml:space="preserve">: </w:t>
      </w:r>
      <w:bookmarkStart w:id="36" w:name="_Hlk195129294"/>
      <w:r w:rsidRPr="0014281E">
        <w:rPr>
          <w:rFonts w:ascii="Calibri" w:eastAsia="Calibri" w:hAnsi="Calibri" w:cs="Calibri"/>
          <w:kern w:val="2"/>
          <w:shd w:val="clear" w:color="auto" w:fill="D5DCE4" w:themeFill="text2" w:themeFillTint="33"/>
          <w:lang w:val="en-US"/>
          <w14:ligatures w14:val="standardContextual"/>
        </w:rPr>
        <w:t xml:space="preserve">See the LCO’s </w:t>
      </w:r>
      <w:r w:rsidR="008222B6" w:rsidRPr="0014281E">
        <w:rPr>
          <w:rFonts w:ascii="Calibri" w:eastAsia="Calibri" w:hAnsi="Calibri" w:cs="Calibri"/>
          <w:kern w:val="2"/>
          <w:shd w:val="clear" w:color="auto" w:fill="D5DCE4" w:themeFill="text2" w:themeFillTint="33"/>
          <w:lang w:val="en-US"/>
          <w14:ligatures w14:val="standardContextual"/>
        </w:rPr>
        <w:t xml:space="preserve">document </w:t>
      </w:r>
      <w:r w:rsidR="008222B6" w:rsidRPr="00D3328C">
        <w:rPr>
          <w:rFonts w:ascii="Calibri" w:eastAsia="Calibri" w:hAnsi="Calibri" w:cs="Calibri"/>
          <w:b/>
          <w:bCs/>
          <w:i/>
          <w:iCs/>
          <w:kern w:val="2"/>
          <w:shd w:val="clear" w:color="auto" w:fill="D5DCE4" w:themeFill="text2" w:themeFillTint="33"/>
          <w:lang w:val="en-US"/>
          <w14:ligatures w14:val="standardContextual"/>
        </w:rPr>
        <w:t xml:space="preserve">Annex </w:t>
      </w:r>
      <w:r w:rsidR="0014281E" w:rsidRPr="00D3328C">
        <w:rPr>
          <w:rFonts w:ascii="Calibri" w:eastAsia="Calibri" w:hAnsi="Calibri" w:cs="Calibri"/>
          <w:b/>
          <w:bCs/>
          <w:i/>
          <w:iCs/>
          <w:kern w:val="2"/>
          <w:shd w:val="clear" w:color="auto" w:fill="D5DCE4" w:themeFill="text2" w:themeFillTint="33"/>
          <w:lang w:val="en-US"/>
          <w14:ligatures w14:val="standardContextual"/>
        </w:rPr>
        <w:t>B</w:t>
      </w:r>
      <w:r w:rsidR="00D3328C">
        <w:rPr>
          <w:rFonts w:ascii="Calibri" w:eastAsia="Calibri" w:hAnsi="Calibri" w:cs="Calibri"/>
          <w:b/>
          <w:bCs/>
          <w:i/>
          <w:iCs/>
          <w:kern w:val="2"/>
          <w:shd w:val="clear" w:color="auto" w:fill="D5DCE4" w:themeFill="text2" w:themeFillTint="33"/>
          <w:lang w:val="en-US"/>
          <w14:ligatures w14:val="standardContextual"/>
        </w:rPr>
        <w:t>,</w:t>
      </w:r>
      <w:r w:rsidR="008222B6" w:rsidRPr="00D3328C">
        <w:rPr>
          <w:rFonts w:ascii="Calibri" w:eastAsia="Calibri" w:hAnsi="Calibri" w:cs="Calibri"/>
          <w:b/>
          <w:bCs/>
          <w:i/>
          <w:iCs/>
          <w:kern w:val="2"/>
          <w:shd w:val="clear" w:color="auto" w:fill="D5DCE4" w:themeFill="text2" w:themeFillTint="33"/>
          <w:lang w:val="en-US"/>
          <w14:ligatures w14:val="standardContextual"/>
        </w:rPr>
        <w:t xml:space="preserve"> Project Case Studies</w:t>
      </w:r>
      <w:r w:rsidR="008222B6" w:rsidRPr="0014281E">
        <w:rPr>
          <w:rFonts w:ascii="Calibri" w:eastAsia="Calibri" w:hAnsi="Calibri" w:cs="Calibri"/>
          <w:kern w:val="2"/>
          <w:shd w:val="clear" w:color="auto" w:fill="D5DCE4" w:themeFill="text2" w:themeFillTint="33"/>
          <w:lang w:val="en-US"/>
          <w14:ligatures w14:val="standardContextual"/>
        </w:rPr>
        <w:t xml:space="preserve"> for a study in</w:t>
      </w:r>
      <w:bookmarkEnd w:id="36"/>
      <w:r w:rsidR="008222B6" w:rsidRPr="0014281E">
        <w:rPr>
          <w:rFonts w:ascii="Calibri" w:eastAsia="Calibri" w:hAnsi="Calibri" w:cs="Calibri"/>
          <w:kern w:val="2"/>
          <w:shd w:val="clear" w:color="auto" w:fill="D5DCE4" w:themeFill="text2" w:themeFillTint="33"/>
          <w:lang w:val="en-US"/>
          <w14:ligatures w14:val="standardContextual"/>
        </w:rPr>
        <w:t xml:space="preserve"> how AI could </w:t>
      </w:r>
      <w:r w:rsidR="00DB11CE" w:rsidRPr="0014281E">
        <w:rPr>
          <w:rFonts w:ascii="Calibri" w:eastAsia="Calibri" w:hAnsi="Calibri" w:cs="Calibri"/>
          <w:kern w:val="2"/>
          <w:shd w:val="clear" w:color="auto" w:fill="D5DCE4" w:themeFill="text2" w:themeFillTint="33"/>
          <w:lang w:val="en-US"/>
          <w14:ligatures w14:val="standardContextual"/>
        </w:rPr>
        <w:t xml:space="preserve">practically </w:t>
      </w:r>
      <w:r w:rsidR="008222B6" w:rsidRPr="0014281E">
        <w:rPr>
          <w:rFonts w:ascii="Calibri" w:eastAsia="Calibri" w:hAnsi="Calibri" w:cs="Calibri"/>
          <w:kern w:val="2"/>
          <w:shd w:val="clear" w:color="auto" w:fill="D5DCE4" w:themeFill="text2" w:themeFillTint="33"/>
          <w:lang w:val="en-US"/>
          <w14:ligatures w14:val="standardContextual"/>
        </w:rPr>
        <w:t>impact the investigation and trial of an alleged domestic violence incident</w:t>
      </w:r>
      <w:r w:rsidR="00543981" w:rsidRPr="0014281E">
        <w:rPr>
          <w:rFonts w:ascii="Calibri" w:eastAsia="Calibri" w:hAnsi="Calibri" w:cs="Calibri"/>
          <w:kern w:val="2"/>
          <w:shd w:val="clear" w:color="auto" w:fill="D5DCE4" w:themeFill="text2" w:themeFillTint="33"/>
          <w:lang w:val="en-US"/>
          <w14:ligatures w14:val="standardContextual"/>
        </w:rPr>
        <w:t xml:space="preserve">. For instance, the scenario examines the </w:t>
      </w:r>
      <w:r w:rsidR="00DB11CE" w:rsidRPr="0014281E">
        <w:rPr>
          <w:rFonts w:ascii="Calibri" w:eastAsia="Calibri" w:hAnsi="Calibri" w:cs="Calibri"/>
          <w:kern w:val="2"/>
          <w:shd w:val="clear" w:color="auto" w:fill="D5DCE4" w:themeFill="text2" w:themeFillTint="33"/>
          <w:lang w:val="en-US"/>
          <w14:ligatures w14:val="standardContextual"/>
        </w:rPr>
        <w:t xml:space="preserve">role of police, courts and legal counsel in anticipating and responding to the </w:t>
      </w:r>
      <w:r w:rsidR="00543981" w:rsidRPr="0014281E">
        <w:rPr>
          <w:rFonts w:ascii="Calibri" w:eastAsia="Calibri" w:hAnsi="Calibri" w:cs="Calibri"/>
          <w:kern w:val="2"/>
          <w:shd w:val="clear" w:color="auto" w:fill="D5DCE4" w:themeFill="text2" w:themeFillTint="33"/>
          <w:lang w:val="en-US"/>
          <w14:ligatures w14:val="standardContextual"/>
        </w:rPr>
        <w:t>impact</w:t>
      </w:r>
      <w:r w:rsidR="00DB11CE" w:rsidRPr="0014281E">
        <w:rPr>
          <w:rFonts w:ascii="Calibri" w:eastAsia="Calibri" w:hAnsi="Calibri" w:cs="Calibri"/>
          <w:kern w:val="2"/>
          <w:shd w:val="clear" w:color="auto" w:fill="D5DCE4" w:themeFill="text2" w:themeFillTint="33"/>
          <w:lang w:val="en-US"/>
          <w14:ligatures w14:val="standardContextual"/>
        </w:rPr>
        <w:t>s</w:t>
      </w:r>
      <w:r w:rsidR="00543981" w:rsidRPr="0014281E">
        <w:rPr>
          <w:rFonts w:ascii="Calibri" w:eastAsia="Calibri" w:hAnsi="Calibri" w:cs="Calibri"/>
          <w:kern w:val="2"/>
          <w:shd w:val="clear" w:color="auto" w:fill="D5DCE4" w:themeFill="text2" w:themeFillTint="33"/>
          <w:lang w:val="en-US"/>
          <w14:ligatures w14:val="standardContextual"/>
        </w:rPr>
        <w:t xml:space="preserve"> of potential deep fake images and audio; the role of </w:t>
      </w:r>
      <w:r w:rsidR="00DB11CE" w:rsidRPr="0014281E">
        <w:rPr>
          <w:rFonts w:ascii="Calibri" w:eastAsia="Calibri" w:hAnsi="Calibri" w:cs="Calibri"/>
          <w:kern w:val="2"/>
          <w:shd w:val="clear" w:color="auto" w:fill="D5DCE4" w:themeFill="text2" w:themeFillTint="33"/>
          <w:lang w:val="en-US"/>
          <w14:ligatures w14:val="standardContextual"/>
        </w:rPr>
        <w:t>AI</w:t>
      </w:r>
      <w:r w:rsidR="0014281E" w:rsidRPr="0014281E">
        <w:rPr>
          <w:rFonts w:ascii="Calibri" w:eastAsia="Calibri" w:hAnsi="Calibri" w:cs="Calibri"/>
          <w:kern w:val="2"/>
          <w:shd w:val="clear" w:color="auto" w:fill="D5DCE4" w:themeFill="text2" w:themeFillTint="33"/>
          <w:lang w:val="en-US"/>
          <w14:ligatures w14:val="standardContextual"/>
        </w:rPr>
        <w:t>-</w:t>
      </w:r>
      <w:r w:rsidR="00DB11CE" w:rsidRPr="0014281E">
        <w:rPr>
          <w:rFonts w:ascii="Calibri" w:eastAsia="Calibri" w:hAnsi="Calibri" w:cs="Calibri"/>
          <w:kern w:val="2"/>
          <w:shd w:val="clear" w:color="auto" w:fill="D5DCE4" w:themeFill="text2" w:themeFillTint="33"/>
          <w:lang w:val="en-US"/>
          <w14:ligatures w14:val="standardContextual"/>
        </w:rPr>
        <w:t xml:space="preserve">enabled </w:t>
      </w:r>
      <w:r w:rsidR="00543981" w:rsidRPr="0014281E">
        <w:rPr>
          <w:rFonts w:ascii="Calibri" w:eastAsia="Calibri" w:hAnsi="Calibri" w:cs="Calibri"/>
          <w:kern w:val="2"/>
          <w:shd w:val="clear" w:color="auto" w:fill="D5DCE4" w:themeFill="text2" w:themeFillTint="33"/>
          <w:lang w:val="en-US"/>
          <w14:ligatures w14:val="standardContextual"/>
        </w:rPr>
        <w:t xml:space="preserve">risk assessments; </w:t>
      </w:r>
      <w:r w:rsidR="00DB11CE" w:rsidRPr="0014281E">
        <w:rPr>
          <w:rFonts w:ascii="Calibri" w:eastAsia="Calibri" w:hAnsi="Calibri" w:cs="Calibri"/>
          <w:kern w:val="2"/>
          <w:shd w:val="clear" w:color="auto" w:fill="D5DCE4" w:themeFill="text2" w:themeFillTint="33"/>
          <w:lang w:val="en-US"/>
          <w14:ligatures w14:val="standardContextual"/>
        </w:rPr>
        <w:t xml:space="preserve">the provision of </w:t>
      </w:r>
      <w:r w:rsidR="00543981" w:rsidRPr="0014281E">
        <w:rPr>
          <w:rFonts w:ascii="Calibri" w:eastAsia="Calibri" w:hAnsi="Calibri" w:cs="Calibri"/>
          <w:kern w:val="2"/>
          <w:shd w:val="clear" w:color="auto" w:fill="D5DCE4" w:themeFill="text2" w:themeFillTint="33"/>
          <w:lang w:val="en-US"/>
          <w14:ligatures w14:val="standardContextual"/>
        </w:rPr>
        <w:t xml:space="preserve">emergency </w:t>
      </w:r>
      <w:r w:rsidR="00DB11CE" w:rsidRPr="0014281E">
        <w:rPr>
          <w:rFonts w:ascii="Calibri" w:eastAsia="Calibri" w:hAnsi="Calibri" w:cs="Calibri"/>
          <w:kern w:val="2"/>
          <w:shd w:val="clear" w:color="auto" w:fill="D5DCE4" w:themeFill="text2" w:themeFillTint="33"/>
          <w:lang w:val="en-US"/>
          <w14:ligatures w14:val="standardContextual"/>
        </w:rPr>
        <w:t xml:space="preserve">and other support </w:t>
      </w:r>
      <w:r w:rsidR="00543981" w:rsidRPr="0014281E">
        <w:rPr>
          <w:rFonts w:ascii="Calibri" w:eastAsia="Calibri" w:hAnsi="Calibri" w:cs="Calibri"/>
          <w:kern w:val="2"/>
          <w:shd w:val="clear" w:color="auto" w:fill="D5DCE4" w:themeFill="text2" w:themeFillTint="33"/>
          <w:lang w:val="en-US"/>
          <w14:ligatures w14:val="standardContextual"/>
        </w:rPr>
        <w:t xml:space="preserve">services </w:t>
      </w:r>
      <w:r w:rsidR="00DB11CE" w:rsidRPr="0014281E">
        <w:rPr>
          <w:rFonts w:ascii="Calibri" w:eastAsia="Calibri" w:hAnsi="Calibri" w:cs="Calibri"/>
          <w:kern w:val="2"/>
          <w:shd w:val="clear" w:color="auto" w:fill="D5DCE4" w:themeFill="text2" w:themeFillTint="33"/>
          <w:lang w:val="en-US"/>
          <w14:ligatures w14:val="standardContextual"/>
        </w:rPr>
        <w:t>through</w:t>
      </w:r>
      <w:r w:rsidR="00543981" w:rsidRPr="0014281E">
        <w:rPr>
          <w:rFonts w:ascii="Calibri" w:eastAsia="Calibri" w:hAnsi="Calibri" w:cs="Calibri"/>
          <w:kern w:val="2"/>
          <w:shd w:val="clear" w:color="auto" w:fill="D5DCE4" w:themeFill="text2" w:themeFillTint="33"/>
          <w:lang w:val="en-US"/>
          <w14:ligatures w14:val="standardContextual"/>
        </w:rPr>
        <w:t xml:space="preserve"> AI-enabled chatbots; and courtroom tools that </w:t>
      </w:r>
      <w:r w:rsidR="00DB11CE" w:rsidRPr="0014281E">
        <w:rPr>
          <w:rFonts w:ascii="Calibri" w:eastAsia="Calibri" w:hAnsi="Calibri" w:cs="Calibri"/>
          <w:kern w:val="2"/>
          <w:shd w:val="clear" w:color="auto" w:fill="D5DCE4" w:themeFill="text2" w:themeFillTint="33"/>
          <w:lang w:val="en-US"/>
          <w14:ligatures w14:val="standardContextual"/>
        </w:rPr>
        <w:t>may raise concerns for equal access to justice as between free and paid legal AI tools.</w:t>
      </w:r>
    </w:p>
    <w:p w14:paraId="6079A47A" w14:textId="77777777" w:rsidR="00630390" w:rsidRPr="00ED2F00" w:rsidRDefault="00630390" w:rsidP="00ED2F00"/>
    <w:p w14:paraId="129716C7" w14:textId="4A41BB1C" w:rsidR="00630390" w:rsidRDefault="00630390" w:rsidP="008E507E">
      <w:pPr>
        <w:pStyle w:val="Heading2"/>
        <w:numPr>
          <w:ilvl w:val="1"/>
          <w:numId w:val="16"/>
        </w:numPr>
      </w:pPr>
      <w:bookmarkStart w:id="37" w:name="_Toc195597989"/>
      <w:r>
        <w:t>AI and Improved Access to Justice in Criminal Law</w:t>
      </w:r>
      <w:bookmarkEnd w:id="37"/>
    </w:p>
    <w:p w14:paraId="6EB5886E" w14:textId="77777777" w:rsidR="00630390" w:rsidRDefault="00630390" w:rsidP="008E507E"/>
    <w:p w14:paraId="23F4114B" w14:textId="10A38BFE" w:rsidR="00630390" w:rsidRDefault="00630390" w:rsidP="008E507E">
      <w:pPr>
        <w:pStyle w:val="Heading3"/>
        <w:numPr>
          <w:ilvl w:val="2"/>
          <w:numId w:val="16"/>
        </w:numPr>
        <w:rPr>
          <w:rFonts w:eastAsia="Times New Roman"/>
        </w:rPr>
      </w:pPr>
      <w:bookmarkStart w:id="38" w:name="_Toc181708732"/>
      <w:bookmarkStart w:id="39" w:name="_Toc195597990"/>
      <w:r w:rsidRPr="008E507E">
        <w:rPr>
          <w:rFonts w:eastAsia="Times New Roman"/>
        </w:rPr>
        <w:t xml:space="preserve">Concerns </w:t>
      </w:r>
      <w:r w:rsidR="00000293" w:rsidRPr="008E507E">
        <w:rPr>
          <w:rFonts w:eastAsia="Times New Roman"/>
        </w:rPr>
        <w:t xml:space="preserve">For Bias and Discrimination </w:t>
      </w:r>
      <w:r w:rsidR="00000293">
        <w:rPr>
          <w:rFonts w:eastAsia="Times New Roman"/>
        </w:rPr>
        <w:t>i</w:t>
      </w:r>
      <w:r w:rsidR="00000293" w:rsidRPr="008E507E">
        <w:rPr>
          <w:rFonts w:eastAsia="Times New Roman"/>
        </w:rPr>
        <w:t xml:space="preserve">n </w:t>
      </w:r>
      <w:r w:rsidRPr="008E507E">
        <w:rPr>
          <w:rFonts w:eastAsia="Times New Roman"/>
        </w:rPr>
        <w:t xml:space="preserve">Court </w:t>
      </w:r>
      <w:r w:rsidR="00000293" w:rsidRPr="008E507E">
        <w:rPr>
          <w:rFonts w:eastAsia="Times New Roman"/>
        </w:rPr>
        <w:t xml:space="preserve">Proceedings </w:t>
      </w:r>
      <w:r w:rsidR="00000293">
        <w:rPr>
          <w:rFonts w:eastAsia="Times New Roman"/>
        </w:rPr>
        <w:t>i</w:t>
      </w:r>
      <w:r w:rsidR="00000293" w:rsidRPr="008E507E">
        <w:rPr>
          <w:rFonts w:eastAsia="Times New Roman"/>
        </w:rPr>
        <w:t xml:space="preserve">s Already Widely Seen Even Without </w:t>
      </w:r>
      <w:r w:rsidRPr="008E507E">
        <w:rPr>
          <w:rFonts w:eastAsia="Times New Roman"/>
        </w:rPr>
        <w:t>AI</w:t>
      </w:r>
      <w:bookmarkEnd w:id="38"/>
      <w:bookmarkEnd w:id="39"/>
    </w:p>
    <w:p w14:paraId="6548382B" w14:textId="0BAFCD9A" w:rsidR="00630390" w:rsidRPr="008E507E" w:rsidRDefault="00630390" w:rsidP="008E507E">
      <w:pPr>
        <w:spacing w:after="160" w:line="259" w:lineRule="auto"/>
        <w:rPr>
          <w:rFonts w:ascii="Calibri" w:eastAsia="Calibri" w:hAnsi="Calibri" w:cs="Calibri"/>
          <w:kern w:val="2"/>
          <w14:ligatures w14:val="standardContextual"/>
        </w:rPr>
      </w:pPr>
      <w:r w:rsidRPr="008E507E">
        <w:rPr>
          <w:rFonts w:ascii="Calibri" w:eastAsia="Calibri" w:hAnsi="Calibri" w:cs="Calibri"/>
          <w:kern w:val="2"/>
          <w14:ligatures w14:val="standardContextual"/>
        </w:rPr>
        <w:br/>
        <w:t xml:space="preserve">Concerns </w:t>
      </w:r>
      <w:r w:rsidR="00EE53D2">
        <w:rPr>
          <w:rFonts w:ascii="Calibri" w:eastAsia="Calibri" w:hAnsi="Calibri" w:cs="Calibri"/>
          <w:kern w:val="2"/>
          <w14:ligatures w14:val="standardContextual"/>
        </w:rPr>
        <w:t>for</w:t>
      </w:r>
      <w:r w:rsidRPr="008E507E">
        <w:rPr>
          <w:rFonts w:ascii="Calibri" w:eastAsia="Calibri" w:hAnsi="Calibri" w:cs="Calibri"/>
          <w:kern w:val="2"/>
          <w14:ligatures w14:val="standardContextual"/>
        </w:rPr>
        <w:t xml:space="preserve"> bias and discrimination within justice-involved institutions, law enforcement practices and the criminal trial and appeal process have </w:t>
      </w:r>
      <w:r w:rsidR="00EE53D2">
        <w:rPr>
          <w:rFonts w:ascii="Calibri" w:eastAsia="Calibri" w:hAnsi="Calibri" w:cs="Calibri"/>
          <w:kern w:val="2"/>
          <w14:ligatures w14:val="standardContextual"/>
        </w:rPr>
        <w:t xml:space="preserve">long </w:t>
      </w:r>
      <w:r w:rsidRPr="008E507E">
        <w:rPr>
          <w:rFonts w:ascii="Calibri" w:eastAsia="Calibri" w:hAnsi="Calibri" w:cs="Calibri"/>
          <w:kern w:val="2"/>
          <w14:ligatures w14:val="standardContextual"/>
        </w:rPr>
        <w:t>been noted in common law jurisprudence and academic literature.</w:t>
      </w:r>
      <w:r w:rsidR="00EE53D2">
        <w:rPr>
          <w:rFonts w:ascii="Calibri" w:eastAsia="Calibri" w:hAnsi="Calibri" w:cs="Calibri"/>
          <w:kern w:val="2"/>
          <w14:ligatures w14:val="standardContextual"/>
        </w:rPr>
        <w:t xml:space="preserve"> </w:t>
      </w:r>
      <w:r w:rsidRPr="008E507E">
        <w:rPr>
          <w:rFonts w:ascii="Calibri" w:eastAsia="Calibri" w:hAnsi="Calibri" w:cs="Calibri"/>
          <w:kern w:val="2"/>
          <w14:ligatures w14:val="standardContextual"/>
        </w:rPr>
        <w:t>They have also been the subject of comment by the media, criminal justice system participants</w:t>
      </w:r>
      <w:r w:rsidR="00EE53D2">
        <w:rPr>
          <w:rFonts w:ascii="Calibri" w:eastAsia="Calibri" w:hAnsi="Calibri" w:cs="Calibri"/>
          <w:kern w:val="2"/>
          <w14:ligatures w14:val="standardContextual"/>
        </w:rPr>
        <w:t>, academic study,</w:t>
      </w:r>
      <w:r w:rsidRPr="008E507E">
        <w:rPr>
          <w:rFonts w:ascii="Calibri" w:eastAsia="Calibri" w:hAnsi="Calibri" w:cs="Calibri"/>
          <w:kern w:val="2"/>
          <w14:ligatures w14:val="standardContextual"/>
        </w:rPr>
        <w:t xml:space="preserve"> and various communities that the system serves.</w:t>
      </w:r>
      <w:r w:rsidR="00EE53D2">
        <w:rPr>
          <w:rFonts w:ascii="Calibri" w:eastAsia="Calibri" w:hAnsi="Calibri" w:cs="Calibri"/>
          <w:kern w:val="2"/>
          <w14:ligatures w14:val="standardContextual"/>
        </w:rPr>
        <w:t xml:space="preserve"> A series of cases highlights how </w:t>
      </w:r>
      <w:r w:rsidR="00586723">
        <w:rPr>
          <w:rFonts w:ascii="Calibri" w:eastAsia="Calibri" w:hAnsi="Calibri" w:cs="Calibri"/>
          <w:kern w:val="2"/>
          <w14:ligatures w14:val="standardContextual"/>
        </w:rPr>
        <w:t xml:space="preserve">courts have affirmed these </w:t>
      </w:r>
      <w:r w:rsidR="00000293">
        <w:rPr>
          <w:rFonts w:ascii="Calibri" w:eastAsia="Calibri" w:hAnsi="Calibri" w:cs="Calibri"/>
          <w:kern w:val="2"/>
          <w14:ligatures w14:val="standardContextual"/>
        </w:rPr>
        <w:t>concerns and</w:t>
      </w:r>
      <w:r w:rsidR="00586723">
        <w:rPr>
          <w:rFonts w:ascii="Calibri" w:eastAsia="Calibri" w:hAnsi="Calibri" w:cs="Calibri"/>
          <w:kern w:val="2"/>
          <w14:ligatures w14:val="standardContextual"/>
        </w:rPr>
        <w:t xml:space="preserve"> thus suggest how these kinds of issues may play out when assessing potential bias and discrimination in AI systems. These legal findings include:</w:t>
      </w:r>
    </w:p>
    <w:p w14:paraId="1E9FC63B" w14:textId="50658112" w:rsidR="00630390" w:rsidRPr="008E507E" w:rsidRDefault="00630390" w:rsidP="007135E7">
      <w:pPr>
        <w:numPr>
          <w:ilvl w:val="1"/>
          <w:numId w:val="109"/>
        </w:numPr>
        <w:spacing w:after="160" w:line="259" w:lineRule="auto"/>
        <w:ind w:left="851" w:hanging="567"/>
        <w:contextualSpacing/>
        <w:rPr>
          <w:rFonts w:ascii="Calibri" w:eastAsia="Calibri" w:hAnsi="Calibri" w:cs="Calibri"/>
          <w:kern w:val="2"/>
          <w14:ligatures w14:val="standardContextual"/>
        </w:rPr>
      </w:pPr>
      <w:r w:rsidRPr="008E507E">
        <w:rPr>
          <w:rFonts w:ascii="Calibri" w:eastAsia="Calibri" w:hAnsi="Calibri" w:cs="Calibri"/>
          <w:i/>
          <w:iCs/>
          <w:kern w:val="2"/>
          <w14:ligatures w14:val="standardContextual"/>
        </w:rPr>
        <w:t>R. v. Parks</w:t>
      </w:r>
      <w:r w:rsidRPr="008E507E">
        <w:rPr>
          <w:rFonts w:ascii="Calibri" w:eastAsia="Calibri" w:hAnsi="Calibri" w:cs="Calibri"/>
          <w:kern w:val="2"/>
          <w14:ligatures w14:val="standardContextual"/>
        </w:rPr>
        <w:t>:</w:t>
      </w:r>
      <w:r w:rsidRPr="008E507E">
        <w:rPr>
          <w:rFonts w:ascii="Calibri" w:eastAsia="Calibri" w:hAnsi="Calibri" w:cs="Calibri"/>
          <w:kern w:val="2"/>
          <w:vertAlign w:val="superscript"/>
          <w14:ligatures w14:val="standardContextual"/>
        </w:rPr>
        <w:endnoteReference w:id="133"/>
      </w:r>
      <w:r w:rsidRPr="008E507E">
        <w:rPr>
          <w:rFonts w:ascii="Calibri" w:eastAsia="Calibri" w:hAnsi="Calibri" w:cs="Calibri"/>
          <w:i/>
          <w:iCs/>
          <w:kern w:val="2"/>
          <w14:ligatures w14:val="standardContextual"/>
        </w:rPr>
        <w:t xml:space="preserve"> </w:t>
      </w:r>
      <w:r w:rsidR="00EE53D2" w:rsidRPr="00EE53D2">
        <w:rPr>
          <w:rFonts w:ascii="Calibri" w:eastAsia="Calibri" w:hAnsi="Calibri" w:cs="Calibri"/>
          <w:kern w:val="2"/>
          <w14:ligatures w14:val="standardContextual"/>
        </w:rPr>
        <w:t xml:space="preserve">The </w:t>
      </w:r>
      <w:r w:rsidRPr="008E507E">
        <w:rPr>
          <w:rFonts w:ascii="Calibri" w:eastAsia="Calibri" w:hAnsi="Calibri" w:cs="Calibri"/>
          <w:kern w:val="2"/>
          <w14:ligatures w14:val="standardContextual"/>
        </w:rPr>
        <w:t>extent and intensity of racist beliefs in contemporary Canadian society recognized as justification for permitting defence to challenge for jurors for cause, preferably in all cases where the accused requests the inquiry</w:t>
      </w:r>
      <w:r w:rsidR="00EE53D2">
        <w:rPr>
          <w:rFonts w:ascii="Calibri" w:eastAsia="Calibri" w:hAnsi="Calibri" w:cs="Calibri"/>
          <w:kern w:val="2"/>
          <w14:ligatures w14:val="standardContextual"/>
        </w:rPr>
        <w:t xml:space="preserve">. Furthermore, </w:t>
      </w:r>
      <w:r w:rsidRPr="008E507E">
        <w:rPr>
          <w:rFonts w:ascii="Calibri" w:eastAsia="Calibri" w:hAnsi="Calibri" w:cs="Calibri"/>
          <w:kern w:val="2"/>
          <w14:ligatures w14:val="standardContextual"/>
        </w:rPr>
        <w:t xml:space="preserve">bias only renders </w:t>
      </w:r>
      <w:r w:rsidR="00EE53D2">
        <w:rPr>
          <w:rFonts w:ascii="Calibri" w:eastAsia="Calibri" w:hAnsi="Calibri" w:cs="Calibri"/>
          <w:kern w:val="2"/>
          <w14:ligatures w14:val="standardContextual"/>
        </w:rPr>
        <w:t xml:space="preserve">a </w:t>
      </w:r>
      <w:r w:rsidRPr="008E507E">
        <w:rPr>
          <w:rFonts w:ascii="Calibri" w:eastAsia="Calibri" w:hAnsi="Calibri" w:cs="Calibri"/>
          <w:kern w:val="2"/>
          <w14:ligatures w14:val="standardContextual"/>
        </w:rPr>
        <w:t>juror partial if it would cause juror to discriminate against black accused in reaching verdict</w:t>
      </w:r>
      <w:r w:rsidR="00EE53D2">
        <w:rPr>
          <w:rFonts w:ascii="Calibri" w:eastAsia="Calibri" w:hAnsi="Calibri" w:cs="Calibri"/>
          <w:kern w:val="2"/>
          <w14:ligatures w14:val="standardContextual"/>
        </w:rPr>
        <w:t>.</w:t>
      </w:r>
    </w:p>
    <w:p w14:paraId="72847B87" w14:textId="1FB4082A" w:rsidR="00630390" w:rsidRPr="008E507E" w:rsidRDefault="00630390" w:rsidP="007135E7">
      <w:pPr>
        <w:numPr>
          <w:ilvl w:val="1"/>
          <w:numId w:val="109"/>
        </w:numPr>
        <w:spacing w:after="160" w:line="259" w:lineRule="auto"/>
        <w:ind w:left="851" w:hanging="567"/>
        <w:contextualSpacing/>
        <w:rPr>
          <w:rFonts w:ascii="Calibri" w:eastAsia="Calibri" w:hAnsi="Calibri" w:cs="Calibri"/>
          <w14:ligatures w14:val="standardContextual"/>
        </w:rPr>
      </w:pPr>
      <w:r w:rsidRPr="008E507E">
        <w:rPr>
          <w:rFonts w:ascii="Calibri" w:eastAsia="Calibri" w:hAnsi="Calibri" w:cs="Calibri"/>
          <w:i/>
          <w:iCs/>
          <w:kern w:val="2"/>
          <w14:ligatures w14:val="standardContextual"/>
        </w:rPr>
        <w:t>R. v. Spence</w:t>
      </w:r>
      <w:r w:rsidRPr="008E507E">
        <w:rPr>
          <w:rFonts w:ascii="Calibri" w:eastAsia="Calibri" w:hAnsi="Calibri" w:cs="Calibri"/>
          <w14:ligatures w14:val="standardContextual"/>
        </w:rPr>
        <w:t>:</w:t>
      </w:r>
      <w:r w:rsidRPr="008E507E">
        <w:rPr>
          <w:rFonts w:ascii="Calibri" w:eastAsia="Calibri" w:hAnsi="Calibri" w:cs="Calibri"/>
          <w:vertAlign w:val="superscript"/>
          <w14:ligatures w14:val="standardContextual"/>
        </w:rPr>
        <w:endnoteReference w:id="134"/>
      </w:r>
      <w:r w:rsidRPr="008E507E">
        <w:rPr>
          <w:rFonts w:ascii="Calibri" w:eastAsia="Calibri" w:hAnsi="Calibri" w:cs="Calibri"/>
          <w14:ligatures w14:val="standardContextual"/>
        </w:rPr>
        <w:t xml:space="preserve"> </w:t>
      </w:r>
      <w:r w:rsidR="00EE53D2">
        <w:rPr>
          <w:rFonts w:ascii="Calibri" w:eastAsia="Calibri" w:hAnsi="Calibri" w:cs="Calibri"/>
          <w14:ligatures w14:val="standardContextual"/>
        </w:rPr>
        <w:t xml:space="preserve">The </w:t>
      </w:r>
      <w:r w:rsidRPr="008E507E">
        <w:rPr>
          <w:rFonts w:ascii="Calibri" w:eastAsia="Calibri" w:hAnsi="Calibri" w:cs="Calibri"/>
          <w14:ligatures w14:val="standardContextual"/>
        </w:rPr>
        <w:t>court considered effort</w:t>
      </w:r>
      <w:r w:rsidR="00EE53D2">
        <w:rPr>
          <w:rFonts w:ascii="Calibri" w:eastAsia="Calibri" w:hAnsi="Calibri" w:cs="Calibri"/>
          <w14:ligatures w14:val="standardContextual"/>
        </w:rPr>
        <w:t>s</w:t>
      </w:r>
      <w:r w:rsidRPr="008E507E">
        <w:rPr>
          <w:rFonts w:ascii="Calibri" w:eastAsia="Calibri" w:hAnsi="Calibri" w:cs="Calibri"/>
          <w14:ligatures w14:val="standardContextual"/>
        </w:rPr>
        <w:t xml:space="preserve"> to extend</w:t>
      </w:r>
      <w:r w:rsidR="00EE53D2">
        <w:rPr>
          <w:rFonts w:ascii="Calibri" w:eastAsia="Calibri" w:hAnsi="Calibri" w:cs="Calibri"/>
          <w14:ligatures w14:val="standardContextual"/>
        </w:rPr>
        <w:t xml:space="preserve"> the</w:t>
      </w:r>
      <w:r w:rsidRPr="008E507E">
        <w:rPr>
          <w:rFonts w:ascii="Calibri" w:eastAsia="Calibri" w:hAnsi="Calibri" w:cs="Calibri"/>
          <w14:ligatures w14:val="standardContextual"/>
        </w:rPr>
        <w:t xml:space="preserve"> </w:t>
      </w:r>
      <w:r w:rsidRPr="008E507E">
        <w:rPr>
          <w:rFonts w:ascii="Calibri" w:eastAsia="Calibri" w:hAnsi="Calibri" w:cs="Calibri"/>
          <w:i/>
          <w:iCs/>
          <w14:ligatures w14:val="standardContextual"/>
        </w:rPr>
        <w:t>Parks</w:t>
      </w:r>
      <w:r w:rsidRPr="008E507E">
        <w:rPr>
          <w:rFonts w:ascii="Calibri" w:eastAsia="Calibri" w:hAnsi="Calibri" w:cs="Calibri"/>
          <w14:ligatures w14:val="standardContextual"/>
        </w:rPr>
        <w:t xml:space="preserve"> challenge to include jurors of same race as victi</w:t>
      </w:r>
      <w:r w:rsidR="00EE53D2">
        <w:rPr>
          <w:rFonts w:ascii="Calibri" w:eastAsia="Calibri" w:hAnsi="Calibri" w:cs="Calibri"/>
          <w14:ligatures w14:val="standardContextual"/>
        </w:rPr>
        <w:t>m. E</w:t>
      </w:r>
      <w:r w:rsidRPr="008E507E">
        <w:rPr>
          <w:rFonts w:ascii="Calibri" w:eastAsia="Calibri" w:hAnsi="Calibri" w:cs="Calibri"/>
          <w14:ligatures w14:val="standardContextual"/>
        </w:rPr>
        <w:t xml:space="preserve">stablishing partiality requires satisfying the court that: (1) a widespread bias exists in the community and (2) some </w:t>
      </w:r>
      <w:r w:rsidRPr="008E507E">
        <w:rPr>
          <w:rFonts w:ascii="Calibri" w:eastAsia="Calibri" w:hAnsi="Calibri" w:cs="Calibri"/>
          <w14:ligatures w14:val="standardContextual"/>
        </w:rPr>
        <w:lastRenderedPageBreak/>
        <w:t>jurors may be incapable of setting aside this bias, despite trial safeguards, to render an impartial decision</w:t>
      </w:r>
      <w:r w:rsidR="00EE53D2">
        <w:rPr>
          <w:rFonts w:ascii="Calibri" w:eastAsia="Calibri" w:hAnsi="Calibri" w:cs="Calibri"/>
          <w14:ligatures w14:val="standardContextual"/>
        </w:rPr>
        <w:t>. C</w:t>
      </w:r>
      <w:r w:rsidRPr="008E507E">
        <w:rPr>
          <w:rFonts w:ascii="Calibri" w:eastAsia="Calibri" w:hAnsi="Calibri" w:cs="Calibri"/>
          <w14:ligatures w14:val="standardContextual"/>
        </w:rPr>
        <w:t>ases do not support a generalized conclusion that race-based natural sympathy affects all trials where accused, complainant, principal witnesses and jurors are not of the same race</w:t>
      </w:r>
      <w:r w:rsidR="00EE53D2">
        <w:rPr>
          <w:rFonts w:ascii="Calibri" w:eastAsia="Calibri" w:hAnsi="Calibri" w:cs="Calibri"/>
          <w14:ligatures w14:val="standardContextual"/>
        </w:rPr>
        <w:t>.</w:t>
      </w:r>
    </w:p>
    <w:p w14:paraId="5F83EFCA" w14:textId="0E495E8B" w:rsidR="00630390" w:rsidRPr="008E507E" w:rsidRDefault="00630390" w:rsidP="007135E7">
      <w:pPr>
        <w:numPr>
          <w:ilvl w:val="1"/>
          <w:numId w:val="109"/>
        </w:numPr>
        <w:spacing w:after="160" w:line="259" w:lineRule="auto"/>
        <w:ind w:left="851" w:hanging="567"/>
        <w:contextualSpacing/>
        <w:rPr>
          <w:rFonts w:ascii="Calibri" w:eastAsia="Calibri" w:hAnsi="Calibri" w:cs="Calibri"/>
          <w14:ligatures w14:val="standardContextual"/>
        </w:rPr>
      </w:pPr>
      <w:r w:rsidRPr="008E507E">
        <w:rPr>
          <w:rFonts w:ascii="Calibri" w:eastAsia="Calibri" w:hAnsi="Calibri" w:cs="Calibri"/>
          <w:i/>
          <w:iCs/>
          <w:kern w:val="2"/>
          <w14:ligatures w14:val="standardContextual"/>
        </w:rPr>
        <w:t>Ewert v. Canada</w:t>
      </w:r>
      <w:r w:rsidRPr="008E507E">
        <w:rPr>
          <w:rFonts w:ascii="Calibri" w:eastAsia="Calibri" w:hAnsi="Calibri" w:cs="Calibri"/>
          <w:kern w:val="2"/>
          <w14:ligatures w14:val="standardContextual"/>
        </w:rPr>
        <w:t>:</w:t>
      </w:r>
      <w:r w:rsidRPr="008E507E">
        <w:rPr>
          <w:rFonts w:ascii="Calibri" w:eastAsia="Calibri" w:hAnsi="Calibri" w:cs="Calibri"/>
          <w:kern w:val="2"/>
          <w:vertAlign w:val="superscript"/>
          <w14:ligatures w14:val="standardContextual"/>
        </w:rPr>
        <w:endnoteReference w:id="135"/>
      </w:r>
      <w:r w:rsidRPr="008E507E">
        <w:rPr>
          <w:rFonts w:ascii="Calibri" w:eastAsia="Calibri" w:hAnsi="Calibri" w:cs="Calibri"/>
          <w:kern w:val="2"/>
          <w14:ligatures w14:val="standardContextual"/>
        </w:rPr>
        <w:t xml:space="preserve"> </w:t>
      </w:r>
      <w:r w:rsidR="00EE53D2">
        <w:rPr>
          <w:rFonts w:ascii="Calibri" w:eastAsia="Calibri" w:hAnsi="Calibri" w:cs="Calibri"/>
          <w:kern w:val="2"/>
          <w14:ligatures w14:val="standardContextual"/>
        </w:rPr>
        <w:t xml:space="preserve">The </w:t>
      </w:r>
      <w:r w:rsidRPr="008E507E">
        <w:rPr>
          <w:rFonts w:ascii="Calibri" w:eastAsia="Calibri" w:hAnsi="Calibri" w:cs="Calibri"/>
          <w:kern w:val="2"/>
          <w14:ligatures w14:val="standardContextual"/>
        </w:rPr>
        <w:t xml:space="preserve">risk assessment </w:t>
      </w:r>
      <w:r w:rsidR="00EE53D2">
        <w:rPr>
          <w:rFonts w:ascii="Calibri" w:eastAsia="Calibri" w:hAnsi="Calibri" w:cs="Calibri"/>
          <w:kern w:val="2"/>
          <w14:ligatures w14:val="standardContextual"/>
        </w:rPr>
        <w:t xml:space="preserve">tools used to determine parole eligibility </w:t>
      </w:r>
      <w:r w:rsidRPr="008E507E">
        <w:rPr>
          <w:rFonts w:ascii="Calibri" w:eastAsia="Calibri" w:hAnsi="Calibri" w:cs="Calibri"/>
          <w:kern w:val="2"/>
          <w14:ligatures w14:val="standardContextual"/>
        </w:rPr>
        <w:t>were</w:t>
      </w:r>
      <w:r w:rsidR="00EE53D2">
        <w:rPr>
          <w:rFonts w:ascii="Calibri" w:eastAsia="Calibri" w:hAnsi="Calibri" w:cs="Calibri"/>
          <w:kern w:val="2"/>
          <w14:ligatures w14:val="standardContextual"/>
        </w:rPr>
        <w:t xml:space="preserve"> found</w:t>
      </w:r>
      <w:r w:rsidRPr="008E507E">
        <w:rPr>
          <w:rFonts w:ascii="Calibri" w:eastAsia="Calibri" w:hAnsi="Calibri" w:cs="Calibri"/>
          <w:kern w:val="2"/>
          <w14:ligatures w14:val="standardContextual"/>
        </w:rPr>
        <w:t xml:space="preserve"> susceptible to cultural bias and </w:t>
      </w:r>
      <w:r w:rsidR="00EE53D2">
        <w:rPr>
          <w:rFonts w:ascii="Calibri" w:eastAsia="Calibri" w:hAnsi="Calibri" w:cs="Calibri"/>
          <w:kern w:val="2"/>
          <w14:ligatures w14:val="standardContextual"/>
        </w:rPr>
        <w:t xml:space="preserve">thus </w:t>
      </w:r>
      <w:r w:rsidRPr="008E507E">
        <w:rPr>
          <w:rFonts w:ascii="Calibri" w:eastAsia="Calibri" w:hAnsi="Calibri" w:cs="Calibri"/>
          <w:kern w:val="2"/>
          <w14:ligatures w14:val="standardContextual"/>
        </w:rPr>
        <w:t>unreliable</w:t>
      </w:r>
      <w:r w:rsidR="00EE53D2">
        <w:rPr>
          <w:rFonts w:ascii="Calibri" w:eastAsia="Calibri" w:hAnsi="Calibri" w:cs="Calibri"/>
          <w:kern w:val="2"/>
          <w14:ligatures w14:val="standardContextual"/>
        </w:rPr>
        <w:t xml:space="preserve">. Furthermore, </w:t>
      </w:r>
      <w:r w:rsidRPr="008E507E">
        <w:rPr>
          <w:rFonts w:ascii="Calibri" w:eastAsia="Calibri" w:hAnsi="Calibri" w:cs="Calibri"/>
          <w:kern w:val="2"/>
          <w14:ligatures w14:val="standardContextual"/>
        </w:rPr>
        <w:t xml:space="preserve">assessments were </w:t>
      </w:r>
      <w:r w:rsidR="00EE53D2">
        <w:rPr>
          <w:rFonts w:ascii="Calibri" w:eastAsia="Calibri" w:hAnsi="Calibri" w:cs="Calibri"/>
          <w:kern w:val="2"/>
          <w14:ligatures w14:val="standardContextual"/>
        </w:rPr>
        <w:t xml:space="preserve">found to be a </w:t>
      </w:r>
      <w:r w:rsidRPr="008E507E">
        <w:rPr>
          <w:rFonts w:ascii="Calibri" w:eastAsia="Calibri" w:hAnsi="Calibri" w:cs="Calibri"/>
          <w:kern w:val="2"/>
          <w14:ligatures w14:val="standardContextual"/>
        </w:rPr>
        <w:t>contributing factor in decisions that had adverse impact on Ewert’s incarceration</w:t>
      </w:r>
      <w:r w:rsidR="00EE53D2">
        <w:rPr>
          <w:rFonts w:ascii="Calibri" w:eastAsia="Calibri" w:hAnsi="Calibri" w:cs="Calibri"/>
          <w:kern w:val="2"/>
          <w14:ligatures w14:val="standardContextual"/>
        </w:rPr>
        <w:t>.</w:t>
      </w:r>
    </w:p>
    <w:p w14:paraId="6392FB10" w14:textId="2D5FB4B1" w:rsidR="00630390" w:rsidRPr="008E507E" w:rsidRDefault="00630390" w:rsidP="007135E7">
      <w:pPr>
        <w:numPr>
          <w:ilvl w:val="1"/>
          <w:numId w:val="109"/>
        </w:numPr>
        <w:spacing w:after="160" w:line="259" w:lineRule="auto"/>
        <w:ind w:left="851" w:hanging="567"/>
        <w:contextualSpacing/>
        <w:rPr>
          <w:rFonts w:ascii="Calibri" w:eastAsia="Calibri" w:hAnsi="Calibri" w:cs="Calibri"/>
          <w:kern w:val="2"/>
          <w14:ligatures w14:val="standardContextual"/>
        </w:rPr>
      </w:pPr>
      <w:r w:rsidRPr="008E507E">
        <w:rPr>
          <w:rFonts w:ascii="Calibri" w:eastAsia="Calibri" w:hAnsi="Calibri" w:cs="Calibri"/>
          <w:i/>
          <w:iCs/>
          <w:kern w:val="2"/>
          <w14:ligatures w14:val="standardContextual"/>
        </w:rPr>
        <w:t>R. v. Le</w:t>
      </w:r>
      <w:r w:rsidRPr="008E507E">
        <w:rPr>
          <w:rFonts w:ascii="Calibri" w:eastAsia="Calibri" w:hAnsi="Calibri" w:cs="Calibri"/>
          <w:kern w:val="2"/>
          <w14:ligatures w14:val="standardContextual"/>
        </w:rPr>
        <w:t>:</w:t>
      </w:r>
      <w:r w:rsidRPr="008E507E">
        <w:rPr>
          <w:rFonts w:ascii="Calibri" w:eastAsia="Calibri" w:hAnsi="Calibri" w:cs="Calibri"/>
          <w:kern w:val="2"/>
          <w:vertAlign w:val="superscript"/>
          <w14:ligatures w14:val="standardContextual"/>
        </w:rPr>
        <w:endnoteReference w:id="136"/>
      </w:r>
      <w:r w:rsidRPr="008E507E">
        <w:rPr>
          <w:rFonts w:ascii="Calibri" w:eastAsia="Calibri" w:hAnsi="Calibri" w:cs="Calibri"/>
          <w:i/>
          <w:iCs/>
          <w:kern w:val="2"/>
          <w14:ligatures w14:val="standardContextual"/>
        </w:rPr>
        <w:t xml:space="preserve"> </w:t>
      </w:r>
      <w:r w:rsidR="00EE53D2">
        <w:rPr>
          <w:rFonts w:ascii="Calibri" w:eastAsia="Calibri" w:hAnsi="Calibri" w:cs="Calibri"/>
          <w:kern w:val="2"/>
          <w14:ligatures w14:val="standardContextual"/>
        </w:rPr>
        <w:t>This case examined</w:t>
      </w:r>
      <w:r w:rsidRPr="008E507E">
        <w:rPr>
          <w:rFonts w:ascii="Calibri" w:eastAsia="Calibri" w:hAnsi="Calibri" w:cs="Calibri"/>
          <w:kern w:val="2"/>
          <w14:ligatures w14:val="standardContextual"/>
        </w:rPr>
        <w:t xml:space="preserve"> the role of systemic discrimination in the perception of an accused as to whether he is being detained by police</w:t>
      </w:r>
      <w:r w:rsidR="00EE53D2">
        <w:rPr>
          <w:rFonts w:ascii="Calibri" w:eastAsia="Calibri" w:hAnsi="Calibri" w:cs="Calibri"/>
          <w:kern w:val="2"/>
          <w14:ligatures w14:val="standardContextual"/>
        </w:rPr>
        <w:t>.</w:t>
      </w:r>
    </w:p>
    <w:p w14:paraId="18B6771F" w14:textId="79B540E2" w:rsidR="00630390" w:rsidRPr="008E507E" w:rsidRDefault="00630390" w:rsidP="007135E7">
      <w:pPr>
        <w:numPr>
          <w:ilvl w:val="1"/>
          <w:numId w:val="109"/>
        </w:numPr>
        <w:autoSpaceDE w:val="0"/>
        <w:autoSpaceDN w:val="0"/>
        <w:adjustRightInd w:val="0"/>
        <w:spacing w:after="160" w:line="259" w:lineRule="auto"/>
        <w:ind w:left="851" w:hanging="567"/>
        <w:contextualSpacing/>
        <w:rPr>
          <w:rFonts w:ascii="Calibri" w:eastAsia="Calibri" w:hAnsi="Calibri" w:cs="Calibri"/>
          <w:kern w:val="2"/>
          <w14:ligatures w14:val="standardContextual"/>
        </w:rPr>
      </w:pPr>
      <w:r w:rsidRPr="008E507E">
        <w:rPr>
          <w:rFonts w:ascii="Calibri" w:eastAsia="Calibri" w:hAnsi="Calibri" w:cs="Calibri"/>
          <w:i/>
          <w:iCs/>
          <w:kern w:val="2"/>
          <w14:ligatures w14:val="standardContextual"/>
        </w:rPr>
        <w:t>R. v. Sitaldeen</w:t>
      </w:r>
      <w:r w:rsidRPr="008E507E">
        <w:rPr>
          <w:rFonts w:ascii="Calibri" w:eastAsia="Calibri" w:hAnsi="Calibri" w:cs="Calibri"/>
          <w:kern w:val="2"/>
          <w14:ligatures w14:val="standardContextual"/>
        </w:rPr>
        <w:t>:</w:t>
      </w:r>
      <w:r w:rsidRPr="008E507E">
        <w:rPr>
          <w:rFonts w:ascii="Calibri" w:eastAsia="Calibri" w:hAnsi="Calibri" w:cs="Calibri"/>
          <w:kern w:val="2"/>
          <w:vertAlign w:val="superscript"/>
          <w14:ligatures w14:val="standardContextual"/>
        </w:rPr>
        <w:endnoteReference w:id="137"/>
      </w:r>
      <w:r w:rsidRPr="008E507E">
        <w:rPr>
          <w:rFonts w:ascii="Calibri" w:eastAsia="Calibri" w:hAnsi="Calibri" w:cs="Calibri"/>
          <w:kern w:val="2"/>
          <w14:ligatures w14:val="standardContextual"/>
        </w:rPr>
        <w:t xml:space="preserve"> </w:t>
      </w:r>
      <w:r w:rsidR="00EE53D2">
        <w:rPr>
          <w:rFonts w:ascii="Calibri" w:eastAsia="Calibri" w:hAnsi="Calibri" w:cs="Calibri"/>
          <w:kern w:val="2"/>
          <w14:ligatures w14:val="standardContextual"/>
        </w:rPr>
        <w:t xml:space="preserve">Conducted an assessment related to an allegation of racial profiling and </w:t>
      </w:r>
      <w:r w:rsidRPr="008E507E">
        <w:rPr>
          <w:rFonts w:ascii="Calibri" w:eastAsia="Calibri" w:hAnsi="Calibri" w:cs="Calibri"/>
          <w:kern w:val="2"/>
          <w14:ligatures w14:val="standardContextual"/>
        </w:rPr>
        <w:t>includes discussion of unconscious bias</w:t>
      </w:r>
      <w:r w:rsidR="00EE53D2">
        <w:rPr>
          <w:rFonts w:ascii="Calibri" w:eastAsia="Calibri" w:hAnsi="Calibri" w:cs="Calibri"/>
          <w:kern w:val="2"/>
          <w14:ligatures w14:val="standardContextual"/>
        </w:rPr>
        <w:t>.</w:t>
      </w:r>
    </w:p>
    <w:p w14:paraId="2B049FBA" w14:textId="7BF7F00B" w:rsidR="00630390" w:rsidRPr="008E507E" w:rsidRDefault="00630390" w:rsidP="007135E7">
      <w:pPr>
        <w:numPr>
          <w:ilvl w:val="1"/>
          <w:numId w:val="109"/>
        </w:numPr>
        <w:spacing w:after="160" w:line="259" w:lineRule="auto"/>
        <w:ind w:left="851" w:hanging="567"/>
        <w:contextualSpacing/>
        <w:rPr>
          <w:rFonts w:ascii="Calibri" w:eastAsia="Calibri" w:hAnsi="Calibri" w:cs="Calibri"/>
          <w:kern w:val="2"/>
          <w14:ligatures w14:val="standardContextual"/>
        </w:rPr>
      </w:pPr>
      <w:r w:rsidRPr="008E507E">
        <w:rPr>
          <w:rFonts w:ascii="Calibri" w:eastAsia="Calibri" w:hAnsi="Calibri" w:cs="Calibri"/>
          <w:i/>
          <w:iCs/>
          <w:kern w:val="2"/>
          <w14:ligatures w14:val="standardContextual"/>
        </w:rPr>
        <w:t>Khorsand v. Toronto (City) Police Services Board</w:t>
      </w:r>
      <w:r w:rsidRPr="008E507E">
        <w:rPr>
          <w:rFonts w:ascii="Calibri" w:eastAsia="Calibri" w:hAnsi="Calibri" w:cs="Calibri"/>
          <w:kern w:val="2"/>
          <w14:ligatures w14:val="standardContextual"/>
        </w:rPr>
        <w:t>:</w:t>
      </w:r>
      <w:r w:rsidRPr="008E507E">
        <w:rPr>
          <w:rFonts w:ascii="Calibri" w:eastAsia="Calibri" w:hAnsi="Calibri" w:cs="Calibri"/>
          <w:kern w:val="2"/>
          <w:vertAlign w:val="superscript"/>
          <w14:ligatures w14:val="standardContextual"/>
        </w:rPr>
        <w:endnoteReference w:id="138"/>
      </w:r>
      <w:r w:rsidRPr="008E507E">
        <w:rPr>
          <w:rFonts w:ascii="Calibri" w:eastAsia="Calibri" w:hAnsi="Calibri" w:cs="Calibri"/>
          <w:kern w:val="2"/>
          <w14:ligatures w14:val="standardContextual"/>
        </w:rPr>
        <w:t xml:space="preserve"> </w:t>
      </w:r>
      <w:r w:rsidR="00EE53D2">
        <w:rPr>
          <w:rFonts w:ascii="Calibri" w:eastAsia="Calibri" w:hAnsi="Calibri" w:cs="Calibri"/>
          <w:kern w:val="2"/>
          <w14:ligatures w14:val="standardContextual"/>
        </w:rPr>
        <w:t xml:space="preserve">This case </w:t>
      </w:r>
      <w:r w:rsidRPr="008E507E">
        <w:rPr>
          <w:rFonts w:ascii="Calibri" w:eastAsia="Calibri" w:hAnsi="Calibri" w:cs="Calibri"/>
          <w:kern w:val="2"/>
          <w14:ligatures w14:val="standardContextual"/>
        </w:rPr>
        <w:t>considers impact of higher rate of police interaction upon marginalized communities and racial minorities; including detrimental effects upon physical and mental health, employment and educational prospects and undermining of public confidence in the administration of justice.</w:t>
      </w:r>
    </w:p>
    <w:p w14:paraId="6B7076A3" w14:textId="4821BBC5" w:rsidR="00630390" w:rsidRPr="008E507E" w:rsidRDefault="00630390" w:rsidP="007135E7">
      <w:pPr>
        <w:numPr>
          <w:ilvl w:val="1"/>
          <w:numId w:val="109"/>
        </w:numPr>
        <w:spacing w:after="160" w:line="259" w:lineRule="auto"/>
        <w:ind w:left="851" w:hanging="567"/>
        <w:contextualSpacing/>
        <w:rPr>
          <w:rFonts w:ascii="Calibri" w:eastAsia="Calibri" w:hAnsi="Calibri" w:cs="Calibri"/>
          <w:kern w:val="2"/>
          <w14:ligatures w14:val="standardContextual"/>
        </w:rPr>
      </w:pPr>
      <w:r w:rsidRPr="008E507E">
        <w:rPr>
          <w:rFonts w:ascii="Calibri" w:eastAsia="Calibri" w:hAnsi="Calibri" w:cs="Calibri"/>
          <w:i/>
          <w:iCs/>
          <w:kern w:val="2"/>
          <w14:ligatures w14:val="standardContextual"/>
        </w:rPr>
        <w:t>R. v. Morris</w:t>
      </w:r>
      <w:r w:rsidRPr="008E507E">
        <w:rPr>
          <w:rFonts w:ascii="Calibri" w:eastAsia="Calibri" w:hAnsi="Calibri" w:cs="Calibri"/>
          <w:kern w:val="2"/>
          <w14:ligatures w14:val="standardContextual"/>
        </w:rPr>
        <w:t>:</w:t>
      </w:r>
      <w:r w:rsidRPr="008E507E">
        <w:rPr>
          <w:rFonts w:ascii="Calibri" w:eastAsia="Calibri" w:hAnsi="Calibri" w:cs="Calibri"/>
          <w:kern w:val="2"/>
          <w:vertAlign w:val="superscript"/>
          <w14:ligatures w14:val="standardContextual"/>
        </w:rPr>
        <w:endnoteReference w:id="139"/>
      </w:r>
      <w:r w:rsidRPr="008E507E">
        <w:rPr>
          <w:rFonts w:ascii="Calibri" w:eastAsia="Calibri" w:hAnsi="Calibri" w:cs="Calibri"/>
          <w:i/>
          <w:iCs/>
          <w:kern w:val="2"/>
          <w14:ligatures w14:val="standardContextual"/>
        </w:rPr>
        <w:t xml:space="preserve"> </w:t>
      </w:r>
      <w:r w:rsidR="00EE53D2">
        <w:rPr>
          <w:rFonts w:ascii="Calibri" w:eastAsia="Calibri" w:hAnsi="Calibri" w:cs="Calibri"/>
          <w:kern w:val="2"/>
          <w14:ligatures w14:val="standardContextual"/>
        </w:rPr>
        <w:t xml:space="preserve">This case found that </w:t>
      </w:r>
      <w:r w:rsidRPr="008E507E">
        <w:rPr>
          <w:rFonts w:ascii="Calibri" w:eastAsia="Calibri" w:hAnsi="Calibri" w:cs="Calibri"/>
          <w:kern w:val="2"/>
          <w14:ligatures w14:val="standardContextual"/>
        </w:rPr>
        <w:t xml:space="preserve">social context evidence is admissible at sentencing (and on appeal) regarding systemic factors such as anti-Black racism and other background information about issues impacting members of Black of communities. There are a variety of ways to introduce the evidence, including through an </w:t>
      </w:r>
      <w:r w:rsidRPr="008E507E">
        <w:rPr>
          <w:rFonts w:ascii="Calibri" w:eastAsia="Calibri" w:hAnsi="Calibri" w:cs="Calibri"/>
          <w:i/>
          <w:iCs/>
          <w:kern w:val="2"/>
          <w14:ligatures w14:val="standardContextual"/>
        </w:rPr>
        <w:t>Impact of Race and Culture Report</w:t>
      </w:r>
      <w:r w:rsidR="00EE53D2">
        <w:rPr>
          <w:rFonts w:ascii="Calibri" w:eastAsia="Calibri" w:hAnsi="Calibri" w:cs="Calibri"/>
          <w:kern w:val="2"/>
          <w14:ligatures w14:val="standardContextual"/>
        </w:rPr>
        <w:t xml:space="preserve">. </w:t>
      </w:r>
      <w:r w:rsidRPr="008E507E">
        <w:rPr>
          <w:rFonts w:ascii="Calibri" w:eastAsia="Calibri" w:hAnsi="Calibri" w:cs="Calibri"/>
          <w:kern w:val="2"/>
          <w14:ligatures w14:val="standardContextual"/>
        </w:rPr>
        <w:t>However, while the evidence is relevant to the moral blameworthiness of the offender, it is not relevant to an assessment of the gravity of the offence.</w:t>
      </w:r>
    </w:p>
    <w:p w14:paraId="548443C6" w14:textId="77777777" w:rsidR="00630390" w:rsidRPr="008E507E" w:rsidRDefault="00630390" w:rsidP="008E507E">
      <w:pPr>
        <w:spacing w:after="160" w:line="259" w:lineRule="auto"/>
        <w:ind w:left="1440"/>
        <w:contextualSpacing/>
        <w:rPr>
          <w:rFonts w:ascii="Calibri" w:eastAsia="Calibri" w:hAnsi="Calibri" w:cs="Calibri"/>
          <w:kern w:val="2"/>
          <w14:ligatures w14:val="standardContextual"/>
        </w:rPr>
      </w:pPr>
    </w:p>
    <w:p w14:paraId="22BDC1E7" w14:textId="11D578FC" w:rsidR="00630390" w:rsidRDefault="00630390" w:rsidP="008E507E">
      <w:pPr>
        <w:pStyle w:val="Heading3"/>
        <w:numPr>
          <w:ilvl w:val="2"/>
          <w:numId w:val="16"/>
        </w:numPr>
        <w:rPr>
          <w:rFonts w:eastAsia="Times New Roman"/>
        </w:rPr>
      </w:pPr>
      <w:bookmarkStart w:id="40" w:name="_Toc181708733"/>
      <w:bookmarkStart w:id="41" w:name="_Toc195597991"/>
      <w:r w:rsidRPr="008E507E">
        <w:rPr>
          <w:rFonts w:eastAsia="Times New Roman"/>
        </w:rPr>
        <w:t xml:space="preserve">Access </w:t>
      </w:r>
      <w:r w:rsidR="00000293" w:rsidRPr="008E507E">
        <w:rPr>
          <w:rFonts w:eastAsia="Times New Roman"/>
        </w:rPr>
        <w:t xml:space="preserve">To Justice </w:t>
      </w:r>
      <w:r w:rsidR="00000293">
        <w:rPr>
          <w:rFonts w:eastAsia="Times New Roman"/>
        </w:rPr>
        <w:t>a</w:t>
      </w:r>
      <w:r w:rsidR="00000293" w:rsidRPr="008E507E">
        <w:rPr>
          <w:rFonts w:eastAsia="Times New Roman"/>
        </w:rPr>
        <w:t xml:space="preserve">nd Inequity </w:t>
      </w:r>
      <w:r w:rsidR="00000293">
        <w:rPr>
          <w:rFonts w:eastAsia="Times New Roman"/>
        </w:rPr>
        <w:t>i</w:t>
      </w:r>
      <w:r w:rsidR="00000293" w:rsidRPr="008E507E">
        <w:rPr>
          <w:rFonts w:eastAsia="Times New Roman"/>
        </w:rPr>
        <w:t>n Challenging Non-</w:t>
      </w:r>
      <w:r w:rsidRPr="008E507E">
        <w:rPr>
          <w:rFonts w:eastAsia="Times New Roman"/>
        </w:rPr>
        <w:t xml:space="preserve">AI </w:t>
      </w:r>
      <w:r w:rsidR="00000293" w:rsidRPr="008E507E">
        <w:rPr>
          <w:rFonts w:eastAsia="Times New Roman"/>
        </w:rPr>
        <w:t xml:space="preserve">Technology </w:t>
      </w:r>
      <w:r w:rsidR="00000293">
        <w:rPr>
          <w:rFonts w:eastAsia="Times New Roman"/>
        </w:rPr>
        <w:t>i</w:t>
      </w:r>
      <w:r w:rsidR="00000293" w:rsidRPr="008E507E">
        <w:rPr>
          <w:rFonts w:eastAsia="Times New Roman"/>
        </w:rPr>
        <w:t xml:space="preserve">s Already </w:t>
      </w:r>
      <w:r w:rsidR="00000293">
        <w:rPr>
          <w:rFonts w:eastAsia="Times New Roman"/>
        </w:rPr>
        <w:t>a</w:t>
      </w:r>
      <w:r w:rsidR="00000293" w:rsidRPr="008E507E">
        <w:rPr>
          <w:rFonts w:eastAsia="Times New Roman"/>
        </w:rPr>
        <w:t xml:space="preserve"> General Concern</w:t>
      </w:r>
      <w:bookmarkEnd w:id="40"/>
      <w:bookmarkEnd w:id="41"/>
    </w:p>
    <w:p w14:paraId="36909C95" w14:textId="77777777" w:rsidR="00630390" w:rsidRDefault="00630390" w:rsidP="008E507E"/>
    <w:p w14:paraId="5ED489F9" w14:textId="77777777" w:rsidR="00630390" w:rsidRPr="008E507E" w:rsidRDefault="00630390" w:rsidP="008E507E">
      <w:pPr>
        <w:spacing w:after="160" w:line="259" w:lineRule="auto"/>
        <w:rPr>
          <w:rFonts w:ascii="Calibri" w:eastAsia="Calibri" w:hAnsi="Calibri" w:cs="Times New Roman"/>
          <w:kern w:val="2"/>
          <w14:ligatures w14:val="standardContextual"/>
        </w:rPr>
      </w:pPr>
      <w:r w:rsidRPr="008E507E">
        <w:rPr>
          <w:rFonts w:ascii="Calibri" w:eastAsia="Calibri" w:hAnsi="Calibri" w:cs="Times New Roman"/>
          <w:kern w:val="2"/>
          <w14:ligatures w14:val="standardContextual"/>
        </w:rPr>
        <w:t>Existing non-AI forms of technology can be difficult to challenge and already present barriers to equality and access to justice. Among the potential issues to be overcome:</w:t>
      </w:r>
    </w:p>
    <w:p w14:paraId="07663C2F" w14:textId="0C0512B8" w:rsidR="00630390" w:rsidRPr="008E507E" w:rsidRDefault="00630390" w:rsidP="007135E7">
      <w:pPr>
        <w:numPr>
          <w:ilvl w:val="0"/>
          <w:numId w:val="113"/>
        </w:numPr>
        <w:spacing w:after="160" w:line="259" w:lineRule="auto"/>
        <w:ind w:left="851" w:hanging="567"/>
        <w:contextualSpacing/>
        <w:rPr>
          <w:rFonts w:ascii="Calibri" w:eastAsia="Calibri" w:hAnsi="Calibri" w:cs="Times New Roman"/>
          <w:kern w:val="2"/>
          <w14:ligatures w14:val="standardContextual"/>
        </w:rPr>
      </w:pPr>
      <w:r w:rsidRPr="008E507E">
        <w:rPr>
          <w:rFonts w:ascii="Calibri" w:eastAsia="Calibri" w:hAnsi="Calibri" w:cs="Times New Roman"/>
          <w:kern w:val="2"/>
          <w14:ligatures w14:val="standardContextual"/>
        </w:rPr>
        <w:t>Ability to understand the technology, including by self-represented accused, duty counsel, counsel, and the court</w:t>
      </w:r>
      <w:r w:rsidR="00EC5D32">
        <w:rPr>
          <w:rFonts w:ascii="Calibri" w:eastAsia="Calibri" w:hAnsi="Calibri" w:cs="Times New Roman"/>
          <w:kern w:val="2"/>
          <w14:ligatures w14:val="standardContextual"/>
        </w:rPr>
        <w:t>.</w:t>
      </w:r>
      <w:r w:rsidRPr="008E507E">
        <w:rPr>
          <w:rFonts w:ascii="Calibri" w:eastAsia="Calibri" w:hAnsi="Calibri" w:cs="Times New Roman"/>
          <w:kern w:val="2"/>
          <w:vertAlign w:val="superscript"/>
          <w14:ligatures w14:val="standardContextual"/>
        </w:rPr>
        <w:endnoteReference w:id="140"/>
      </w:r>
    </w:p>
    <w:p w14:paraId="0D6E4668" w14:textId="0456CE50" w:rsidR="00630390" w:rsidRPr="00650657" w:rsidRDefault="00630390" w:rsidP="007135E7">
      <w:pPr>
        <w:numPr>
          <w:ilvl w:val="0"/>
          <w:numId w:val="113"/>
        </w:numPr>
        <w:spacing w:after="160" w:line="259" w:lineRule="auto"/>
        <w:ind w:left="851" w:hanging="567"/>
        <w:contextualSpacing/>
        <w:rPr>
          <w:rFonts w:ascii="Calibri" w:eastAsia="Calibri" w:hAnsi="Calibri" w:cs="Times New Roman"/>
          <w:kern w:val="2"/>
          <w14:ligatures w14:val="standardContextual"/>
        </w:rPr>
      </w:pPr>
      <w:r w:rsidRPr="008E507E">
        <w:rPr>
          <w:rFonts w:ascii="Calibri" w:eastAsia="Calibri" w:hAnsi="Calibri" w:cs="Times New Roman"/>
          <w:kern w:val="2"/>
          <w14:ligatures w14:val="standardContextual"/>
        </w:rPr>
        <w:t>Whether the right to effectively challenge the technology exists in law and, if so, whether it can be practically invoked in the circumstances</w:t>
      </w:r>
      <w:r w:rsidR="00EC5D32">
        <w:rPr>
          <w:rFonts w:ascii="Calibri" w:eastAsia="Calibri" w:hAnsi="Calibri" w:cs="Times New Roman"/>
          <w:kern w:val="2"/>
          <w14:ligatures w14:val="standardContextual"/>
        </w:rPr>
        <w:t xml:space="preserve">. </w:t>
      </w:r>
      <w:r w:rsidRPr="008E507E">
        <w:rPr>
          <w:rFonts w:ascii="Calibri" w:eastAsia="Calibri" w:hAnsi="Calibri" w:cs="Times New Roman"/>
          <w:kern w:val="2"/>
          <w14:ligatures w14:val="standardContextual"/>
        </w:rPr>
        <w:t>For example, consider the ability of a self-represented accused to effectively challenge identification evidence in the form of DNA results of astronomical probability</w:t>
      </w:r>
      <w:r w:rsidR="00EC5D32">
        <w:rPr>
          <w:rFonts w:ascii="Calibri" w:eastAsia="Calibri" w:hAnsi="Calibri" w:cs="Times New Roman"/>
          <w:kern w:val="2"/>
          <w14:ligatures w14:val="standardContextual"/>
        </w:rPr>
        <w:t>.</w:t>
      </w:r>
      <w:r w:rsidRPr="008E507E">
        <w:rPr>
          <w:rFonts w:ascii="Calibri" w:eastAsia="Calibri" w:hAnsi="Calibri" w:cs="Times New Roman"/>
          <w:kern w:val="2"/>
          <w:vertAlign w:val="superscript"/>
          <w14:ligatures w14:val="standardContextual"/>
        </w:rPr>
        <w:endnoteReference w:id="141"/>
      </w:r>
    </w:p>
    <w:p w14:paraId="67D15383" w14:textId="58818B54" w:rsidR="00630390" w:rsidRPr="008E507E" w:rsidRDefault="00630390" w:rsidP="007135E7">
      <w:pPr>
        <w:numPr>
          <w:ilvl w:val="0"/>
          <w:numId w:val="113"/>
        </w:numPr>
        <w:spacing w:after="160" w:line="259" w:lineRule="auto"/>
        <w:ind w:left="851" w:hanging="567"/>
        <w:contextualSpacing/>
        <w:rPr>
          <w:rFonts w:ascii="Calibri" w:eastAsia="Calibri" w:hAnsi="Calibri" w:cs="Times New Roman"/>
          <w:kern w:val="2"/>
          <w14:ligatures w14:val="standardContextual"/>
        </w:rPr>
      </w:pPr>
      <w:r w:rsidRPr="008E507E">
        <w:rPr>
          <w:rFonts w:ascii="Calibri" w:eastAsia="Calibri" w:hAnsi="Calibri" w:cs="Times New Roman"/>
          <w:kern w:val="2"/>
          <w14:ligatures w14:val="standardContextual"/>
        </w:rPr>
        <w:t>Availability of relevant experts, expense, and time required to challenge technical evidence at trial.</w:t>
      </w:r>
    </w:p>
    <w:p w14:paraId="1F470EF7" w14:textId="77777777" w:rsidR="00EC5D32" w:rsidRDefault="00630390" w:rsidP="007135E7">
      <w:pPr>
        <w:numPr>
          <w:ilvl w:val="0"/>
          <w:numId w:val="113"/>
        </w:numPr>
        <w:spacing w:after="160" w:line="259" w:lineRule="auto"/>
        <w:ind w:left="851" w:hanging="567"/>
        <w:contextualSpacing/>
        <w:rPr>
          <w:rFonts w:ascii="Calibri" w:eastAsia="Calibri" w:hAnsi="Calibri" w:cs="Times New Roman"/>
          <w:kern w:val="2"/>
          <w14:ligatures w14:val="standardContextual"/>
        </w:rPr>
      </w:pPr>
      <w:r w:rsidRPr="00EC5D32">
        <w:rPr>
          <w:rFonts w:ascii="Calibri" w:eastAsia="Calibri" w:hAnsi="Calibri" w:cs="Times New Roman"/>
          <w:kern w:val="2"/>
          <w14:ligatures w14:val="standardContextual"/>
        </w:rPr>
        <w:t xml:space="preserve">Technical bias and </w:t>
      </w:r>
      <w:r w:rsidR="00EC5D32" w:rsidRPr="00EC5D32">
        <w:rPr>
          <w:rFonts w:ascii="Calibri" w:eastAsia="Calibri" w:hAnsi="Calibri" w:cs="Times New Roman"/>
          <w:kern w:val="2"/>
          <w14:ligatures w14:val="standardContextual"/>
        </w:rPr>
        <w:t>the tendency</w:t>
      </w:r>
      <w:r w:rsidRPr="00EC5D32">
        <w:rPr>
          <w:rFonts w:ascii="Calibri" w:eastAsia="Calibri" w:hAnsi="Calibri" w:cs="Times New Roman"/>
          <w:kern w:val="2"/>
          <w14:ligatures w14:val="standardContextual"/>
        </w:rPr>
        <w:t xml:space="preserve"> to believe technology over human witnesses.</w:t>
      </w:r>
    </w:p>
    <w:p w14:paraId="4303C52D" w14:textId="575CD43D" w:rsidR="00630390" w:rsidRPr="008E507E" w:rsidRDefault="00630390" w:rsidP="007135E7">
      <w:pPr>
        <w:numPr>
          <w:ilvl w:val="0"/>
          <w:numId w:val="113"/>
        </w:numPr>
        <w:spacing w:after="160" w:line="259" w:lineRule="auto"/>
        <w:ind w:left="851" w:hanging="567"/>
        <w:contextualSpacing/>
        <w:rPr>
          <w:rFonts w:ascii="Calibri" w:eastAsia="Calibri" w:hAnsi="Calibri" w:cs="Times New Roman"/>
          <w:kern w:val="2"/>
          <w14:ligatures w14:val="standardContextual"/>
        </w:rPr>
      </w:pPr>
      <w:r w:rsidRPr="008E507E">
        <w:rPr>
          <w:rFonts w:ascii="Calibri" w:eastAsia="Calibri" w:hAnsi="Calibri" w:cs="Times New Roman"/>
          <w:kern w:val="2"/>
          <w14:ligatures w14:val="standardContextual"/>
        </w:rPr>
        <w:lastRenderedPageBreak/>
        <w:t>Difficulty of detecting technical malfunction and operator error and effectively exposing these issues in cross-examination.</w:t>
      </w:r>
    </w:p>
    <w:p w14:paraId="41340038" w14:textId="128C261B" w:rsidR="00630390" w:rsidRPr="00EC5D32" w:rsidRDefault="00EC5D32" w:rsidP="008E507E">
      <w:pPr>
        <w:numPr>
          <w:ilvl w:val="0"/>
          <w:numId w:val="113"/>
        </w:numPr>
        <w:spacing w:after="160" w:line="259" w:lineRule="auto"/>
        <w:ind w:left="851" w:hanging="567"/>
        <w:contextualSpacing/>
        <w:rPr>
          <w:rFonts w:ascii="Calibri" w:eastAsia="Calibri" w:hAnsi="Calibri" w:cs="Times New Roman"/>
          <w:kern w:val="2"/>
          <w14:ligatures w14:val="standardContextual"/>
        </w:rPr>
      </w:pPr>
      <w:r>
        <w:rPr>
          <w:rFonts w:ascii="Calibri" w:eastAsia="Calibri" w:hAnsi="Calibri" w:cs="Times New Roman"/>
          <w:kern w:val="2"/>
          <w14:ligatures w14:val="standardContextual"/>
        </w:rPr>
        <w:t>The n</w:t>
      </w:r>
      <w:r w:rsidR="00630390" w:rsidRPr="008E507E">
        <w:rPr>
          <w:rFonts w:ascii="Calibri" w:eastAsia="Calibri" w:hAnsi="Calibri" w:cs="Times New Roman"/>
          <w:kern w:val="2"/>
          <w14:ligatures w14:val="standardContextual"/>
        </w:rPr>
        <w:t xml:space="preserve">ature of data collected </w:t>
      </w:r>
      <w:r w:rsidRPr="008E507E">
        <w:rPr>
          <w:rFonts w:ascii="Calibri" w:eastAsia="Calibri" w:hAnsi="Calibri" w:cs="Times New Roman"/>
          <w:kern w:val="2"/>
          <w14:ligatures w14:val="standardContextual"/>
        </w:rPr>
        <w:t xml:space="preserve">challenges concepts of privacy and right against self-incrimination </w:t>
      </w:r>
      <w:r w:rsidR="00630390" w:rsidRPr="008E507E">
        <w:rPr>
          <w:rFonts w:ascii="Calibri" w:eastAsia="Calibri" w:hAnsi="Calibri" w:cs="Times New Roman"/>
          <w:kern w:val="2"/>
          <w14:ligatures w14:val="standardContextual"/>
        </w:rPr>
        <w:t>(i.e., regarding location, travel patterns, personal health and physiology, activity patterns, internet search history, associations to individuals and organizations</w:t>
      </w:r>
      <w:r>
        <w:rPr>
          <w:rFonts w:ascii="Calibri" w:eastAsia="Calibri" w:hAnsi="Calibri" w:cs="Times New Roman"/>
          <w:kern w:val="2"/>
          <w14:ligatures w14:val="standardContextual"/>
        </w:rPr>
        <w:t>, etc.</w:t>
      </w:r>
      <w:r w:rsidR="00630390" w:rsidRPr="008E507E">
        <w:rPr>
          <w:rFonts w:ascii="Calibri" w:eastAsia="Calibri" w:hAnsi="Calibri" w:cs="Times New Roman"/>
          <w:kern w:val="2"/>
          <w14:ligatures w14:val="standardContextual"/>
        </w:rPr>
        <w:t>).</w:t>
      </w:r>
      <w:r w:rsidR="00630390">
        <w:rPr>
          <w:rStyle w:val="EndnoteReference"/>
          <w:rFonts w:ascii="Calibri" w:eastAsia="Calibri" w:hAnsi="Calibri" w:cs="Times New Roman"/>
          <w:kern w:val="2"/>
          <w14:ligatures w14:val="standardContextual"/>
        </w:rPr>
        <w:endnoteReference w:id="142"/>
      </w:r>
      <w:r w:rsidR="00412048">
        <w:rPr>
          <w:rFonts w:ascii="Calibri" w:eastAsia="Calibri" w:hAnsi="Calibri" w:cs="Times New Roman"/>
          <w:kern w:val="2"/>
          <w14:ligatures w14:val="standardContextual"/>
        </w:rPr>
        <w:br/>
      </w:r>
    </w:p>
    <w:p w14:paraId="2DA384C6" w14:textId="36D804AA" w:rsidR="00630390" w:rsidRDefault="00630390" w:rsidP="008E507E">
      <w:pPr>
        <w:pStyle w:val="Heading3"/>
        <w:numPr>
          <w:ilvl w:val="2"/>
          <w:numId w:val="16"/>
        </w:numPr>
        <w:rPr>
          <w:rFonts w:eastAsia="Times New Roman"/>
        </w:rPr>
      </w:pPr>
      <w:bookmarkStart w:id="42" w:name="_Toc181708734"/>
      <w:bookmarkStart w:id="43" w:name="_Toc195597992"/>
      <w:r w:rsidRPr="008E507E">
        <w:rPr>
          <w:rFonts w:eastAsia="Times New Roman"/>
        </w:rPr>
        <w:t xml:space="preserve">The </w:t>
      </w:r>
      <w:r w:rsidR="005C5EE3" w:rsidRPr="008E507E">
        <w:rPr>
          <w:rFonts w:eastAsia="Times New Roman"/>
        </w:rPr>
        <w:t xml:space="preserve">Impacts </w:t>
      </w:r>
      <w:r w:rsidR="005C5EE3">
        <w:rPr>
          <w:rFonts w:eastAsia="Times New Roman"/>
        </w:rPr>
        <w:t>a</w:t>
      </w:r>
      <w:r w:rsidR="005C5EE3" w:rsidRPr="008E507E">
        <w:rPr>
          <w:rFonts w:eastAsia="Times New Roman"/>
        </w:rPr>
        <w:t xml:space="preserve">nd Challenges </w:t>
      </w:r>
      <w:r w:rsidR="0038262B">
        <w:rPr>
          <w:rFonts w:eastAsia="Times New Roman"/>
        </w:rPr>
        <w:t>o</w:t>
      </w:r>
      <w:r w:rsidR="005C5EE3" w:rsidRPr="008E507E">
        <w:rPr>
          <w:rFonts w:eastAsia="Times New Roman"/>
        </w:rPr>
        <w:t xml:space="preserve">f New </w:t>
      </w:r>
      <w:r w:rsidRPr="008E507E">
        <w:rPr>
          <w:rFonts w:eastAsia="Times New Roman"/>
        </w:rPr>
        <w:t>AI</w:t>
      </w:r>
      <w:r w:rsidR="005C5EE3" w:rsidRPr="008E507E">
        <w:rPr>
          <w:rFonts w:eastAsia="Times New Roman"/>
        </w:rPr>
        <w:t xml:space="preserve">-Enabled Technologies </w:t>
      </w:r>
      <w:r w:rsidR="0038262B">
        <w:rPr>
          <w:rFonts w:eastAsia="Times New Roman"/>
        </w:rPr>
        <w:t>i</w:t>
      </w:r>
      <w:r w:rsidR="005C5EE3" w:rsidRPr="008E507E">
        <w:rPr>
          <w:rFonts w:eastAsia="Times New Roman"/>
        </w:rPr>
        <w:t>s Foreseeable</w:t>
      </w:r>
      <w:bookmarkEnd w:id="42"/>
      <w:bookmarkEnd w:id="43"/>
    </w:p>
    <w:p w14:paraId="726CBE0C" w14:textId="77777777" w:rsidR="0038262B" w:rsidRPr="0038262B" w:rsidRDefault="0038262B" w:rsidP="0038262B"/>
    <w:p w14:paraId="3F5467B4" w14:textId="67445A4D" w:rsidR="00630390" w:rsidRPr="008E507E" w:rsidRDefault="00630390" w:rsidP="008E507E">
      <w:pPr>
        <w:spacing w:after="160" w:line="259" w:lineRule="auto"/>
        <w:rPr>
          <w:rFonts w:ascii="Calibri" w:eastAsia="Calibri" w:hAnsi="Calibri" w:cs="Calibri"/>
          <w:kern w:val="2"/>
          <w14:ligatures w14:val="standardContextual"/>
        </w:rPr>
      </w:pPr>
      <w:r w:rsidRPr="008E507E">
        <w:rPr>
          <w:rFonts w:ascii="Calibri" w:eastAsia="Calibri" w:hAnsi="Calibri" w:cs="Calibri"/>
          <w:kern w:val="2"/>
          <w14:ligatures w14:val="standardContextual"/>
        </w:rPr>
        <w:t>The criminal justice system strains under the weight of significant change of the kind that technology often brings. While law enforcement may take years to research, plan for, and procure new investigative technologies other stakeholders may be “caught off guard,” unprepared, inadequately resourced or for other reasons unable to mount an optimal response in a changing landscape. Given that AI is new to everyone, this suggests an opportunity for a more deliberate approach to plan for this change.</w:t>
      </w:r>
      <w:r w:rsidRPr="008E507E">
        <w:rPr>
          <w:rFonts w:ascii="Calibri" w:eastAsia="Calibri" w:hAnsi="Calibri" w:cs="Calibri"/>
          <w:kern w:val="2"/>
          <w:vertAlign w:val="superscript"/>
          <w14:ligatures w14:val="standardContextual"/>
        </w:rPr>
        <w:endnoteReference w:id="143"/>
      </w:r>
    </w:p>
    <w:p w14:paraId="44CD47FE" w14:textId="77777777" w:rsidR="00630390" w:rsidRPr="008E507E" w:rsidRDefault="00630390" w:rsidP="008E507E">
      <w:pPr>
        <w:spacing w:after="160" w:line="259" w:lineRule="auto"/>
        <w:rPr>
          <w:rFonts w:ascii="Calibri" w:eastAsia="Calibri" w:hAnsi="Calibri" w:cs="Calibri"/>
          <w:kern w:val="2"/>
          <w14:ligatures w14:val="standardContextual"/>
        </w:rPr>
      </w:pPr>
      <w:r w:rsidRPr="008E507E">
        <w:rPr>
          <w:rFonts w:ascii="Calibri" w:eastAsia="Calibri" w:hAnsi="Calibri" w:cs="Calibri"/>
          <w:kern w:val="2"/>
          <w14:ligatures w14:val="standardContextual"/>
        </w:rPr>
        <w:t>The foreseeability of AI’s attendant impacts and challenges is possible because:</w:t>
      </w:r>
    </w:p>
    <w:p w14:paraId="124FB830" w14:textId="64FE7080" w:rsidR="00630390" w:rsidRPr="008E507E" w:rsidRDefault="00C9767F" w:rsidP="008E507E">
      <w:pPr>
        <w:numPr>
          <w:ilvl w:val="0"/>
          <w:numId w:val="114"/>
        </w:numPr>
        <w:spacing w:after="160" w:line="259" w:lineRule="auto"/>
        <w:contextualSpacing/>
        <w:rPr>
          <w:rFonts w:ascii="Calibri" w:eastAsia="Calibri" w:hAnsi="Calibri" w:cs="Calibri"/>
          <w:kern w:val="2"/>
          <w14:ligatures w14:val="standardContextual"/>
        </w:rPr>
      </w:pPr>
      <w:r>
        <w:rPr>
          <w:rFonts w:ascii="Calibri" w:eastAsia="Calibri" w:hAnsi="Calibri" w:cs="Calibri"/>
          <w:kern w:val="2"/>
          <w14:ligatures w14:val="standardContextual"/>
        </w:rPr>
        <w:t>T</w:t>
      </w:r>
      <w:r w:rsidR="00630390" w:rsidRPr="008E507E">
        <w:rPr>
          <w:rFonts w:ascii="Calibri" w:eastAsia="Calibri" w:hAnsi="Calibri" w:cs="Calibri"/>
          <w:kern w:val="2"/>
          <w14:ligatures w14:val="standardContextual"/>
        </w:rPr>
        <w:t>he parties and participants in the criminal process are well defined</w:t>
      </w:r>
      <w:r>
        <w:rPr>
          <w:rFonts w:ascii="Calibri" w:eastAsia="Calibri" w:hAnsi="Calibri" w:cs="Calibri"/>
          <w:kern w:val="2"/>
          <w14:ligatures w14:val="standardContextual"/>
        </w:rPr>
        <w:t xml:space="preserve">, </w:t>
      </w:r>
      <w:r w:rsidR="00630390" w:rsidRPr="008E507E">
        <w:rPr>
          <w:rFonts w:ascii="Calibri" w:eastAsia="Calibri" w:hAnsi="Calibri" w:cs="Calibri"/>
          <w:kern w:val="2"/>
          <w14:ligatures w14:val="standardContextual"/>
        </w:rPr>
        <w:t>as are the justice adjacent institutions with which the criminal courts routinely interact</w:t>
      </w:r>
      <w:r>
        <w:rPr>
          <w:rFonts w:ascii="Calibri" w:eastAsia="Calibri" w:hAnsi="Calibri" w:cs="Calibri"/>
          <w:kern w:val="2"/>
          <w14:ligatures w14:val="standardContextual"/>
        </w:rPr>
        <w:t>.</w:t>
      </w:r>
    </w:p>
    <w:p w14:paraId="1759C5E8" w14:textId="437F851E" w:rsidR="00630390" w:rsidRPr="008E507E" w:rsidRDefault="00C9767F" w:rsidP="008E507E">
      <w:pPr>
        <w:numPr>
          <w:ilvl w:val="0"/>
          <w:numId w:val="114"/>
        </w:numPr>
        <w:spacing w:after="160" w:line="259" w:lineRule="auto"/>
        <w:contextualSpacing/>
        <w:rPr>
          <w:rFonts w:ascii="Calibri" w:eastAsia="Calibri" w:hAnsi="Calibri" w:cs="Calibri"/>
          <w:kern w:val="2"/>
          <w14:ligatures w14:val="standardContextual"/>
        </w:rPr>
      </w:pPr>
      <w:r>
        <w:rPr>
          <w:rFonts w:ascii="Calibri" w:eastAsia="Calibri" w:hAnsi="Calibri" w:cs="Calibri"/>
          <w:kern w:val="2"/>
          <w14:ligatures w14:val="standardContextual"/>
        </w:rPr>
        <w:t>T</w:t>
      </w:r>
      <w:r w:rsidR="00630390" w:rsidRPr="008E507E">
        <w:rPr>
          <w:rFonts w:ascii="Calibri" w:eastAsia="Calibri" w:hAnsi="Calibri" w:cs="Calibri"/>
          <w:kern w:val="2"/>
          <w14:ligatures w14:val="standardContextual"/>
        </w:rPr>
        <w:t>he criminal law has significant experience grappling with new technology</w:t>
      </w:r>
      <w:r>
        <w:rPr>
          <w:rFonts w:ascii="Calibri" w:eastAsia="Calibri" w:hAnsi="Calibri" w:cs="Calibri"/>
          <w:kern w:val="2"/>
          <w14:ligatures w14:val="standardContextual"/>
        </w:rPr>
        <w:t>.</w:t>
      </w:r>
    </w:p>
    <w:p w14:paraId="69A2A059" w14:textId="432CA09C" w:rsidR="00630390" w:rsidRDefault="00C9767F" w:rsidP="008E507E">
      <w:pPr>
        <w:numPr>
          <w:ilvl w:val="0"/>
          <w:numId w:val="114"/>
        </w:numPr>
        <w:spacing w:after="160" w:line="259" w:lineRule="auto"/>
        <w:contextualSpacing/>
        <w:rPr>
          <w:rFonts w:ascii="Calibri" w:eastAsia="Calibri" w:hAnsi="Calibri" w:cs="Calibri"/>
          <w:kern w:val="2"/>
          <w14:ligatures w14:val="standardContextual"/>
        </w:rPr>
      </w:pPr>
      <w:r>
        <w:rPr>
          <w:rFonts w:ascii="Calibri" w:eastAsia="Calibri" w:hAnsi="Calibri" w:cs="Calibri"/>
          <w:kern w:val="2"/>
          <w14:ligatures w14:val="standardContextual"/>
        </w:rPr>
        <w:t>T</w:t>
      </w:r>
      <w:r w:rsidR="00630390" w:rsidRPr="008E507E">
        <w:rPr>
          <w:rFonts w:ascii="Calibri" w:eastAsia="Calibri" w:hAnsi="Calibri" w:cs="Calibri"/>
          <w:kern w:val="2"/>
          <w14:ligatures w14:val="standardContextual"/>
        </w:rPr>
        <w:t xml:space="preserve">here exists a shared understanding of the rights and obligations engaged during a criminal trial and their vulnerabilities both generally and in the face of technology are well </w:t>
      </w:r>
      <w:r>
        <w:rPr>
          <w:rFonts w:ascii="Calibri" w:eastAsia="Calibri" w:hAnsi="Calibri" w:cs="Calibri"/>
          <w:kern w:val="2"/>
          <w14:ligatures w14:val="standardContextual"/>
        </w:rPr>
        <w:t>understood.</w:t>
      </w:r>
    </w:p>
    <w:p w14:paraId="0976A5DC" w14:textId="77777777" w:rsidR="00C9767F" w:rsidRPr="00C9767F" w:rsidRDefault="00C9767F" w:rsidP="00C9767F">
      <w:pPr>
        <w:spacing w:after="160" w:line="259" w:lineRule="auto"/>
        <w:ind w:left="720"/>
        <w:contextualSpacing/>
        <w:rPr>
          <w:rFonts w:ascii="Calibri" w:eastAsia="Calibri" w:hAnsi="Calibri" w:cs="Calibri"/>
          <w:kern w:val="2"/>
          <w14:ligatures w14:val="standardContextual"/>
        </w:rPr>
      </w:pPr>
    </w:p>
    <w:p w14:paraId="43CDD396" w14:textId="145F83B1" w:rsidR="00C9767F" w:rsidRDefault="00630390" w:rsidP="004C3276">
      <w:pPr>
        <w:spacing w:after="160" w:line="259" w:lineRule="auto"/>
        <w:rPr>
          <w:rFonts w:ascii="Calibri" w:eastAsia="Calibri" w:hAnsi="Calibri" w:cs="Calibri"/>
          <w:kern w:val="2"/>
          <w14:ligatures w14:val="standardContextual"/>
        </w:rPr>
      </w:pPr>
      <w:r w:rsidRPr="008E507E">
        <w:rPr>
          <w:rFonts w:ascii="Calibri" w:eastAsia="Calibri" w:hAnsi="Calibri" w:cs="Calibri"/>
          <w:kern w:val="2"/>
          <w14:ligatures w14:val="standardContextual"/>
        </w:rPr>
        <w:t xml:space="preserve">So, while technology is frequently unleashed in a rapid and haphazard fashion, its potential consequences are not unforeseen. The predictability of the ways in which artificial intelligence will challenge and impact the criminal law can be conjured and considered under the broad “headings” bulleted above.  A criminal trial pits the individual and the state against one another in a publicly accessible adversarial process where the imbalance of power is significant but constrained by legal principles, precedent, statutory and legislative schemes designed to deliver just outcomes.  Experience has taught that classism, racism, and gender inequality permeate all sectors of </w:t>
      </w:r>
      <w:r w:rsidR="001A5A79" w:rsidRPr="001A5A79">
        <w:rPr>
          <w:rFonts w:ascii="Calibri" w:eastAsia="Calibri" w:hAnsi="Calibri" w:cs="Calibri"/>
          <w:kern w:val="2"/>
          <w14:ligatures w14:val="standardContextual"/>
        </w:rPr>
        <w:t>society and its institutions</w:t>
      </w:r>
      <w:r w:rsidR="00C9767F" w:rsidRPr="008E507E">
        <w:rPr>
          <w:rFonts w:ascii="Calibri" w:eastAsia="Calibri" w:hAnsi="Calibri" w:cs="Calibri"/>
          <w:kern w:val="2"/>
          <w14:ligatures w14:val="standardContextual"/>
        </w:rPr>
        <w:t>,</w:t>
      </w:r>
      <w:r w:rsidRPr="008E507E">
        <w:rPr>
          <w:rFonts w:ascii="Calibri" w:eastAsia="Calibri" w:hAnsi="Calibri" w:cs="Calibri"/>
          <w:kern w:val="2"/>
          <w14:ligatures w14:val="standardContextual"/>
        </w:rPr>
        <w:t xml:space="preserve"> and the criminal trial and appeal process have not been immune.  Thus, efforts to overcome their impact must be thoughtful and deliberate at every stage of AI implementation from design to deployment.</w:t>
      </w:r>
    </w:p>
    <w:p w14:paraId="7216B09F" w14:textId="67264FBC" w:rsidR="00630390" w:rsidRPr="004C3276" w:rsidRDefault="00630390" w:rsidP="004C3276">
      <w:pPr>
        <w:spacing w:after="160" w:line="259" w:lineRule="auto"/>
        <w:rPr>
          <w:rFonts w:ascii="Calibri" w:eastAsia="Calibri" w:hAnsi="Calibri" w:cs="Calibri"/>
          <w:kern w:val="2"/>
          <w14:ligatures w14:val="standardContextual"/>
        </w:rPr>
      </w:pPr>
      <w:r w:rsidRPr="008E507E">
        <w:rPr>
          <w:rFonts w:ascii="Calibri" w:eastAsia="Calibri" w:hAnsi="Calibri" w:cs="Calibri"/>
          <w:kern w:val="2"/>
          <w14:ligatures w14:val="standardContextual"/>
        </w:rPr>
        <w:t xml:space="preserve"> </w:t>
      </w:r>
    </w:p>
    <w:p w14:paraId="268F2F73" w14:textId="39C51455" w:rsidR="00630390" w:rsidRPr="00650657" w:rsidRDefault="00630390" w:rsidP="00650657">
      <w:pPr>
        <w:pStyle w:val="Heading1"/>
        <w:numPr>
          <w:ilvl w:val="0"/>
          <w:numId w:val="16"/>
        </w:numPr>
        <w:rPr>
          <w:rFonts w:eastAsia="Times New Roman"/>
        </w:rPr>
      </w:pPr>
      <w:bookmarkStart w:id="44" w:name="_Toc181788260"/>
      <w:bookmarkStart w:id="45" w:name="_Toc195597993"/>
      <w:r w:rsidRPr="001E0D8B">
        <w:rPr>
          <w:rFonts w:eastAsia="Times New Roman"/>
        </w:rPr>
        <w:lastRenderedPageBreak/>
        <w:t>Key Concerns, Issues, and Questions: Reliability and Procedural Fairness Concerns Raised by AI in the Criminal Trial</w:t>
      </w:r>
      <w:bookmarkEnd w:id="44"/>
      <w:bookmarkEnd w:id="45"/>
    </w:p>
    <w:p w14:paraId="6791037E" w14:textId="77777777" w:rsidR="00630390" w:rsidRDefault="00630390" w:rsidP="001E0D8B"/>
    <w:p w14:paraId="4D67460B" w14:textId="77363E34" w:rsidR="00630390" w:rsidRDefault="00630390" w:rsidP="00650657">
      <w:pPr>
        <w:rPr>
          <w:rFonts w:ascii="Calibri" w:hAnsi="Calibri" w:cs="Calibri"/>
        </w:rPr>
      </w:pPr>
      <w:r>
        <w:rPr>
          <w:rFonts w:ascii="Calibri" w:hAnsi="Calibri" w:cs="Calibri"/>
        </w:rPr>
        <w:t>E</w:t>
      </w:r>
      <w:r w:rsidRPr="00650657">
        <w:rPr>
          <w:rFonts w:ascii="Calibri" w:hAnsi="Calibri" w:cs="Calibri"/>
        </w:rPr>
        <w:t xml:space="preserve">arlier papers in </w:t>
      </w:r>
      <w:r w:rsidR="00C22DEA">
        <w:rPr>
          <w:rFonts w:ascii="Calibri" w:hAnsi="Calibri" w:cs="Calibri"/>
        </w:rPr>
        <w:t>the LCO AI in Criminal Justice</w:t>
      </w:r>
      <w:r w:rsidRPr="00650657">
        <w:rPr>
          <w:rFonts w:ascii="Calibri" w:hAnsi="Calibri" w:cs="Calibri"/>
        </w:rPr>
        <w:t xml:space="preserve"> series outline an array of challenges AI poses for criminal </w:t>
      </w:r>
      <w:r w:rsidR="00C22DEA">
        <w:rPr>
          <w:rFonts w:ascii="Calibri" w:hAnsi="Calibri" w:cs="Calibri"/>
        </w:rPr>
        <w:t>justice</w:t>
      </w:r>
      <w:r w:rsidRPr="00650657">
        <w:rPr>
          <w:rFonts w:ascii="Calibri" w:hAnsi="Calibri" w:cs="Calibri"/>
        </w:rPr>
        <w:t xml:space="preserve"> in general. </w:t>
      </w:r>
      <w:r w:rsidR="002C1C16" w:rsidRPr="001E0D8B">
        <w:rPr>
          <w:rFonts w:ascii="Calibri" w:hAnsi="Calibri" w:cs="Calibri"/>
        </w:rPr>
        <w:t xml:space="preserve">At the outset it was accepted that comprehensive </w:t>
      </w:r>
      <w:r w:rsidR="002C1C16">
        <w:rPr>
          <w:rFonts w:ascii="Calibri" w:hAnsi="Calibri" w:cs="Calibri"/>
        </w:rPr>
        <w:t xml:space="preserve">review for potential </w:t>
      </w:r>
      <w:r w:rsidR="002C1C16" w:rsidRPr="001E0D8B">
        <w:rPr>
          <w:rFonts w:ascii="Calibri" w:hAnsi="Calibri" w:cs="Calibri"/>
        </w:rPr>
        <w:t xml:space="preserve">law reform is required. This is because Canadian legal standards and rules governing </w:t>
      </w:r>
      <w:r w:rsidR="002C1C16">
        <w:rPr>
          <w:rFonts w:ascii="Calibri" w:hAnsi="Calibri" w:cs="Calibri"/>
        </w:rPr>
        <w:t>AI</w:t>
      </w:r>
      <w:r w:rsidR="002C1C16" w:rsidRPr="001E0D8B">
        <w:rPr>
          <w:rFonts w:ascii="Calibri" w:hAnsi="Calibri" w:cs="Calibri"/>
        </w:rPr>
        <w:t xml:space="preserve"> are either yet to be developed and implemented or </w:t>
      </w:r>
      <w:r w:rsidR="002C1C16">
        <w:rPr>
          <w:rFonts w:ascii="Calibri" w:hAnsi="Calibri" w:cs="Calibri"/>
        </w:rPr>
        <w:t>have foreseeable deficiencies</w:t>
      </w:r>
      <w:r w:rsidR="002C1C16" w:rsidRPr="001E0D8B">
        <w:rPr>
          <w:rFonts w:ascii="Calibri" w:hAnsi="Calibri" w:cs="Calibri"/>
        </w:rPr>
        <w:t xml:space="preserve"> </w:t>
      </w:r>
      <w:r w:rsidR="002C1C16">
        <w:rPr>
          <w:rFonts w:ascii="Calibri" w:hAnsi="Calibri" w:cs="Calibri"/>
        </w:rPr>
        <w:t>in</w:t>
      </w:r>
      <w:r w:rsidR="002C1C16" w:rsidRPr="001E0D8B">
        <w:rPr>
          <w:rFonts w:ascii="Calibri" w:hAnsi="Calibri" w:cs="Calibri"/>
        </w:rPr>
        <w:t xml:space="preserve"> addressing the systemic legal issues engaged by AI. This section of the paper illustrates the many reasons why this is the case</w:t>
      </w:r>
      <w:r w:rsidR="002C1C16">
        <w:rPr>
          <w:rFonts w:ascii="Calibri" w:hAnsi="Calibri" w:cs="Calibri"/>
        </w:rPr>
        <w:t xml:space="preserve">, specifically </w:t>
      </w:r>
      <w:r w:rsidRPr="00650657">
        <w:rPr>
          <w:rFonts w:ascii="Calibri" w:hAnsi="Calibri" w:cs="Calibri"/>
        </w:rPr>
        <w:t>in the context of criminal litigation.</w:t>
      </w:r>
    </w:p>
    <w:p w14:paraId="56E66734" w14:textId="77777777" w:rsidR="00630390" w:rsidRDefault="00630390" w:rsidP="001E0D8B">
      <w:pPr>
        <w:rPr>
          <w:rFonts w:ascii="Calibri" w:hAnsi="Calibri" w:cs="Calibri"/>
        </w:rPr>
      </w:pPr>
    </w:p>
    <w:p w14:paraId="69434124" w14:textId="0F02AD76" w:rsidR="00630390" w:rsidRPr="001E0D8B" w:rsidRDefault="00630390" w:rsidP="001E0D8B">
      <w:pPr>
        <w:rPr>
          <w:rFonts w:ascii="Calibri" w:hAnsi="Calibri" w:cs="Calibri"/>
        </w:rPr>
      </w:pPr>
      <w:r w:rsidRPr="001E0D8B">
        <w:rPr>
          <w:rFonts w:ascii="Calibri" w:hAnsi="Calibri" w:cs="Calibri"/>
        </w:rPr>
        <w:t xml:space="preserve">To formulate recommendations for meaningful law reform, </w:t>
      </w:r>
      <w:r w:rsidR="00C22DEA">
        <w:rPr>
          <w:rFonts w:ascii="Calibri" w:hAnsi="Calibri" w:cs="Calibri"/>
        </w:rPr>
        <w:t xml:space="preserve">the discussion the follows </w:t>
      </w:r>
      <w:r w:rsidR="002C1C16">
        <w:rPr>
          <w:rFonts w:ascii="Calibri" w:hAnsi="Calibri" w:cs="Calibri"/>
        </w:rPr>
        <w:t xml:space="preserve">will </w:t>
      </w:r>
      <w:r w:rsidR="00C22DEA">
        <w:rPr>
          <w:rFonts w:ascii="Calibri" w:hAnsi="Calibri" w:cs="Calibri"/>
        </w:rPr>
        <w:t>identify</w:t>
      </w:r>
      <w:r w:rsidRPr="001E0D8B">
        <w:rPr>
          <w:rFonts w:ascii="Calibri" w:hAnsi="Calibri" w:cs="Calibri"/>
        </w:rPr>
        <w:t xml:space="preserve"> areas in which existing legal policy, criminal justice </w:t>
      </w:r>
      <w:r w:rsidR="00C22DEA">
        <w:rPr>
          <w:rFonts w:ascii="Calibri" w:hAnsi="Calibri" w:cs="Calibri"/>
        </w:rPr>
        <w:t>frameworks</w:t>
      </w:r>
      <w:r w:rsidRPr="001E0D8B">
        <w:rPr>
          <w:rFonts w:ascii="Calibri" w:hAnsi="Calibri" w:cs="Calibri"/>
        </w:rPr>
        <w:t xml:space="preserve"> and the trial and appellate process are </w:t>
      </w:r>
      <w:r w:rsidR="00C22DEA">
        <w:rPr>
          <w:rFonts w:ascii="Calibri" w:hAnsi="Calibri" w:cs="Calibri"/>
        </w:rPr>
        <w:t xml:space="preserve">likely </w:t>
      </w:r>
      <w:r w:rsidRPr="001E0D8B">
        <w:rPr>
          <w:rFonts w:ascii="Calibri" w:hAnsi="Calibri" w:cs="Calibri"/>
        </w:rPr>
        <w:t xml:space="preserve">either adequate or inadequate to respond to the many and substantial challenges of AI. </w:t>
      </w:r>
    </w:p>
    <w:p w14:paraId="5426E8A7" w14:textId="77777777" w:rsidR="00630390" w:rsidRPr="001E0D8B" w:rsidRDefault="00630390" w:rsidP="001E0D8B">
      <w:pPr>
        <w:rPr>
          <w:rFonts w:ascii="Calibri" w:hAnsi="Calibri" w:cs="Calibri"/>
        </w:rPr>
      </w:pPr>
    </w:p>
    <w:p w14:paraId="4E1D61BC" w14:textId="77777777" w:rsidR="00630390" w:rsidRPr="001E0D8B" w:rsidRDefault="00630390" w:rsidP="001E0D8B">
      <w:pPr>
        <w:rPr>
          <w:rFonts w:ascii="Calibri" w:hAnsi="Calibri" w:cs="Calibri"/>
        </w:rPr>
      </w:pPr>
      <w:r w:rsidRPr="001E0D8B">
        <w:rPr>
          <w:rFonts w:ascii="Calibri" w:hAnsi="Calibri" w:cs="Calibri"/>
        </w:rPr>
        <w:t>The challenges posed by AI to criminal litigation can be broadly organized within two areas of concern already highlighted in this section: reliability and procedural fairness. Each of these areas include numerous sub-categories. Each implicate the core goal of criminal litigation: to resolve a criminal dispute reliably and fairly.</w:t>
      </w:r>
    </w:p>
    <w:p w14:paraId="583B4B3A" w14:textId="77777777" w:rsidR="00630390" w:rsidRPr="001E0D8B" w:rsidRDefault="00630390" w:rsidP="001E0D8B">
      <w:pPr>
        <w:rPr>
          <w:rFonts w:ascii="Calibri" w:hAnsi="Calibri" w:cs="Calibri"/>
        </w:rPr>
      </w:pPr>
    </w:p>
    <w:p w14:paraId="4CAD6CBD" w14:textId="46ABFB6E" w:rsidR="0045416F" w:rsidRDefault="00630390" w:rsidP="00650657">
      <w:pPr>
        <w:pStyle w:val="Heading2"/>
      </w:pPr>
      <w:bookmarkStart w:id="46" w:name="_Toc195597994"/>
      <w:bookmarkStart w:id="47" w:name="_Toc181788261"/>
      <w:r>
        <w:t xml:space="preserve">3.1 </w:t>
      </w:r>
      <w:r w:rsidR="0045416F">
        <w:t>Assessing the Reliability of AI Evidence</w:t>
      </w:r>
      <w:bookmarkEnd w:id="46"/>
    </w:p>
    <w:p w14:paraId="65AE11BD" w14:textId="77777777" w:rsidR="0045416F" w:rsidRDefault="0045416F" w:rsidP="00650657">
      <w:pPr>
        <w:pStyle w:val="Heading2"/>
      </w:pPr>
    </w:p>
    <w:p w14:paraId="7DAA17CE" w14:textId="0AE95FD4" w:rsidR="0045416F" w:rsidRPr="0045416F" w:rsidRDefault="0045416F" w:rsidP="0045416F">
      <w:pPr>
        <w:pStyle w:val="Heading3"/>
      </w:pPr>
      <w:bookmarkStart w:id="48" w:name="_Toc195597995"/>
      <w:r>
        <w:t xml:space="preserve">3.1.1 </w:t>
      </w:r>
      <w:r w:rsidR="00630390">
        <w:t>Bias, Assumptions and Scientific Validity</w:t>
      </w:r>
      <w:r w:rsidR="00A269E0">
        <w:t>:</w:t>
      </w:r>
      <w:r w:rsidR="00630390">
        <w:t xml:space="preserve"> How AI May Impact the Truth-Seeking</w:t>
      </w:r>
      <w:r>
        <w:t xml:space="preserve"> </w:t>
      </w:r>
      <w:r w:rsidR="00630390">
        <w:t>Function of Criminal Trials without Adequate Guardrails</w:t>
      </w:r>
      <w:bookmarkEnd w:id="48"/>
    </w:p>
    <w:p w14:paraId="1FBFBCEF" w14:textId="77777777" w:rsidR="00630390" w:rsidRDefault="00630390" w:rsidP="00650657"/>
    <w:p w14:paraId="16B1A0E2" w14:textId="77777777" w:rsidR="00630390" w:rsidRPr="00ED71A4" w:rsidRDefault="00630390" w:rsidP="00B32C57">
      <w:pPr>
        <w:rPr>
          <w:rFonts w:ascii="Calibri" w:hAnsi="Calibri" w:cs="Calibri"/>
        </w:rPr>
      </w:pPr>
      <w:r w:rsidRPr="00ED71A4">
        <w:rPr>
          <w:rFonts w:ascii="Calibri" w:hAnsi="Calibri" w:cs="Calibri"/>
        </w:rPr>
        <w:t xml:space="preserve">In Canadian jurisprudence, it is frequently emphasized that a criminal trial is a search for the truth. </w:t>
      </w:r>
    </w:p>
    <w:p w14:paraId="3775BB65" w14:textId="77777777" w:rsidR="00630390" w:rsidRPr="003B32AA" w:rsidRDefault="00630390" w:rsidP="00B32C57">
      <w:pPr>
        <w:spacing w:before="100" w:beforeAutospacing="1" w:after="100" w:afterAutospacing="1"/>
        <w:ind w:left="720" w:right="340"/>
        <w:rPr>
          <w:rFonts w:ascii="Calibri" w:eastAsia="Times New Roman" w:hAnsi="Calibri" w:cs="Calibri"/>
          <w:spacing w:val="-2"/>
          <w:lang w:eastAsia="en-CA"/>
        </w:rPr>
      </w:pPr>
      <w:r w:rsidRPr="003B32AA">
        <w:rPr>
          <w:rFonts w:ascii="Calibri" w:eastAsia="Times New Roman" w:hAnsi="Calibri" w:cs="Calibri"/>
          <w:spacing w:val="-2"/>
          <w:lang w:eastAsia="en-CA"/>
        </w:rPr>
        <w:t>The</w:t>
      </w:r>
      <w:r w:rsidRPr="003B32AA">
        <w:rPr>
          <w:rFonts w:ascii="Calibri" w:eastAsia="Times New Roman" w:hAnsi="Calibri" w:cs="Calibri"/>
          <w:lang w:eastAsia="en-CA"/>
        </w:rPr>
        <w:t xml:space="preserve"> </w:t>
      </w:r>
      <w:r w:rsidRPr="003B32AA">
        <w:rPr>
          <w:rFonts w:ascii="Calibri" w:eastAsia="Times New Roman" w:hAnsi="Calibri" w:cs="Calibri"/>
          <w:spacing w:val="-2"/>
          <w:lang w:eastAsia="en-CA"/>
        </w:rPr>
        <w:t>ultimate</w:t>
      </w:r>
      <w:r w:rsidRPr="003B32AA">
        <w:rPr>
          <w:rFonts w:ascii="Calibri" w:eastAsia="Times New Roman" w:hAnsi="Calibri" w:cs="Calibri"/>
          <w:spacing w:val="2"/>
          <w:lang w:eastAsia="en-CA"/>
        </w:rPr>
        <w:t xml:space="preserve"> </w:t>
      </w:r>
      <w:r w:rsidRPr="003B32AA">
        <w:rPr>
          <w:rFonts w:ascii="Calibri" w:eastAsia="Times New Roman" w:hAnsi="Calibri" w:cs="Calibri"/>
          <w:lang w:eastAsia="en-CA"/>
        </w:rPr>
        <w:t>aim</w:t>
      </w:r>
      <w:r w:rsidRPr="003B32AA">
        <w:rPr>
          <w:rFonts w:ascii="Calibri" w:eastAsia="Times New Roman" w:hAnsi="Calibri" w:cs="Calibri"/>
          <w:spacing w:val="-3"/>
          <w:lang w:eastAsia="en-CA"/>
        </w:rPr>
        <w:t xml:space="preserve"> of</w:t>
      </w:r>
      <w:r w:rsidRPr="003B32AA">
        <w:rPr>
          <w:rFonts w:ascii="Calibri" w:eastAsia="Times New Roman" w:hAnsi="Calibri" w:cs="Calibri"/>
          <w:spacing w:val="-5"/>
          <w:lang w:eastAsia="en-CA"/>
        </w:rPr>
        <w:t xml:space="preserve"> </w:t>
      </w:r>
      <w:r w:rsidRPr="003B32AA">
        <w:rPr>
          <w:rFonts w:ascii="Calibri" w:eastAsia="Times New Roman" w:hAnsi="Calibri" w:cs="Calibri"/>
          <w:lang w:eastAsia="en-CA"/>
        </w:rPr>
        <w:t>any</w:t>
      </w:r>
      <w:r w:rsidRPr="003B32AA">
        <w:rPr>
          <w:rFonts w:ascii="Calibri" w:eastAsia="Times New Roman" w:hAnsi="Calibri" w:cs="Calibri"/>
          <w:spacing w:val="5"/>
          <w:lang w:eastAsia="en-CA"/>
        </w:rPr>
        <w:t xml:space="preserve"> </w:t>
      </w:r>
      <w:r w:rsidRPr="003B32AA">
        <w:rPr>
          <w:rFonts w:ascii="Calibri" w:eastAsia="Times New Roman" w:hAnsi="Calibri" w:cs="Calibri"/>
          <w:lang w:eastAsia="en-CA"/>
        </w:rPr>
        <w:t>trial,</w:t>
      </w:r>
      <w:r w:rsidRPr="003B32AA">
        <w:rPr>
          <w:rFonts w:ascii="Calibri" w:eastAsia="Times New Roman" w:hAnsi="Calibri" w:cs="Calibri"/>
          <w:spacing w:val="12"/>
          <w:lang w:eastAsia="en-CA"/>
        </w:rPr>
        <w:t xml:space="preserve"> </w:t>
      </w:r>
      <w:r w:rsidRPr="003B32AA">
        <w:rPr>
          <w:rFonts w:ascii="Calibri" w:eastAsia="Times New Roman" w:hAnsi="Calibri" w:cs="Calibri"/>
          <w:spacing w:val="-2"/>
          <w:lang w:eastAsia="en-CA"/>
        </w:rPr>
        <w:t>criminal</w:t>
      </w:r>
      <w:r w:rsidRPr="003B32AA">
        <w:rPr>
          <w:rFonts w:ascii="Calibri" w:eastAsia="Times New Roman" w:hAnsi="Calibri" w:cs="Calibri"/>
          <w:spacing w:val="9"/>
          <w:lang w:eastAsia="en-CA"/>
        </w:rPr>
        <w:t xml:space="preserve"> </w:t>
      </w:r>
      <w:r w:rsidRPr="003B32AA">
        <w:rPr>
          <w:rFonts w:ascii="Calibri" w:eastAsia="Times New Roman" w:hAnsi="Calibri" w:cs="Calibri"/>
          <w:spacing w:val="-3"/>
          <w:lang w:eastAsia="en-CA"/>
        </w:rPr>
        <w:t>or</w:t>
      </w:r>
      <w:r w:rsidRPr="003B32AA">
        <w:rPr>
          <w:rFonts w:ascii="Calibri" w:eastAsia="Times New Roman" w:hAnsi="Calibri" w:cs="Calibri"/>
          <w:spacing w:val="11"/>
          <w:lang w:eastAsia="en-CA"/>
        </w:rPr>
        <w:t xml:space="preserve"> </w:t>
      </w:r>
      <w:r w:rsidRPr="003B32AA">
        <w:rPr>
          <w:rFonts w:ascii="Calibri" w:eastAsia="Times New Roman" w:hAnsi="Calibri" w:cs="Calibri"/>
          <w:lang w:eastAsia="en-CA"/>
        </w:rPr>
        <w:t>civil,</w:t>
      </w:r>
      <w:r w:rsidRPr="003B32AA">
        <w:rPr>
          <w:rFonts w:ascii="Calibri" w:eastAsia="Times New Roman" w:hAnsi="Calibri" w:cs="Calibri"/>
          <w:spacing w:val="9"/>
          <w:lang w:eastAsia="en-CA"/>
        </w:rPr>
        <w:t xml:space="preserve"> </w:t>
      </w:r>
      <w:r w:rsidRPr="003B32AA">
        <w:rPr>
          <w:rFonts w:ascii="Calibri" w:eastAsia="Times New Roman" w:hAnsi="Calibri" w:cs="Calibri"/>
          <w:lang w:eastAsia="en-CA"/>
        </w:rPr>
        <w:t>must</w:t>
      </w:r>
      <w:r w:rsidRPr="003B32AA">
        <w:rPr>
          <w:rFonts w:ascii="Calibri" w:eastAsia="Times New Roman" w:hAnsi="Calibri" w:cs="Calibri"/>
          <w:spacing w:val="-6"/>
          <w:lang w:eastAsia="en-CA"/>
        </w:rPr>
        <w:t xml:space="preserve"> </w:t>
      </w:r>
      <w:r w:rsidRPr="003B32AA">
        <w:rPr>
          <w:rFonts w:ascii="Calibri" w:eastAsia="Times New Roman" w:hAnsi="Calibri" w:cs="Calibri"/>
          <w:spacing w:val="2"/>
          <w:lang w:eastAsia="en-CA"/>
        </w:rPr>
        <w:t xml:space="preserve">be </w:t>
      </w:r>
      <w:r w:rsidRPr="003B32AA">
        <w:rPr>
          <w:rFonts w:ascii="Calibri" w:eastAsia="Times New Roman" w:hAnsi="Calibri" w:cs="Calibri"/>
          <w:spacing w:val="-2"/>
          <w:lang w:eastAsia="en-CA"/>
        </w:rPr>
        <w:t>to seek</w:t>
      </w:r>
      <w:r w:rsidRPr="003B32AA">
        <w:rPr>
          <w:rFonts w:ascii="Calibri" w:eastAsia="Times New Roman" w:hAnsi="Calibri" w:cs="Calibri"/>
          <w:spacing w:val="11"/>
          <w:lang w:eastAsia="en-CA"/>
        </w:rPr>
        <w:t xml:space="preserve"> </w:t>
      </w:r>
      <w:r w:rsidRPr="003B32AA">
        <w:rPr>
          <w:rFonts w:ascii="Calibri" w:eastAsia="Times New Roman" w:hAnsi="Calibri" w:cs="Calibri"/>
          <w:lang w:eastAsia="en-CA"/>
        </w:rPr>
        <w:t xml:space="preserve">and </w:t>
      </w:r>
      <w:r w:rsidRPr="003B32AA">
        <w:rPr>
          <w:rFonts w:ascii="Calibri" w:eastAsia="Times New Roman" w:hAnsi="Calibri" w:cs="Calibri"/>
          <w:spacing w:val="2"/>
          <w:lang w:eastAsia="en-CA"/>
        </w:rPr>
        <w:t>to</w:t>
      </w:r>
      <w:r w:rsidRPr="003B32AA">
        <w:rPr>
          <w:rFonts w:ascii="Calibri" w:eastAsia="Times New Roman" w:hAnsi="Calibri" w:cs="Calibri"/>
          <w:spacing w:val="30"/>
          <w:lang w:eastAsia="en-CA"/>
        </w:rPr>
        <w:t xml:space="preserve"> </w:t>
      </w:r>
      <w:r w:rsidRPr="003B32AA">
        <w:rPr>
          <w:rFonts w:ascii="Calibri" w:eastAsia="Times New Roman" w:hAnsi="Calibri" w:cs="Calibri"/>
          <w:spacing w:val="-2"/>
          <w:lang w:eastAsia="en-CA"/>
        </w:rPr>
        <w:t>ascertain</w:t>
      </w:r>
      <w:r w:rsidRPr="003B32AA">
        <w:rPr>
          <w:rFonts w:ascii="Calibri" w:eastAsia="Times New Roman" w:hAnsi="Calibri" w:cs="Calibri"/>
          <w:spacing w:val="6"/>
          <w:lang w:eastAsia="en-CA"/>
        </w:rPr>
        <w:t xml:space="preserve"> </w:t>
      </w:r>
      <w:r w:rsidRPr="003B32AA">
        <w:rPr>
          <w:rFonts w:ascii="Calibri" w:eastAsia="Times New Roman" w:hAnsi="Calibri" w:cs="Calibri"/>
          <w:lang w:eastAsia="en-CA"/>
        </w:rPr>
        <w:t>the</w:t>
      </w:r>
      <w:r w:rsidRPr="003B32AA">
        <w:rPr>
          <w:rFonts w:ascii="Calibri" w:eastAsia="Times New Roman" w:hAnsi="Calibri" w:cs="Calibri"/>
          <w:spacing w:val="-6"/>
          <w:lang w:eastAsia="en-CA"/>
        </w:rPr>
        <w:t xml:space="preserve"> </w:t>
      </w:r>
      <w:r w:rsidRPr="003B32AA">
        <w:rPr>
          <w:rFonts w:ascii="Calibri" w:eastAsia="Times New Roman" w:hAnsi="Calibri" w:cs="Calibri"/>
          <w:spacing w:val="-2"/>
          <w:lang w:eastAsia="en-CA"/>
        </w:rPr>
        <w:t>truth.</w:t>
      </w:r>
      <w:r w:rsidRPr="003B32AA">
        <w:rPr>
          <w:rFonts w:ascii="Calibri" w:eastAsia="Times New Roman" w:hAnsi="Calibri" w:cs="Calibri"/>
          <w:spacing w:val="11"/>
          <w:lang w:eastAsia="en-CA"/>
        </w:rPr>
        <w:t xml:space="preserve"> </w:t>
      </w:r>
      <w:r w:rsidRPr="003B32AA">
        <w:rPr>
          <w:rFonts w:ascii="Calibri" w:eastAsia="Times New Roman" w:hAnsi="Calibri" w:cs="Calibri"/>
          <w:spacing w:val="-3"/>
          <w:lang w:eastAsia="en-CA"/>
        </w:rPr>
        <w:t>In</w:t>
      </w:r>
      <w:r w:rsidRPr="003B32AA">
        <w:rPr>
          <w:rFonts w:ascii="Calibri" w:eastAsia="Times New Roman" w:hAnsi="Calibri" w:cs="Calibri"/>
          <w:lang w:eastAsia="en-CA"/>
        </w:rPr>
        <w:t xml:space="preserve"> </w:t>
      </w:r>
      <w:r w:rsidRPr="003B32AA">
        <w:rPr>
          <w:rFonts w:ascii="Calibri" w:eastAsia="Times New Roman" w:hAnsi="Calibri" w:cs="Calibri"/>
          <w:spacing w:val="3"/>
          <w:lang w:eastAsia="en-CA"/>
        </w:rPr>
        <w:t>a</w:t>
      </w:r>
      <w:r w:rsidRPr="003B32AA">
        <w:rPr>
          <w:rFonts w:ascii="Calibri" w:eastAsia="Times New Roman" w:hAnsi="Calibri" w:cs="Calibri"/>
          <w:spacing w:val="-3"/>
          <w:lang w:eastAsia="en-CA"/>
        </w:rPr>
        <w:t xml:space="preserve"> </w:t>
      </w:r>
      <w:r w:rsidRPr="003B32AA">
        <w:rPr>
          <w:rFonts w:ascii="Calibri" w:eastAsia="Times New Roman" w:hAnsi="Calibri" w:cs="Calibri"/>
          <w:spacing w:val="-2"/>
          <w:lang w:eastAsia="en-CA"/>
        </w:rPr>
        <w:t>criminal</w:t>
      </w:r>
      <w:r w:rsidRPr="003B32AA">
        <w:rPr>
          <w:rFonts w:ascii="Calibri" w:eastAsia="Times New Roman" w:hAnsi="Calibri" w:cs="Calibri"/>
          <w:spacing w:val="-8"/>
          <w:lang w:eastAsia="en-CA"/>
        </w:rPr>
        <w:t xml:space="preserve"> </w:t>
      </w:r>
      <w:r w:rsidRPr="003B32AA">
        <w:rPr>
          <w:rFonts w:ascii="Calibri" w:eastAsia="Times New Roman" w:hAnsi="Calibri" w:cs="Calibri"/>
          <w:spacing w:val="-2"/>
          <w:lang w:eastAsia="en-CA"/>
        </w:rPr>
        <w:t>trial</w:t>
      </w:r>
      <w:r w:rsidRPr="003B32AA">
        <w:rPr>
          <w:rFonts w:ascii="Calibri" w:eastAsia="Times New Roman" w:hAnsi="Calibri" w:cs="Calibri"/>
          <w:spacing w:val="12"/>
          <w:lang w:eastAsia="en-CA"/>
        </w:rPr>
        <w:t xml:space="preserve"> </w:t>
      </w:r>
      <w:r w:rsidRPr="003B32AA">
        <w:rPr>
          <w:rFonts w:ascii="Calibri" w:eastAsia="Times New Roman" w:hAnsi="Calibri" w:cs="Calibri"/>
          <w:lang w:eastAsia="en-CA"/>
        </w:rPr>
        <w:t>the</w:t>
      </w:r>
      <w:r w:rsidRPr="003B32AA">
        <w:rPr>
          <w:rFonts w:ascii="Calibri" w:eastAsia="Times New Roman" w:hAnsi="Calibri" w:cs="Calibri"/>
          <w:spacing w:val="18"/>
          <w:lang w:eastAsia="en-CA"/>
        </w:rPr>
        <w:t xml:space="preserve"> </w:t>
      </w:r>
      <w:r w:rsidRPr="003B32AA">
        <w:rPr>
          <w:rFonts w:ascii="Calibri" w:eastAsia="Times New Roman" w:hAnsi="Calibri" w:cs="Calibri"/>
          <w:spacing w:val="-2"/>
          <w:lang w:eastAsia="en-CA"/>
        </w:rPr>
        <w:t>search</w:t>
      </w:r>
      <w:r w:rsidRPr="003B32AA">
        <w:rPr>
          <w:rFonts w:ascii="Calibri" w:eastAsia="Times New Roman" w:hAnsi="Calibri" w:cs="Calibri"/>
          <w:spacing w:val="27"/>
          <w:lang w:eastAsia="en-CA"/>
        </w:rPr>
        <w:t xml:space="preserve"> </w:t>
      </w:r>
      <w:r w:rsidRPr="003B32AA">
        <w:rPr>
          <w:rFonts w:ascii="Calibri" w:eastAsia="Times New Roman" w:hAnsi="Calibri" w:cs="Calibri"/>
          <w:spacing w:val="2"/>
          <w:lang w:eastAsia="en-CA"/>
        </w:rPr>
        <w:t>for</w:t>
      </w:r>
      <w:r w:rsidRPr="003B32AA">
        <w:rPr>
          <w:rFonts w:ascii="Calibri" w:eastAsia="Times New Roman" w:hAnsi="Calibri" w:cs="Calibri"/>
          <w:spacing w:val="15"/>
          <w:lang w:eastAsia="en-CA"/>
        </w:rPr>
        <w:t xml:space="preserve"> </w:t>
      </w:r>
      <w:r w:rsidRPr="003B32AA">
        <w:rPr>
          <w:rFonts w:ascii="Calibri" w:eastAsia="Times New Roman" w:hAnsi="Calibri" w:cs="Calibri"/>
          <w:lang w:eastAsia="en-CA"/>
        </w:rPr>
        <w:t>truth</w:t>
      </w:r>
      <w:r w:rsidRPr="003B32AA">
        <w:rPr>
          <w:rFonts w:ascii="Calibri" w:eastAsia="Times New Roman" w:hAnsi="Calibri" w:cs="Calibri"/>
          <w:spacing w:val="35"/>
          <w:lang w:eastAsia="en-CA"/>
        </w:rPr>
        <w:t xml:space="preserve"> </w:t>
      </w:r>
      <w:r w:rsidRPr="003B32AA">
        <w:rPr>
          <w:rFonts w:ascii="Calibri" w:eastAsia="Times New Roman" w:hAnsi="Calibri" w:cs="Calibri"/>
          <w:spacing w:val="2"/>
          <w:lang w:eastAsia="en-CA"/>
        </w:rPr>
        <w:t>is</w:t>
      </w:r>
      <w:r w:rsidRPr="003B32AA">
        <w:rPr>
          <w:rFonts w:ascii="Calibri" w:eastAsia="Times New Roman" w:hAnsi="Calibri" w:cs="Calibri"/>
          <w:spacing w:val="17"/>
          <w:lang w:eastAsia="en-CA"/>
        </w:rPr>
        <w:t xml:space="preserve"> </w:t>
      </w:r>
      <w:r w:rsidRPr="003B32AA">
        <w:rPr>
          <w:rFonts w:ascii="Calibri" w:eastAsia="Times New Roman" w:hAnsi="Calibri" w:cs="Calibri"/>
          <w:lang w:eastAsia="en-CA"/>
        </w:rPr>
        <w:t>undertaken</w:t>
      </w:r>
      <w:r w:rsidRPr="003B32AA">
        <w:rPr>
          <w:rFonts w:ascii="Calibri" w:eastAsia="Times New Roman" w:hAnsi="Calibri" w:cs="Calibri"/>
          <w:spacing w:val="27"/>
          <w:lang w:eastAsia="en-CA"/>
        </w:rPr>
        <w:t xml:space="preserve"> </w:t>
      </w:r>
      <w:r w:rsidRPr="003B32AA">
        <w:rPr>
          <w:rFonts w:ascii="Calibri" w:eastAsia="Times New Roman" w:hAnsi="Calibri" w:cs="Calibri"/>
          <w:spacing w:val="-2"/>
          <w:lang w:eastAsia="en-CA"/>
        </w:rPr>
        <w:t>to</w:t>
      </w:r>
      <w:r w:rsidRPr="003B32AA">
        <w:rPr>
          <w:rFonts w:ascii="Calibri" w:eastAsia="Times New Roman" w:hAnsi="Calibri" w:cs="Calibri"/>
          <w:spacing w:val="21"/>
          <w:lang w:eastAsia="en-CA"/>
        </w:rPr>
        <w:t xml:space="preserve"> </w:t>
      </w:r>
      <w:r w:rsidRPr="003B32AA">
        <w:rPr>
          <w:rFonts w:ascii="Calibri" w:eastAsia="Times New Roman" w:hAnsi="Calibri" w:cs="Calibri"/>
          <w:lang w:eastAsia="en-CA"/>
        </w:rPr>
        <w:t>determine</w:t>
      </w:r>
      <w:r w:rsidRPr="003B32AA">
        <w:rPr>
          <w:rFonts w:ascii="Calibri" w:eastAsia="Times New Roman" w:hAnsi="Calibri" w:cs="Calibri"/>
          <w:spacing w:val="35"/>
          <w:lang w:eastAsia="en-CA"/>
        </w:rPr>
        <w:t xml:space="preserve"> </w:t>
      </w:r>
      <w:r w:rsidRPr="003B32AA">
        <w:rPr>
          <w:rFonts w:ascii="Calibri" w:eastAsia="Times New Roman" w:hAnsi="Calibri" w:cs="Calibri"/>
          <w:lang w:eastAsia="en-CA"/>
        </w:rPr>
        <w:t>whether</w:t>
      </w:r>
      <w:r w:rsidRPr="003B32AA">
        <w:rPr>
          <w:rFonts w:ascii="Calibri" w:eastAsia="Times New Roman" w:hAnsi="Calibri" w:cs="Calibri"/>
          <w:spacing w:val="29"/>
          <w:lang w:eastAsia="en-CA"/>
        </w:rPr>
        <w:t xml:space="preserve"> </w:t>
      </w:r>
      <w:r w:rsidRPr="003B32AA">
        <w:rPr>
          <w:rFonts w:ascii="Calibri" w:eastAsia="Times New Roman" w:hAnsi="Calibri" w:cs="Calibri"/>
          <w:lang w:eastAsia="en-CA"/>
        </w:rPr>
        <w:t>the</w:t>
      </w:r>
      <w:r w:rsidRPr="003B32AA">
        <w:rPr>
          <w:rFonts w:ascii="Calibri" w:eastAsia="Times New Roman" w:hAnsi="Calibri" w:cs="Calibri"/>
          <w:spacing w:val="27"/>
          <w:lang w:eastAsia="en-CA"/>
        </w:rPr>
        <w:t xml:space="preserve"> </w:t>
      </w:r>
      <w:r w:rsidRPr="003B32AA">
        <w:rPr>
          <w:rFonts w:ascii="Calibri" w:eastAsia="Times New Roman" w:hAnsi="Calibri" w:cs="Calibri"/>
          <w:lang w:eastAsia="en-CA"/>
        </w:rPr>
        <w:t>accused</w:t>
      </w:r>
      <w:r w:rsidRPr="003B32AA">
        <w:rPr>
          <w:rFonts w:ascii="Calibri" w:eastAsia="Times New Roman" w:hAnsi="Calibri" w:cs="Calibri"/>
          <w:spacing w:val="21"/>
          <w:lang w:eastAsia="en-CA"/>
        </w:rPr>
        <w:t xml:space="preserve"> </w:t>
      </w:r>
      <w:r w:rsidRPr="003B32AA">
        <w:rPr>
          <w:rFonts w:ascii="Calibri" w:eastAsia="Times New Roman" w:hAnsi="Calibri" w:cs="Calibri"/>
          <w:spacing w:val="-2"/>
          <w:lang w:eastAsia="en-CA"/>
        </w:rPr>
        <w:t>before</w:t>
      </w:r>
      <w:r w:rsidRPr="003B32AA">
        <w:rPr>
          <w:rFonts w:ascii="Calibri" w:eastAsia="Times New Roman" w:hAnsi="Calibri" w:cs="Calibri"/>
          <w:spacing w:val="23"/>
          <w:lang w:eastAsia="en-CA"/>
        </w:rPr>
        <w:t xml:space="preserve"> </w:t>
      </w:r>
      <w:r w:rsidRPr="003B32AA">
        <w:rPr>
          <w:rFonts w:ascii="Calibri" w:eastAsia="Times New Roman" w:hAnsi="Calibri" w:cs="Calibri"/>
          <w:lang w:eastAsia="en-CA"/>
        </w:rPr>
        <w:t>the</w:t>
      </w:r>
      <w:r w:rsidRPr="003B32AA">
        <w:rPr>
          <w:rFonts w:ascii="Calibri" w:eastAsia="Times New Roman" w:hAnsi="Calibri" w:cs="Calibri"/>
          <w:spacing w:val="23"/>
          <w:lang w:eastAsia="en-CA"/>
        </w:rPr>
        <w:t xml:space="preserve"> </w:t>
      </w:r>
      <w:r w:rsidRPr="003B32AA">
        <w:rPr>
          <w:rFonts w:ascii="Calibri" w:eastAsia="Times New Roman" w:hAnsi="Calibri" w:cs="Calibri"/>
          <w:spacing w:val="-2"/>
          <w:lang w:eastAsia="en-CA"/>
        </w:rPr>
        <w:t>court</w:t>
      </w:r>
      <w:r w:rsidRPr="003B32AA">
        <w:rPr>
          <w:rFonts w:ascii="Calibri" w:eastAsia="Times New Roman" w:hAnsi="Calibri" w:cs="Calibri"/>
          <w:spacing w:val="27"/>
          <w:lang w:eastAsia="en-CA"/>
        </w:rPr>
        <w:t xml:space="preserve"> </w:t>
      </w:r>
      <w:r w:rsidRPr="003B32AA">
        <w:rPr>
          <w:rFonts w:ascii="Calibri" w:eastAsia="Times New Roman" w:hAnsi="Calibri" w:cs="Calibri"/>
          <w:spacing w:val="-2"/>
          <w:lang w:eastAsia="en-CA"/>
        </w:rPr>
        <w:t>is,</w:t>
      </w:r>
      <w:r w:rsidRPr="003B32AA">
        <w:rPr>
          <w:rFonts w:ascii="Calibri" w:eastAsia="Times New Roman" w:hAnsi="Calibri" w:cs="Calibri"/>
          <w:spacing w:val="12"/>
          <w:lang w:eastAsia="en-CA"/>
        </w:rPr>
        <w:t xml:space="preserve"> </w:t>
      </w:r>
      <w:r w:rsidRPr="003B32AA">
        <w:rPr>
          <w:rFonts w:ascii="Calibri" w:eastAsia="Times New Roman" w:hAnsi="Calibri" w:cs="Calibri"/>
          <w:lang w:eastAsia="en-CA"/>
        </w:rPr>
        <w:t>beyond</w:t>
      </w:r>
      <w:r w:rsidRPr="003B32AA">
        <w:rPr>
          <w:rFonts w:ascii="Calibri" w:eastAsia="Times New Roman" w:hAnsi="Calibri" w:cs="Calibri"/>
          <w:spacing w:val="-8"/>
          <w:lang w:eastAsia="en-CA"/>
        </w:rPr>
        <w:t xml:space="preserve"> </w:t>
      </w:r>
      <w:r w:rsidRPr="003B32AA">
        <w:rPr>
          <w:rFonts w:ascii="Calibri" w:eastAsia="Times New Roman" w:hAnsi="Calibri" w:cs="Calibri"/>
          <w:spacing w:val="3"/>
          <w:lang w:eastAsia="en-CA"/>
        </w:rPr>
        <w:t>a</w:t>
      </w:r>
      <w:r w:rsidRPr="003B32AA">
        <w:rPr>
          <w:rFonts w:ascii="Calibri" w:eastAsia="Times New Roman" w:hAnsi="Calibri" w:cs="Calibri"/>
          <w:spacing w:val="8"/>
          <w:lang w:eastAsia="en-CA"/>
        </w:rPr>
        <w:t xml:space="preserve"> </w:t>
      </w:r>
      <w:r w:rsidRPr="003B32AA">
        <w:rPr>
          <w:rFonts w:ascii="Calibri" w:eastAsia="Times New Roman" w:hAnsi="Calibri" w:cs="Calibri"/>
          <w:spacing w:val="-2"/>
          <w:lang w:eastAsia="en-CA"/>
        </w:rPr>
        <w:t>reasonable</w:t>
      </w:r>
      <w:r w:rsidRPr="003B32AA">
        <w:rPr>
          <w:rFonts w:ascii="Calibri" w:eastAsia="Times New Roman" w:hAnsi="Calibri" w:cs="Calibri"/>
          <w:spacing w:val="15"/>
          <w:lang w:eastAsia="en-CA"/>
        </w:rPr>
        <w:t xml:space="preserve"> </w:t>
      </w:r>
      <w:r w:rsidRPr="003B32AA">
        <w:rPr>
          <w:rFonts w:ascii="Calibri" w:eastAsia="Times New Roman" w:hAnsi="Calibri" w:cs="Calibri"/>
          <w:lang w:eastAsia="en-CA"/>
        </w:rPr>
        <w:t>doubt,</w:t>
      </w:r>
      <w:r w:rsidRPr="003B32AA">
        <w:rPr>
          <w:rFonts w:ascii="Calibri" w:eastAsia="Times New Roman" w:hAnsi="Calibri" w:cs="Calibri"/>
          <w:spacing w:val="14"/>
          <w:lang w:eastAsia="en-CA"/>
        </w:rPr>
        <w:t xml:space="preserve"> </w:t>
      </w:r>
      <w:r w:rsidRPr="003B32AA">
        <w:rPr>
          <w:rFonts w:ascii="Calibri" w:eastAsia="Times New Roman" w:hAnsi="Calibri" w:cs="Calibri"/>
          <w:spacing w:val="-2"/>
          <w:lang w:eastAsia="en-CA"/>
        </w:rPr>
        <w:t>guilty</w:t>
      </w:r>
      <w:r w:rsidRPr="003B32AA">
        <w:rPr>
          <w:rFonts w:ascii="Calibri" w:eastAsia="Times New Roman" w:hAnsi="Calibri" w:cs="Calibri"/>
          <w:spacing w:val="21"/>
          <w:lang w:eastAsia="en-CA"/>
        </w:rPr>
        <w:t xml:space="preserve"> </w:t>
      </w:r>
      <w:r w:rsidRPr="003B32AA">
        <w:rPr>
          <w:rFonts w:ascii="Calibri" w:eastAsia="Times New Roman" w:hAnsi="Calibri" w:cs="Calibri"/>
          <w:spacing w:val="-3"/>
          <w:lang w:eastAsia="en-CA"/>
        </w:rPr>
        <w:t>of</w:t>
      </w:r>
      <w:r w:rsidRPr="003B32AA">
        <w:rPr>
          <w:rFonts w:ascii="Calibri" w:eastAsia="Times New Roman" w:hAnsi="Calibri" w:cs="Calibri"/>
          <w:spacing w:val="11"/>
          <w:lang w:eastAsia="en-CA"/>
        </w:rPr>
        <w:t xml:space="preserve"> </w:t>
      </w:r>
      <w:r w:rsidRPr="003B32AA">
        <w:rPr>
          <w:rFonts w:ascii="Calibri" w:eastAsia="Times New Roman" w:hAnsi="Calibri" w:cs="Calibri"/>
          <w:lang w:eastAsia="en-CA"/>
        </w:rPr>
        <w:t>the</w:t>
      </w:r>
      <w:r w:rsidRPr="003B32AA">
        <w:rPr>
          <w:rFonts w:ascii="Calibri" w:eastAsia="Times New Roman" w:hAnsi="Calibri" w:cs="Calibri"/>
          <w:spacing w:val="18"/>
          <w:lang w:eastAsia="en-CA"/>
        </w:rPr>
        <w:t xml:space="preserve"> </w:t>
      </w:r>
      <w:r w:rsidRPr="003B32AA">
        <w:rPr>
          <w:rFonts w:ascii="Calibri" w:eastAsia="Times New Roman" w:hAnsi="Calibri" w:cs="Calibri"/>
          <w:spacing w:val="-2"/>
          <w:lang w:eastAsia="en-CA"/>
        </w:rPr>
        <w:t>crime</w:t>
      </w:r>
      <w:r w:rsidRPr="003B32AA">
        <w:rPr>
          <w:rFonts w:ascii="Calibri" w:eastAsia="Times New Roman" w:hAnsi="Calibri" w:cs="Calibri"/>
          <w:spacing w:val="18"/>
          <w:lang w:eastAsia="en-CA"/>
        </w:rPr>
        <w:t xml:space="preserve"> </w:t>
      </w:r>
      <w:r w:rsidRPr="003B32AA">
        <w:rPr>
          <w:rFonts w:ascii="Calibri" w:eastAsia="Times New Roman" w:hAnsi="Calibri" w:cs="Calibri"/>
          <w:spacing w:val="-2"/>
          <w:lang w:eastAsia="en-CA"/>
        </w:rPr>
        <w:t>with</w:t>
      </w:r>
      <w:r w:rsidRPr="003B32AA">
        <w:rPr>
          <w:rFonts w:ascii="Calibri" w:eastAsia="Times New Roman" w:hAnsi="Calibri" w:cs="Calibri"/>
          <w:spacing w:val="24"/>
          <w:lang w:eastAsia="en-CA"/>
        </w:rPr>
        <w:t xml:space="preserve"> </w:t>
      </w:r>
      <w:r w:rsidRPr="003B32AA">
        <w:rPr>
          <w:rFonts w:ascii="Calibri" w:eastAsia="Times New Roman" w:hAnsi="Calibri" w:cs="Calibri"/>
          <w:lang w:eastAsia="en-CA"/>
        </w:rPr>
        <w:t>which</w:t>
      </w:r>
      <w:r w:rsidRPr="003B32AA">
        <w:rPr>
          <w:rFonts w:ascii="Calibri" w:eastAsia="Times New Roman" w:hAnsi="Calibri" w:cs="Calibri"/>
          <w:spacing w:val="21"/>
          <w:lang w:eastAsia="en-CA"/>
        </w:rPr>
        <w:t xml:space="preserve"> </w:t>
      </w:r>
      <w:r w:rsidRPr="003B32AA">
        <w:rPr>
          <w:rFonts w:ascii="Calibri" w:eastAsia="Times New Roman" w:hAnsi="Calibri" w:cs="Calibri"/>
          <w:spacing w:val="2"/>
          <w:lang w:eastAsia="en-CA"/>
        </w:rPr>
        <w:t>he</w:t>
      </w:r>
      <w:r w:rsidRPr="003B32AA">
        <w:rPr>
          <w:rFonts w:ascii="Calibri" w:eastAsia="Times New Roman" w:hAnsi="Calibri" w:cs="Calibri"/>
          <w:spacing w:val="20"/>
          <w:lang w:eastAsia="en-CA"/>
        </w:rPr>
        <w:t xml:space="preserve"> </w:t>
      </w:r>
      <w:r w:rsidRPr="003B32AA">
        <w:rPr>
          <w:rFonts w:ascii="Calibri" w:eastAsia="Times New Roman" w:hAnsi="Calibri" w:cs="Calibri"/>
          <w:spacing w:val="2"/>
          <w:lang w:eastAsia="en-CA"/>
        </w:rPr>
        <w:t>is</w:t>
      </w:r>
      <w:r w:rsidRPr="003B32AA">
        <w:rPr>
          <w:rFonts w:ascii="Calibri" w:eastAsia="Times New Roman" w:hAnsi="Calibri" w:cs="Calibri"/>
          <w:spacing w:val="8"/>
          <w:lang w:eastAsia="en-CA"/>
        </w:rPr>
        <w:t xml:space="preserve"> </w:t>
      </w:r>
      <w:r w:rsidRPr="003B32AA">
        <w:rPr>
          <w:rFonts w:ascii="Calibri" w:eastAsia="Times New Roman" w:hAnsi="Calibri" w:cs="Calibri"/>
          <w:spacing w:val="-2"/>
          <w:lang w:eastAsia="en-CA"/>
        </w:rPr>
        <w:t>charged.</w:t>
      </w:r>
      <w:r w:rsidRPr="003B32AA">
        <w:rPr>
          <w:rFonts w:ascii="Calibri" w:eastAsia="Times New Roman" w:hAnsi="Calibri" w:cs="Calibri"/>
          <w:spacing w:val="-2"/>
          <w:vertAlign w:val="superscript"/>
          <w:lang w:eastAsia="en-CA"/>
        </w:rPr>
        <w:endnoteReference w:id="144"/>
      </w:r>
    </w:p>
    <w:p w14:paraId="3AA2DB7F" w14:textId="6A810F3A" w:rsidR="00630390" w:rsidRPr="00ED71A4" w:rsidRDefault="00C01A97" w:rsidP="00B32C57">
      <w:pPr>
        <w:rPr>
          <w:rFonts w:ascii="Calibri" w:hAnsi="Calibri" w:cs="Calibri"/>
        </w:rPr>
      </w:pPr>
      <w:r w:rsidRPr="001B3B41">
        <w:t>The criminal trial</w:t>
      </w:r>
      <w:r>
        <w:t xml:space="preserve"> – along with any subsequent appeal process, if triggered – is </w:t>
      </w:r>
      <w:r w:rsidRPr="001B3B41">
        <w:t>the epicentre of the justice system</w:t>
      </w:r>
      <w:r>
        <w:t xml:space="preserve">. Criminal trials are where </w:t>
      </w:r>
      <w:r w:rsidRPr="001B3B41">
        <w:t>justice is practiced and dispensed</w:t>
      </w:r>
      <w:r>
        <w:t xml:space="preserve">; where </w:t>
      </w:r>
      <w:r w:rsidRPr="001B3B41">
        <w:t>the parties and stakeholders converge</w:t>
      </w:r>
      <w:r>
        <w:t xml:space="preserve"> </w:t>
      </w:r>
      <w:r w:rsidRPr="001B3B41">
        <w:t>in full public view</w:t>
      </w:r>
      <w:r>
        <w:t xml:space="preserve"> to apply, test and interpret criminal law; where c</w:t>
      </w:r>
      <w:r w:rsidRPr="001B3B41">
        <w:t>onstitutional validity is assessed</w:t>
      </w:r>
      <w:r>
        <w:t>; and where</w:t>
      </w:r>
      <w:r w:rsidRPr="001B3B41">
        <w:t xml:space="preserve"> statutory provisions are </w:t>
      </w:r>
      <w:r>
        <w:t>either affirmed</w:t>
      </w:r>
      <w:r w:rsidRPr="001B3B41">
        <w:t xml:space="preserve">, declared </w:t>
      </w:r>
      <w:r w:rsidRPr="001B3B41">
        <w:rPr>
          <w:shd w:val="clear" w:color="auto" w:fill="FFFFFF"/>
        </w:rPr>
        <w:t xml:space="preserve">partially invalid, or struck down </w:t>
      </w:r>
      <w:r>
        <w:rPr>
          <w:shd w:val="clear" w:color="auto" w:fill="FFFFFF"/>
        </w:rPr>
        <w:t>and</w:t>
      </w:r>
      <w:r w:rsidRPr="001B3B41">
        <w:rPr>
          <w:shd w:val="clear" w:color="auto" w:fill="FFFFFF"/>
        </w:rPr>
        <w:t xml:space="preserve"> declared to be of no force and effect</w:t>
      </w:r>
      <w:r w:rsidR="00630390" w:rsidRPr="00ED71A4">
        <w:rPr>
          <w:rFonts w:ascii="Calibri" w:hAnsi="Calibri" w:cs="Calibri"/>
          <w:shd w:val="clear" w:color="auto" w:fill="FFFFFF"/>
        </w:rPr>
        <w:t>.</w:t>
      </w:r>
      <w:r w:rsidR="00630390" w:rsidRPr="00ED71A4">
        <w:rPr>
          <w:rFonts w:ascii="Calibri" w:hAnsi="Calibri" w:cs="Calibri"/>
          <w:shd w:val="clear" w:color="auto" w:fill="FFFFFF"/>
          <w:vertAlign w:val="superscript"/>
        </w:rPr>
        <w:endnoteReference w:id="145"/>
      </w:r>
      <w:r w:rsidR="00630390" w:rsidRPr="00ED71A4">
        <w:rPr>
          <w:rFonts w:ascii="Calibri" w:hAnsi="Calibri" w:cs="Calibri"/>
          <w:shd w:val="clear" w:color="auto" w:fill="FFFFFF"/>
        </w:rPr>
        <w:t xml:space="preserve"> </w:t>
      </w:r>
    </w:p>
    <w:p w14:paraId="14CB6DC2" w14:textId="77777777" w:rsidR="00630390" w:rsidRDefault="00630390" w:rsidP="00B32C57">
      <w:pPr>
        <w:rPr>
          <w:rFonts w:ascii="Calibri" w:hAnsi="Calibri" w:cs="Calibri"/>
        </w:rPr>
      </w:pPr>
    </w:p>
    <w:p w14:paraId="5B3E5E0D" w14:textId="26F7DFB9" w:rsidR="00630390" w:rsidRPr="001E0D8B" w:rsidRDefault="00630390" w:rsidP="00B32C57">
      <w:pPr>
        <w:rPr>
          <w:rFonts w:ascii="Calibri" w:hAnsi="Calibri" w:cs="Calibri"/>
        </w:rPr>
      </w:pPr>
      <w:r w:rsidRPr="001E0D8B">
        <w:rPr>
          <w:rFonts w:ascii="Calibri" w:hAnsi="Calibri" w:cs="Calibri"/>
        </w:rPr>
        <w:lastRenderedPageBreak/>
        <w:t xml:space="preserve">The introduction of AI tools into the criminal trial raises serious concerns about bias, hidden assumptions, and a lack of scientific validity. It is a well-documented problem with AI tech that biases and assumptions informing AI algorithms, source data, or the tool’s implementation, can affect the resulting output. This problem was simply stated by the </w:t>
      </w:r>
      <w:r w:rsidR="003B32AA">
        <w:rPr>
          <w:rFonts w:ascii="Calibri" w:hAnsi="Calibri" w:cs="Calibri"/>
        </w:rPr>
        <w:t>LCO</w:t>
      </w:r>
      <w:r w:rsidRPr="001E0D8B">
        <w:rPr>
          <w:rFonts w:ascii="Calibri" w:hAnsi="Calibri" w:cs="Calibri"/>
        </w:rPr>
        <w:t xml:space="preserve"> in </w:t>
      </w:r>
      <w:r w:rsidRPr="001E0D8B">
        <w:rPr>
          <w:rFonts w:ascii="Calibri" w:hAnsi="Calibri" w:cs="Calibri"/>
          <w:i/>
          <w:iCs/>
        </w:rPr>
        <w:t>The Rise and Fall of AI and Algorithms in American Criminal Justice: Lessons for Canada</w:t>
      </w:r>
      <w:r w:rsidRPr="001E0D8B">
        <w:rPr>
          <w:rFonts w:ascii="Calibri" w:hAnsi="Calibri" w:cs="Calibri"/>
        </w:rPr>
        <w:t>:</w:t>
      </w:r>
    </w:p>
    <w:p w14:paraId="02AB09DE" w14:textId="77777777" w:rsidR="00630390" w:rsidRPr="001E0D8B" w:rsidRDefault="00630390" w:rsidP="00B32C57">
      <w:pPr>
        <w:rPr>
          <w:rFonts w:ascii="Calibri" w:hAnsi="Calibri" w:cs="Calibri"/>
        </w:rPr>
      </w:pPr>
    </w:p>
    <w:p w14:paraId="76A647C3" w14:textId="77777777" w:rsidR="00630390" w:rsidRPr="003B32AA" w:rsidRDefault="00630390" w:rsidP="00B32C57">
      <w:pPr>
        <w:ind w:left="720"/>
        <w:rPr>
          <w:rFonts w:ascii="Calibri" w:hAnsi="Calibri" w:cs="Calibri"/>
        </w:rPr>
      </w:pPr>
      <w:r w:rsidRPr="003B32AA">
        <w:rPr>
          <w:rFonts w:ascii="Calibri" w:hAnsi="Calibri" w:cs="Calibri"/>
        </w:rPr>
        <w:t>The most trenchant and troubling criticism of pretrial risk assessments – and many other forms of AI and algorithms in criminal justice – is that that they are racist. For these reasons, organizations such as Human Rights Watch believe algorithmic risk assessments to be “a sophisticated form of racial profiling.”</w:t>
      </w:r>
      <w:r w:rsidRPr="003B32AA">
        <w:rPr>
          <w:rFonts w:ascii="Calibri" w:hAnsi="Calibri" w:cs="Calibri"/>
          <w:vertAlign w:val="superscript"/>
        </w:rPr>
        <w:endnoteReference w:id="146"/>
      </w:r>
    </w:p>
    <w:p w14:paraId="641BF3EF" w14:textId="77777777" w:rsidR="00630390" w:rsidRPr="001E0D8B" w:rsidRDefault="00630390" w:rsidP="00B32C57">
      <w:pPr>
        <w:rPr>
          <w:rFonts w:ascii="Calibri" w:hAnsi="Calibri" w:cs="Calibri"/>
        </w:rPr>
      </w:pPr>
    </w:p>
    <w:p w14:paraId="1F69FE67" w14:textId="3AA932C0" w:rsidR="00630390" w:rsidRPr="001E0D8B" w:rsidRDefault="00630390" w:rsidP="00B32C57">
      <w:pPr>
        <w:rPr>
          <w:rFonts w:ascii="Calibri" w:hAnsi="Calibri" w:cs="Calibri"/>
        </w:rPr>
      </w:pPr>
      <w:r w:rsidRPr="001E0D8B">
        <w:rPr>
          <w:rFonts w:ascii="Calibri" w:hAnsi="Calibri" w:cs="Calibri"/>
        </w:rPr>
        <w:t xml:space="preserve">This problem – sometimes referred to as “bias in, bias out” – has received particular attention in relation to police use of Facial Recognition Technology </w:t>
      </w:r>
      <w:r w:rsidR="003B32AA">
        <w:rPr>
          <w:rFonts w:ascii="Calibri" w:hAnsi="Calibri" w:cs="Calibri"/>
        </w:rPr>
        <w:t>(</w:t>
      </w:r>
      <w:r w:rsidRPr="001E0D8B">
        <w:rPr>
          <w:rFonts w:ascii="Calibri" w:hAnsi="Calibri" w:cs="Calibri"/>
        </w:rPr>
        <w:t>FRT</w:t>
      </w:r>
      <w:r w:rsidR="003B32AA">
        <w:rPr>
          <w:rFonts w:ascii="Calibri" w:hAnsi="Calibri" w:cs="Calibri"/>
        </w:rPr>
        <w:t>)</w:t>
      </w:r>
      <w:r w:rsidRPr="001E0D8B">
        <w:rPr>
          <w:rFonts w:ascii="Calibri" w:hAnsi="Calibri" w:cs="Calibri"/>
        </w:rPr>
        <w:t xml:space="preserve">. As discussed in </w:t>
      </w:r>
      <w:r w:rsidR="003B32AA">
        <w:rPr>
          <w:rFonts w:ascii="Calibri" w:hAnsi="Calibri" w:cs="Calibri"/>
        </w:rPr>
        <w:t xml:space="preserve">LCO Project Papers 1 and 2, </w:t>
      </w:r>
      <w:r w:rsidRPr="001E0D8B">
        <w:rPr>
          <w:rFonts w:ascii="Calibri" w:hAnsi="Calibri" w:cs="Calibri"/>
        </w:rPr>
        <w:t xml:space="preserve">police have used </w:t>
      </w:r>
      <w:r w:rsidR="003B32AA">
        <w:rPr>
          <w:rFonts w:ascii="Calibri" w:hAnsi="Calibri" w:cs="Calibri"/>
        </w:rPr>
        <w:t>FRT</w:t>
      </w:r>
      <w:r w:rsidRPr="001E0D8B">
        <w:rPr>
          <w:rFonts w:ascii="Calibri" w:hAnsi="Calibri" w:cs="Calibri"/>
        </w:rPr>
        <w:t xml:space="preserve"> in order to compare the faces of persons in vast surveillance data against known persons in police investigative databases. Such a comparison would be practically impossible using traditional investigative methods; however, FR</w:t>
      </w:r>
      <w:r w:rsidR="003B32AA">
        <w:rPr>
          <w:rFonts w:ascii="Calibri" w:hAnsi="Calibri" w:cs="Calibri"/>
        </w:rPr>
        <w:t>T</w:t>
      </w:r>
      <w:r w:rsidRPr="001E0D8B">
        <w:rPr>
          <w:rFonts w:ascii="Calibri" w:hAnsi="Calibri" w:cs="Calibri"/>
        </w:rPr>
        <w:t xml:space="preserve"> </w:t>
      </w:r>
      <w:r w:rsidR="003B32AA">
        <w:rPr>
          <w:rFonts w:ascii="Calibri" w:hAnsi="Calibri" w:cs="Calibri"/>
        </w:rPr>
        <w:t xml:space="preserve">automates </w:t>
      </w:r>
      <w:r w:rsidRPr="001E0D8B">
        <w:rPr>
          <w:rFonts w:ascii="Calibri" w:hAnsi="Calibri" w:cs="Calibri"/>
        </w:rPr>
        <w:t xml:space="preserve">this comparative process, and </w:t>
      </w:r>
      <w:r w:rsidR="003B32AA">
        <w:rPr>
          <w:rFonts w:ascii="Calibri" w:hAnsi="Calibri" w:cs="Calibri"/>
        </w:rPr>
        <w:t xml:space="preserve">thus </w:t>
      </w:r>
      <w:r w:rsidRPr="001E0D8B">
        <w:rPr>
          <w:rFonts w:ascii="Calibri" w:hAnsi="Calibri" w:cs="Calibri"/>
        </w:rPr>
        <w:t>present</w:t>
      </w:r>
      <w:r w:rsidR="003B32AA">
        <w:rPr>
          <w:rFonts w:ascii="Calibri" w:hAnsi="Calibri" w:cs="Calibri"/>
        </w:rPr>
        <w:t>s</w:t>
      </w:r>
      <w:r w:rsidRPr="001E0D8B">
        <w:rPr>
          <w:rFonts w:ascii="Calibri" w:hAnsi="Calibri" w:cs="Calibri"/>
        </w:rPr>
        <w:t xml:space="preserve"> new and wildly efficient investigative results. </w:t>
      </w:r>
      <w:r w:rsidR="001538F2">
        <w:rPr>
          <w:rFonts w:ascii="Calibri" w:hAnsi="Calibri" w:cs="Calibri"/>
        </w:rPr>
        <w:t xml:space="preserve">The technology offers the prospect of being </w:t>
      </w:r>
      <w:r w:rsidRPr="001E0D8B">
        <w:rPr>
          <w:rFonts w:ascii="Calibri" w:hAnsi="Calibri" w:cs="Calibri"/>
        </w:rPr>
        <w:t>able to identify persons with like features after completing thousands of automated comparisons. But the reliability of these results has been called into question due to issues of bias.</w:t>
      </w:r>
    </w:p>
    <w:p w14:paraId="40518272" w14:textId="77777777" w:rsidR="00630390" w:rsidRPr="001E0D8B" w:rsidRDefault="00630390" w:rsidP="00B32C57">
      <w:pPr>
        <w:rPr>
          <w:rFonts w:ascii="Calibri" w:hAnsi="Calibri" w:cs="Calibri"/>
        </w:rPr>
      </w:pPr>
    </w:p>
    <w:p w14:paraId="12061EC4" w14:textId="77777777" w:rsidR="00630390" w:rsidRPr="001E0D8B" w:rsidRDefault="00630390" w:rsidP="00B32C57">
      <w:pPr>
        <w:spacing w:after="200"/>
        <w:rPr>
          <w:rFonts w:ascii="Calibri" w:hAnsi="Calibri" w:cs="Calibri"/>
        </w:rPr>
      </w:pPr>
      <w:r w:rsidRPr="001E0D8B">
        <w:rPr>
          <w:rFonts w:ascii="Calibri" w:hAnsi="Calibri" w:cs="Calibri"/>
        </w:rPr>
        <w:t>Several commentators have observed that bias within the data used to train and fuel AI may exacerbate unfairness and distort truth seeking in the criminal trial process:</w:t>
      </w:r>
    </w:p>
    <w:p w14:paraId="0FD70665" w14:textId="080CCA58" w:rsidR="00630390" w:rsidRPr="001538F2" w:rsidRDefault="00630390" w:rsidP="00B32C57">
      <w:pPr>
        <w:spacing w:after="200"/>
        <w:ind w:left="720" w:right="340"/>
        <w:rPr>
          <w:rFonts w:ascii="Calibri" w:hAnsi="Calibri" w:cs="Calibri"/>
        </w:rPr>
      </w:pPr>
      <w:r w:rsidRPr="001538F2">
        <w:rPr>
          <w:rFonts w:ascii="Calibri" w:hAnsi="Calibri" w:cs="Calibri"/>
        </w:rPr>
        <w:t>Results generated from these black box’ calculations may appear like an objective science, but closer analysis reveals this technology's foundational reliance on observational biases that are crystallized into the enforcement records used to train this technology.</w:t>
      </w:r>
      <w:r w:rsidRPr="001538F2">
        <w:rPr>
          <w:rFonts w:ascii="Calibri" w:hAnsi="Calibri" w:cs="Calibri"/>
          <w:vertAlign w:val="superscript"/>
        </w:rPr>
        <w:endnoteReference w:id="147"/>
      </w:r>
    </w:p>
    <w:p w14:paraId="471D0537" w14:textId="62B33146" w:rsidR="00630390" w:rsidRPr="001E0D8B" w:rsidRDefault="00630390" w:rsidP="00B32C57">
      <w:pPr>
        <w:rPr>
          <w:rFonts w:ascii="Calibri" w:hAnsi="Calibri" w:cs="Calibri"/>
        </w:rPr>
      </w:pPr>
      <w:r w:rsidRPr="001E0D8B">
        <w:rPr>
          <w:rFonts w:ascii="Calibri" w:hAnsi="Calibri" w:cs="Calibri"/>
        </w:rPr>
        <w:t>FRT, in particular, has been criticized as incorporating inaccuracies and biases within their datasets and algorithms. This can result in “false negatives</w:t>
      </w:r>
      <w:r w:rsidR="001538F2">
        <w:rPr>
          <w:rFonts w:ascii="Calibri" w:hAnsi="Calibri" w:cs="Calibri"/>
        </w:rPr>
        <w:t>,</w:t>
      </w:r>
      <w:r w:rsidRPr="001E0D8B">
        <w:rPr>
          <w:rFonts w:ascii="Calibri" w:hAnsi="Calibri" w:cs="Calibri"/>
        </w:rPr>
        <w:t>”</w:t>
      </w:r>
      <w:r w:rsidR="001538F2">
        <w:rPr>
          <w:rFonts w:ascii="Calibri" w:hAnsi="Calibri" w:cs="Calibri"/>
        </w:rPr>
        <w:t xml:space="preserve"> </w:t>
      </w:r>
      <w:r w:rsidRPr="001E0D8B">
        <w:rPr>
          <w:rFonts w:ascii="Calibri" w:hAnsi="Calibri" w:cs="Calibri"/>
        </w:rPr>
        <w:t>in which the technology does not recognize a match, and therefore fails to detect a suspect. But the flawed inputs can also produce “false positives</w:t>
      </w:r>
      <w:r w:rsidR="001538F2">
        <w:rPr>
          <w:rFonts w:ascii="Calibri" w:hAnsi="Calibri" w:cs="Calibri"/>
        </w:rPr>
        <w:t>,</w:t>
      </w:r>
      <w:r w:rsidRPr="001E0D8B">
        <w:rPr>
          <w:rFonts w:ascii="Calibri" w:hAnsi="Calibri" w:cs="Calibri"/>
        </w:rPr>
        <w:t>”</w:t>
      </w:r>
      <w:r w:rsidR="001538F2">
        <w:rPr>
          <w:rFonts w:ascii="Calibri" w:hAnsi="Calibri" w:cs="Calibri"/>
        </w:rPr>
        <w:t xml:space="preserve"> </w:t>
      </w:r>
      <w:r w:rsidRPr="001E0D8B">
        <w:rPr>
          <w:rFonts w:ascii="Calibri" w:hAnsi="Calibri" w:cs="Calibri"/>
        </w:rPr>
        <w:t>in which an individual is incorrectly identified matched as a suspect. Such false positives have led to wrongful arrests and detentions, along with the accompanying deprivations of liberty and indignities that so often accompany police detention.</w:t>
      </w:r>
      <w:r w:rsidRPr="001E0D8B">
        <w:rPr>
          <w:rFonts w:ascii="Calibri" w:hAnsi="Calibri" w:cs="Calibri"/>
          <w:vertAlign w:val="superscript"/>
        </w:rPr>
        <w:endnoteReference w:id="148"/>
      </w:r>
      <w:r w:rsidRPr="001E0D8B">
        <w:rPr>
          <w:rFonts w:ascii="Calibri" w:hAnsi="Calibri" w:cs="Calibri"/>
        </w:rPr>
        <w:t xml:space="preserve"> As observed by the CCLA and the Citizen Lab: </w:t>
      </w:r>
    </w:p>
    <w:p w14:paraId="3F5DF57C" w14:textId="77777777" w:rsidR="00630390" w:rsidRPr="001E0D8B" w:rsidRDefault="00630390" w:rsidP="00B32C57">
      <w:pPr>
        <w:rPr>
          <w:rFonts w:ascii="Calibri" w:hAnsi="Calibri" w:cs="Calibri"/>
        </w:rPr>
      </w:pPr>
    </w:p>
    <w:p w14:paraId="129F5C1C" w14:textId="77777777" w:rsidR="00630390" w:rsidRPr="001538F2" w:rsidRDefault="00630390" w:rsidP="00B32C57">
      <w:pPr>
        <w:ind w:left="680" w:right="283"/>
        <w:rPr>
          <w:rFonts w:ascii="Calibri" w:hAnsi="Calibri" w:cs="Calibri"/>
        </w:rPr>
      </w:pPr>
      <w:r w:rsidRPr="001538F2">
        <w:rPr>
          <w:rFonts w:ascii="Calibri" w:hAnsi="Calibri" w:cs="Calibri"/>
        </w:rPr>
        <w:t>Study after study has demonstrated that facial recognition technology is most accurate on white male faces, and gets worse for women, youth, and people of colour, particularly Black individuals. Indeed, many companies who make this technology, including IBM, Microsoft, and Amazon, have voluntarily chosen to stop selling it because they recognize it may do terrible social harm.</w:t>
      </w:r>
    </w:p>
    <w:p w14:paraId="069D4B48" w14:textId="77777777" w:rsidR="00630390" w:rsidRPr="001538F2" w:rsidRDefault="00630390" w:rsidP="00B32C57">
      <w:pPr>
        <w:ind w:left="680" w:right="283"/>
        <w:rPr>
          <w:rFonts w:ascii="Calibri" w:hAnsi="Calibri" w:cs="Calibri"/>
        </w:rPr>
      </w:pPr>
    </w:p>
    <w:p w14:paraId="5B5DC9F8" w14:textId="77777777" w:rsidR="00630390" w:rsidRPr="001538F2" w:rsidRDefault="00630390" w:rsidP="00B32C57">
      <w:pPr>
        <w:ind w:left="680" w:right="283"/>
        <w:rPr>
          <w:rFonts w:ascii="Calibri" w:hAnsi="Calibri" w:cs="Calibri"/>
        </w:rPr>
      </w:pPr>
      <w:r w:rsidRPr="001538F2">
        <w:rPr>
          <w:rFonts w:ascii="Calibri" w:hAnsi="Calibri" w:cs="Calibri"/>
        </w:rPr>
        <w:t>Yet in Canada, facial recognition technology has been deployed by police forces without notice, meaningful consultation, or public oversight and accountability.</w:t>
      </w:r>
      <w:r w:rsidRPr="001538F2">
        <w:rPr>
          <w:rFonts w:ascii="Calibri" w:hAnsi="Calibri" w:cs="Calibri"/>
          <w:vertAlign w:val="superscript"/>
        </w:rPr>
        <w:endnoteReference w:id="149"/>
      </w:r>
    </w:p>
    <w:p w14:paraId="381A0D81" w14:textId="77777777" w:rsidR="00630390" w:rsidRPr="001E0D8B" w:rsidRDefault="00630390" w:rsidP="00B32C57">
      <w:pPr>
        <w:rPr>
          <w:rFonts w:ascii="Calibri" w:hAnsi="Calibri" w:cs="Calibri"/>
        </w:rPr>
      </w:pPr>
    </w:p>
    <w:p w14:paraId="5A84E29B" w14:textId="77777777" w:rsidR="00630390" w:rsidRPr="001E0D8B" w:rsidRDefault="00630390" w:rsidP="00B32C57">
      <w:pPr>
        <w:rPr>
          <w:rFonts w:ascii="Calibri" w:hAnsi="Calibri" w:cs="Calibri"/>
          <w:color w:val="262526"/>
        </w:rPr>
      </w:pPr>
      <w:r w:rsidRPr="001E0D8B">
        <w:rPr>
          <w:rFonts w:ascii="Calibri" w:hAnsi="Calibri" w:cs="Calibri"/>
        </w:rPr>
        <w:t>Similar concerns have been raised about Probabilistic Genotyping DNA tools. Such tools have been increasingly used in an attempt to analyze non-traditional, “uncomplicated” DNA samples – such as where there are multiple contributors, degraded samples or small samples.</w:t>
      </w:r>
      <w:r w:rsidRPr="001E0D8B">
        <w:rPr>
          <w:rFonts w:ascii="Calibri" w:hAnsi="Calibri" w:cs="Calibri"/>
          <w:vertAlign w:val="superscript"/>
        </w:rPr>
        <w:endnoteReference w:id="150"/>
      </w:r>
      <w:r w:rsidRPr="001E0D8B">
        <w:rPr>
          <w:rFonts w:ascii="Calibri" w:hAnsi="Calibri" w:cs="Calibri"/>
        </w:rPr>
        <w:t xml:space="preserve"> In the LCO Commissioned Report, </w:t>
      </w:r>
      <w:r w:rsidRPr="001E0D8B">
        <w:rPr>
          <w:rFonts w:ascii="Calibri" w:hAnsi="Calibri" w:cs="Calibri"/>
          <w:i/>
          <w:iCs/>
          <w:color w:val="262526"/>
        </w:rPr>
        <w:t>AI Case Study: Probabilistic Genotyping DNA Tools in Canadian Courts</w:t>
      </w:r>
      <w:r w:rsidRPr="001E0D8B">
        <w:rPr>
          <w:rFonts w:ascii="Calibri" w:hAnsi="Calibri" w:cs="Calibri"/>
          <w:color w:val="262526"/>
        </w:rPr>
        <w:t>, authors</w:t>
      </w:r>
      <w:r w:rsidRPr="001E0D8B">
        <w:rPr>
          <w:rFonts w:ascii="Calibri" w:hAnsi="Calibri" w:cs="Calibri"/>
        </w:rPr>
        <w:t xml:space="preserve"> Presser and Robertson characterize probabilistic genotyping (PG) tools as </w:t>
      </w:r>
      <w:r w:rsidRPr="00F2115C">
        <w:rPr>
          <w:rFonts w:ascii="Calibri" w:hAnsi="Calibri" w:cs="Calibri"/>
        </w:rPr>
        <w:t>“</w:t>
      </w:r>
      <w:r w:rsidRPr="00F2115C">
        <w:rPr>
          <w:rFonts w:ascii="Calibri" w:hAnsi="Calibri" w:cs="Calibri"/>
          <w:color w:val="262526"/>
        </w:rPr>
        <w:t>the first artificial intelligence tools in regular use in the criminal courts in a number of Canadian jurisdictions.”</w:t>
      </w:r>
      <w:r w:rsidRPr="001E0D8B">
        <w:rPr>
          <w:rFonts w:ascii="Calibri" w:hAnsi="Calibri" w:cs="Calibri"/>
          <w:color w:val="262526"/>
          <w:vertAlign w:val="superscript"/>
        </w:rPr>
        <w:endnoteReference w:id="151"/>
      </w:r>
      <w:r w:rsidRPr="001E0D8B">
        <w:rPr>
          <w:rFonts w:ascii="Calibri" w:hAnsi="Calibri" w:cs="Calibri"/>
          <w:color w:val="262526"/>
        </w:rPr>
        <w:t xml:space="preserve"> In their study they raise concerns about the presence of bias affecting PG outputs:</w:t>
      </w:r>
    </w:p>
    <w:p w14:paraId="36F63EDC" w14:textId="77777777" w:rsidR="00630390" w:rsidRPr="001E0D8B" w:rsidRDefault="00630390" w:rsidP="00B32C57">
      <w:pPr>
        <w:rPr>
          <w:rFonts w:ascii="Calibri" w:hAnsi="Calibri" w:cs="Calibri"/>
          <w:color w:val="262526"/>
        </w:rPr>
      </w:pPr>
    </w:p>
    <w:p w14:paraId="1FD63CA4" w14:textId="77777777" w:rsidR="00630390" w:rsidRPr="00F2115C" w:rsidRDefault="00630390" w:rsidP="00B32C57">
      <w:pPr>
        <w:ind w:left="360"/>
        <w:rPr>
          <w:rFonts w:ascii="Calibri" w:hAnsi="Calibri" w:cs="Calibri"/>
          <w:color w:val="262526"/>
        </w:rPr>
      </w:pPr>
      <w:r w:rsidRPr="00F2115C">
        <w:rPr>
          <w:rFonts w:ascii="Calibri" w:hAnsi="Calibri" w:cs="Calibri"/>
          <w:color w:val="262526"/>
        </w:rPr>
        <w:t>Although PG algorithmic systems appear to be objective, and represent a step forward from purely subjective approaches to the interpretation of complex DNA mixtures, there are many ways in which assumptions by the tool’s developer, the lab, or the analyst factor into their results… In the absence of rigorous, independent, and comparative scientific validation of PG systems, no one knows what the impacts of those assumptions are on the reliability and accuracy of the tool’s results.</w:t>
      </w:r>
      <w:r w:rsidRPr="00F2115C">
        <w:rPr>
          <w:rFonts w:ascii="Calibri" w:hAnsi="Calibri" w:cs="Calibri"/>
          <w:color w:val="262526"/>
          <w:vertAlign w:val="superscript"/>
        </w:rPr>
        <w:endnoteReference w:id="152"/>
      </w:r>
    </w:p>
    <w:p w14:paraId="78E11453" w14:textId="77777777" w:rsidR="00630390" w:rsidRPr="001E0D8B" w:rsidRDefault="00630390" w:rsidP="00B32C57">
      <w:pPr>
        <w:rPr>
          <w:rFonts w:ascii="Calibri" w:hAnsi="Calibri" w:cs="Calibri"/>
          <w:color w:val="262526"/>
        </w:rPr>
      </w:pPr>
    </w:p>
    <w:p w14:paraId="60599AE5" w14:textId="01312DEB" w:rsidR="00630390" w:rsidRPr="00B32C57" w:rsidRDefault="00630390" w:rsidP="00ED71A4">
      <w:pPr>
        <w:rPr>
          <w:rFonts w:ascii="Calibri" w:hAnsi="Calibri" w:cs="Calibri"/>
        </w:rPr>
      </w:pPr>
      <w:r w:rsidRPr="001E0D8B">
        <w:rPr>
          <w:rFonts w:ascii="Calibri" w:hAnsi="Calibri" w:cs="Calibri"/>
        </w:rPr>
        <w:t xml:space="preserve">The criminal justice system has learned to keep careful watch out for bias and hidden assumptions. These problems were at the heart of the injustices perpetrated in the Charles Smith cases. Inquiries following the tragedies outline below have illustrated the importance of science-based tools / examinations being carefully scrutinized for scientific </w:t>
      </w:r>
      <w:r w:rsidR="009B30F9" w:rsidRPr="001E0D8B">
        <w:rPr>
          <w:rFonts w:ascii="Calibri" w:hAnsi="Calibri" w:cs="Calibri"/>
        </w:rPr>
        <w:t>validity and</w:t>
      </w:r>
      <w:r w:rsidRPr="001E0D8B">
        <w:rPr>
          <w:rFonts w:ascii="Calibri" w:hAnsi="Calibri" w:cs="Calibri"/>
        </w:rPr>
        <w:t xml:space="preserve"> well understood so that internal biases and assumptions can be clearly identified. Criminal trials cannot hope to produce reliable results until more work is done to understand, regulate and screen for these issues.</w:t>
      </w:r>
    </w:p>
    <w:p w14:paraId="33DFD10E" w14:textId="77777777" w:rsidR="00630390" w:rsidRPr="00650657" w:rsidRDefault="00630390" w:rsidP="00650657"/>
    <w:p w14:paraId="75C1D96B" w14:textId="651B3542" w:rsidR="00630390" w:rsidRDefault="0045416F" w:rsidP="0045416F">
      <w:pPr>
        <w:pStyle w:val="Heading3"/>
      </w:pPr>
      <w:bookmarkStart w:id="49" w:name="_Toc195597996"/>
      <w:r>
        <w:t xml:space="preserve">3.1.2 </w:t>
      </w:r>
      <w:r w:rsidR="00E567A5">
        <w:t xml:space="preserve">Inherent </w:t>
      </w:r>
      <w:r w:rsidR="00630390" w:rsidRPr="001E0D8B">
        <w:t>Reliability</w:t>
      </w:r>
      <w:bookmarkEnd w:id="47"/>
      <w:bookmarkEnd w:id="49"/>
    </w:p>
    <w:p w14:paraId="7FDE7857" w14:textId="77777777" w:rsidR="0045416F" w:rsidRDefault="0045416F" w:rsidP="0045416F"/>
    <w:p w14:paraId="39D3B942" w14:textId="77777777" w:rsidR="00630390" w:rsidRPr="001E0D8B" w:rsidRDefault="00630390" w:rsidP="001E0D8B">
      <w:pPr>
        <w:rPr>
          <w:rFonts w:ascii="Calibri" w:hAnsi="Calibri" w:cs="Calibri"/>
        </w:rPr>
      </w:pPr>
      <w:r w:rsidRPr="001E0D8B">
        <w:rPr>
          <w:rFonts w:ascii="Calibri" w:hAnsi="Calibri" w:cs="Calibri"/>
        </w:rPr>
        <w:t>A key challenge posed by the introduction of AI in criminal trials is the risk that it will be too-easily accepted as reliable, or that limitations in the evidence’s reliability are resistant to exposure. This can be thought of as the “inherent reliability” problem of AI evidence. Problems with inherent reliability / unreliability are distinct from some of the challenges reviewed below – systemic issues of procedural fairness that prevent the thorough testing of AI evidence. The problem of inherent reliability is narrower. It speaks to the ways in which reliability problems in evidence can be difficult to identify and/or expose.</w:t>
      </w:r>
    </w:p>
    <w:p w14:paraId="0A76EEFF" w14:textId="77777777" w:rsidR="00630390" w:rsidRPr="001E0D8B" w:rsidRDefault="00630390" w:rsidP="001E0D8B">
      <w:pPr>
        <w:rPr>
          <w:rFonts w:ascii="Calibri" w:hAnsi="Calibri" w:cs="Calibri"/>
        </w:rPr>
      </w:pPr>
    </w:p>
    <w:p w14:paraId="0FBB7432" w14:textId="7CE030BF" w:rsidR="00630390" w:rsidRPr="001E0D8B" w:rsidRDefault="00630390" w:rsidP="001E0D8B">
      <w:pPr>
        <w:rPr>
          <w:rFonts w:ascii="Calibri" w:hAnsi="Calibri" w:cs="Calibri"/>
        </w:rPr>
      </w:pPr>
      <w:r w:rsidRPr="001E0D8B">
        <w:rPr>
          <w:rFonts w:ascii="Calibri" w:hAnsi="Calibri" w:cs="Calibri"/>
        </w:rPr>
        <w:t xml:space="preserve">A helpful analogy can be drawn from the hearsay context to understand the distinction. </w:t>
      </w:r>
      <w:r w:rsidR="006B1543" w:rsidRPr="001E0D8B">
        <w:rPr>
          <w:rFonts w:ascii="Calibri" w:hAnsi="Calibri" w:cs="Calibri"/>
        </w:rPr>
        <w:t>Hearsay is evidence generated out of court that is being adduced by a party for the truth of its contents.</w:t>
      </w:r>
      <w:r w:rsidR="006B1543">
        <w:rPr>
          <w:rFonts w:ascii="Calibri" w:hAnsi="Calibri" w:cs="Calibri"/>
        </w:rPr>
        <w:t xml:space="preserve"> </w:t>
      </w:r>
      <w:r w:rsidR="006B1543" w:rsidRPr="001E0D8B">
        <w:rPr>
          <w:rFonts w:ascii="Calibri" w:hAnsi="Calibri" w:cs="Calibri"/>
        </w:rPr>
        <w:t>Hearsay, like AI evidence, has been recognized as containing inherent dangers.</w:t>
      </w:r>
      <w:r w:rsidR="006B1543">
        <w:rPr>
          <w:rFonts w:ascii="Calibri" w:hAnsi="Calibri" w:cs="Calibri"/>
        </w:rPr>
        <w:t xml:space="preserve"> Unlike AI evidence, hearsay has clear </w:t>
      </w:r>
      <w:r w:rsidR="00B94037">
        <w:rPr>
          <w:rFonts w:ascii="Calibri" w:hAnsi="Calibri" w:cs="Calibri"/>
        </w:rPr>
        <w:t>means</w:t>
      </w:r>
      <w:r w:rsidR="006B1543">
        <w:rPr>
          <w:rFonts w:ascii="Calibri" w:hAnsi="Calibri" w:cs="Calibri"/>
        </w:rPr>
        <w:t xml:space="preserve"> to resolve its inherent </w:t>
      </w:r>
      <w:r w:rsidR="006B1543">
        <w:rPr>
          <w:rFonts w:ascii="Calibri" w:hAnsi="Calibri" w:cs="Calibri"/>
        </w:rPr>
        <w:lastRenderedPageBreak/>
        <w:t xml:space="preserve">deficiencies. For instance, in a hypothetical </w:t>
      </w:r>
      <w:r w:rsidRPr="001E0D8B">
        <w:rPr>
          <w:rFonts w:ascii="Calibri" w:hAnsi="Calibri" w:cs="Calibri"/>
        </w:rPr>
        <w:t xml:space="preserve">prosecution for </w:t>
      </w:r>
      <w:r w:rsidR="006B1543">
        <w:rPr>
          <w:rFonts w:ascii="Calibri" w:hAnsi="Calibri" w:cs="Calibri"/>
        </w:rPr>
        <w:t xml:space="preserve">a </w:t>
      </w:r>
      <w:r w:rsidRPr="001E0D8B">
        <w:rPr>
          <w:rFonts w:ascii="Calibri" w:hAnsi="Calibri" w:cs="Calibri"/>
        </w:rPr>
        <w:t>robbery</w:t>
      </w:r>
      <w:r w:rsidR="006B1543">
        <w:rPr>
          <w:rFonts w:ascii="Calibri" w:hAnsi="Calibri" w:cs="Calibri"/>
        </w:rPr>
        <w:t>, t</w:t>
      </w:r>
      <w:r w:rsidRPr="001E0D8B">
        <w:rPr>
          <w:rFonts w:ascii="Calibri" w:hAnsi="Calibri" w:cs="Calibri"/>
        </w:rPr>
        <w:t xml:space="preserve">he Crown </w:t>
      </w:r>
      <w:r w:rsidR="006B1543">
        <w:rPr>
          <w:rFonts w:ascii="Calibri" w:hAnsi="Calibri" w:cs="Calibri"/>
        </w:rPr>
        <w:t xml:space="preserve">may seek to </w:t>
      </w:r>
      <w:r w:rsidRPr="001E0D8B">
        <w:rPr>
          <w:rFonts w:ascii="Calibri" w:hAnsi="Calibri" w:cs="Calibri"/>
        </w:rPr>
        <w:t xml:space="preserve">introduce a </w:t>
      </w:r>
      <w:r w:rsidR="006B1543">
        <w:rPr>
          <w:rFonts w:ascii="Calibri" w:hAnsi="Calibri" w:cs="Calibri"/>
        </w:rPr>
        <w:t xml:space="preserve">witness </w:t>
      </w:r>
      <w:r w:rsidRPr="001E0D8B">
        <w:rPr>
          <w:rFonts w:ascii="Calibri" w:hAnsi="Calibri" w:cs="Calibri"/>
        </w:rPr>
        <w:t xml:space="preserve">statement identifying the accused as a robber. The Crown indicates it is introducing the statement to prove the accused was the robber. If the Crown did not call the author of the statement as a witness, that witness statement would be hearsay. The reliability of </w:t>
      </w:r>
      <w:r w:rsidR="0059638E">
        <w:rPr>
          <w:rFonts w:ascii="Calibri" w:hAnsi="Calibri" w:cs="Calibri"/>
        </w:rPr>
        <w:t>such hearsay</w:t>
      </w:r>
      <w:r w:rsidRPr="001E0D8B">
        <w:rPr>
          <w:rFonts w:ascii="Calibri" w:hAnsi="Calibri" w:cs="Calibri"/>
        </w:rPr>
        <w:t xml:space="preserve"> evidence is suspect, and a party’s ability to test the reliability of the evidence is restricted owing to the absence of the declaring witness. </w:t>
      </w:r>
    </w:p>
    <w:p w14:paraId="2565678D" w14:textId="77777777" w:rsidR="00630390" w:rsidRPr="001E0D8B" w:rsidRDefault="00630390" w:rsidP="001E0D8B">
      <w:pPr>
        <w:rPr>
          <w:rFonts w:ascii="Calibri" w:hAnsi="Calibri" w:cs="Calibri"/>
        </w:rPr>
      </w:pPr>
    </w:p>
    <w:p w14:paraId="3E424757" w14:textId="77777777" w:rsidR="00630390" w:rsidRPr="001E0D8B" w:rsidRDefault="00630390" w:rsidP="001E0D8B">
      <w:pPr>
        <w:rPr>
          <w:rFonts w:ascii="Calibri" w:hAnsi="Calibri" w:cs="Calibri"/>
        </w:rPr>
      </w:pPr>
      <w:r w:rsidRPr="001E0D8B">
        <w:rPr>
          <w:rFonts w:ascii="Calibri" w:hAnsi="Calibri" w:cs="Calibri"/>
        </w:rPr>
        <w:t>Our courts have nonetheless identified means of testing the reliability of hearsay evidence to determine whether it is sufficiently reliable to be admitted:</w:t>
      </w:r>
    </w:p>
    <w:p w14:paraId="0FB7BA83" w14:textId="77777777" w:rsidR="00630390" w:rsidRPr="001E0D8B" w:rsidRDefault="00630390" w:rsidP="001E0D8B">
      <w:pPr>
        <w:rPr>
          <w:rFonts w:ascii="Calibri" w:hAnsi="Calibri" w:cs="Calibri"/>
        </w:rPr>
      </w:pPr>
    </w:p>
    <w:p w14:paraId="167AE844" w14:textId="06BF20B1" w:rsidR="00630390" w:rsidRPr="00620F2D" w:rsidRDefault="00630390" w:rsidP="001E0D8B">
      <w:pPr>
        <w:ind w:left="720"/>
        <w:rPr>
          <w:rFonts w:ascii="Calibri" w:hAnsi="Calibri" w:cs="Calibri"/>
        </w:rPr>
      </w:pPr>
      <w:r w:rsidRPr="00620F2D">
        <w:rPr>
          <w:rFonts w:ascii="Calibri" w:hAnsi="Calibri" w:cs="Calibri"/>
        </w:rPr>
        <w:t>To determine whether a hearsay statement is admissible, the trial judge assesses the statement’s threshold reliability. Threshold reliability is established when the hearsay “is sufficiently reliable to overcome the dangers arising from the difficulty of testing it</w:t>
      </w:r>
      <w:r w:rsidR="0059638E">
        <w:rPr>
          <w:rFonts w:ascii="Calibri" w:hAnsi="Calibri" w:cs="Calibri"/>
        </w:rPr>
        <w:t>.</w:t>
      </w:r>
      <w:r w:rsidRPr="00620F2D">
        <w:rPr>
          <w:rFonts w:ascii="Calibri" w:hAnsi="Calibri" w:cs="Calibri"/>
        </w:rPr>
        <w:t>” These dangers arise notably due to the absence of contemporaneous cross-examination of the hearsay declarant before the trier of fact. In assessing threshold reliability, the trial judge must identify the specific hearsay dangers presented by the statement and consider any means of overcoming them. The dangers relate to the difficulties of assessing the declarant’s perception, memory, narration, or sincerity, and should be defined with precision to permit a realistic evaluation of whether they have been overcome.</w:t>
      </w:r>
    </w:p>
    <w:p w14:paraId="58012479" w14:textId="2905DDBF" w:rsidR="00630390" w:rsidRPr="00620F2D" w:rsidRDefault="00620F2D" w:rsidP="001E0D8B">
      <w:pPr>
        <w:ind w:left="720"/>
        <w:rPr>
          <w:rFonts w:ascii="Calibri" w:hAnsi="Calibri" w:cs="Calibri"/>
        </w:rPr>
      </w:pPr>
      <w:r w:rsidRPr="00620F2D">
        <w:rPr>
          <w:rFonts w:ascii="Calibri" w:hAnsi="Calibri" w:cs="Calibri"/>
        </w:rPr>
        <w:t>[</w:t>
      </w:r>
      <w:r w:rsidR="00630390" w:rsidRPr="00620F2D">
        <w:rPr>
          <w:rFonts w:ascii="Calibri" w:hAnsi="Calibri" w:cs="Calibri"/>
        </w:rPr>
        <w:t>…</w:t>
      </w:r>
      <w:r w:rsidRPr="00620F2D">
        <w:rPr>
          <w:rFonts w:ascii="Calibri" w:hAnsi="Calibri" w:cs="Calibri"/>
        </w:rPr>
        <w:t>]</w:t>
      </w:r>
    </w:p>
    <w:p w14:paraId="5A50407B" w14:textId="77777777" w:rsidR="00630390" w:rsidRPr="001E0D8B" w:rsidRDefault="00630390" w:rsidP="001E0D8B">
      <w:pPr>
        <w:ind w:left="720"/>
        <w:rPr>
          <w:rFonts w:ascii="Calibri" w:hAnsi="Calibri" w:cs="Calibri"/>
          <w:i/>
          <w:iCs/>
        </w:rPr>
      </w:pPr>
      <w:r w:rsidRPr="00620F2D">
        <w:rPr>
          <w:rFonts w:ascii="Calibri" w:hAnsi="Calibri" w:cs="Calibri"/>
        </w:rPr>
        <w:t>The hearsay dangers can be overcome and threshold reliability can be established by showing that (1) there are adequate substitutes for testing truth and accuracy (procedural reliability) or (2) there are sufficient circumstantial or evidentiary guarantees that the statement is inherently trustworthy (substantive reliability).</w:t>
      </w:r>
      <w:r w:rsidRPr="00620F2D">
        <w:rPr>
          <w:rFonts w:ascii="Calibri" w:hAnsi="Calibri" w:cs="Calibri"/>
          <w:vertAlign w:val="superscript"/>
        </w:rPr>
        <w:endnoteReference w:id="153"/>
      </w:r>
    </w:p>
    <w:p w14:paraId="53C68A3F" w14:textId="77777777" w:rsidR="00630390" w:rsidRPr="001E0D8B" w:rsidRDefault="00630390" w:rsidP="001E0D8B">
      <w:pPr>
        <w:ind w:left="720"/>
        <w:rPr>
          <w:rFonts w:ascii="Calibri" w:hAnsi="Calibri" w:cs="Calibri"/>
          <w:i/>
          <w:iCs/>
        </w:rPr>
      </w:pPr>
    </w:p>
    <w:p w14:paraId="5CCDFC00" w14:textId="77777777" w:rsidR="00B94037" w:rsidRDefault="00630390" w:rsidP="001E0D8B">
      <w:pPr>
        <w:rPr>
          <w:rFonts w:ascii="Calibri" w:hAnsi="Calibri" w:cs="Calibri"/>
        </w:rPr>
      </w:pPr>
      <w:r w:rsidRPr="001E0D8B">
        <w:rPr>
          <w:rFonts w:ascii="Calibri" w:hAnsi="Calibri" w:cs="Calibri"/>
        </w:rPr>
        <w:t>As with hearsay, there may be ways of overcoming the inherent reliability dangers of introducing AI evidence. But we cannot fashion a means of doing so if those dangers are left largely unknown. There will be strong proponents of AI use given the efficiencies it provides. Proponents of AI</w:t>
      </w:r>
      <w:r w:rsidR="00B94037">
        <w:rPr>
          <w:rFonts w:ascii="Calibri" w:hAnsi="Calibri" w:cs="Calibri"/>
        </w:rPr>
        <w:t xml:space="preserve"> </w:t>
      </w:r>
      <w:r w:rsidRPr="001E0D8B">
        <w:rPr>
          <w:rFonts w:ascii="Calibri" w:hAnsi="Calibri" w:cs="Calibri"/>
        </w:rPr>
        <w:t>will no doubt claim that the evidence generate</w:t>
      </w:r>
      <w:r w:rsidR="00B94037">
        <w:rPr>
          <w:rFonts w:ascii="Calibri" w:hAnsi="Calibri" w:cs="Calibri"/>
        </w:rPr>
        <w:t>d</w:t>
      </w:r>
      <w:r w:rsidRPr="001E0D8B">
        <w:rPr>
          <w:rFonts w:ascii="Calibri" w:hAnsi="Calibri" w:cs="Calibri"/>
        </w:rPr>
        <w:t xml:space="preserve"> are very reliable.</w:t>
      </w:r>
    </w:p>
    <w:p w14:paraId="4E8F3B5A" w14:textId="77777777" w:rsidR="00B94037" w:rsidRDefault="00B94037" w:rsidP="001E0D8B">
      <w:pPr>
        <w:rPr>
          <w:rFonts w:ascii="Calibri" w:hAnsi="Calibri" w:cs="Calibri"/>
        </w:rPr>
      </w:pPr>
    </w:p>
    <w:p w14:paraId="628B1E96" w14:textId="4DD15212" w:rsidR="00630390" w:rsidRPr="001E0D8B" w:rsidRDefault="00630390" w:rsidP="001E0D8B">
      <w:pPr>
        <w:rPr>
          <w:rFonts w:ascii="Calibri" w:hAnsi="Calibri" w:cs="Calibri"/>
        </w:rPr>
      </w:pPr>
      <w:r w:rsidRPr="001E0D8B">
        <w:rPr>
          <w:rFonts w:ascii="Calibri" w:hAnsi="Calibri" w:cs="Calibri"/>
        </w:rPr>
        <w:t>It is important that the criminal justice system remembers that such claims have been made before.</w:t>
      </w:r>
      <w:r w:rsidR="00B94037">
        <w:rPr>
          <w:rFonts w:ascii="Calibri" w:hAnsi="Calibri" w:cs="Calibri"/>
        </w:rPr>
        <w:t xml:space="preserve"> </w:t>
      </w:r>
      <w:r w:rsidRPr="001E0D8B">
        <w:rPr>
          <w:rFonts w:ascii="Calibri" w:hAnsi="Calibri" w:cs="Calibri"/>
        </w:rPr>
        <w:t>Indeed, the history of criminal litigation is haunted by such claims. The introduction of deceptively unreliable evidence has a very troubling history in the criminal justice system:</w:t>
      </w:r>
    </w:p>
    <w:p w14:paraId="0E213C35" w14:textId="77777777" w:rsidR="00630390" w:rsidRPr="001E0D8B" w:rsidRDefault="00630390" w:rsidP="001E0D8B">
      <w:pPr>
        <w:rPr>
          <w:rFonts w:ascii="Calibri" w:hAnsi="Calibri" w:cs="Calibri"/>
        </w:rPr>
      </w:pPr>
    </w:p>
    <w:p w14:paraId="2C0F7D52" w14:textId="11E46E4D" w:rsidR="00630390" w:rsidRPr="001E0D8B" w:rsidRDefault="00630390" w:rsidP="001E0D8B">
      <w:pPr>
        <w:numPr>
          <w:ilvl w:val="2"/>
          <w:numId w:val="123"/>
        </w:numPr>
        <w:spacing w:after="160" w:line="259" w:lineRule="auto"/>
        <w:contextualSpacing/>
        <w:rPr>
          <w:rFonts w:ascii="Calibri" w:hAnsi="Calibri" w:cs="Calibri"/>
        </w:rPr>
      </w:pPr>
      <w:r w:rsidRPr="001E0D8B">
        <w:rPr>
          <w:rFonts w:ascii="Calibri" w:hAnsi="Calibri" w:cs="Calibri"/>
          <w:b/>
          <w:bCs/>
        </w:rPr>
        <w:t xml:space="preserve">Morin Inquiry: </w:t>
      </w:r>
      <w:r w:rsidRPr="001E0D8B">
        <w:rPr>
          <w:rFonts w:ascii="Calibri" w:hAnsi="Calibri" w:cs="Calibri"/>
        </w:rPr>
        <w:t xml:space="preserve">Guy Paul Morin was wrongfully convicted for the murder of nine-year-old Christine Jessop following her October 3, 1984, disappearance after being dropped off at home by the school bus. He was exonerated in January </w:t>
      </w:r>
      <w:r w:rsidRPr="001E0D8B">
        <w:rPr>
          <w:rFonts w:ascii="Calibri" w:hAnsi="Calibri" w:cs="Calibri"/>
        </w:rPr>
        <w:lastRenderedPageBreak/>
        <w:t>1995 when DNA found at the crime scene was revealed not to be his. On June 26, 1996, the Lieutenant Governor ordered that a public inquiry be conducted into the causes of Guy’s wrongful conviction.</w:t>
      </w:r>
      <w:r w:rsidR="0059638E">
        <w:rPr>
          <w:rFonts w:ascii="Calibri" w:hAnsi="Calibri" w:cs="Calibri"/>
        </w:rPr>
        <w:br/>
      </w:r>
      <w:r w:rsidR="0059638E">
        <w:rPr>
          <w:rFonts w:ascii="Calibri" w:hAnsi="Calibri" w:cs="Calibri"/>
        </w:rPr>
        <w:br/>
      </w:r>
      <w:r w:rsidRPr="001E0D8B">
        <w:rPr>
          <w:rFonts w:ascii="Calibri" w:hAnsi="Calibri" w:cs="Calibri"/>
        </w:rPr>
        <w:t xml:space="preserve">The resulting report, released in April 1998, identified numerous factors that had contributed to what was indisputably an egregious miscarriage of justice. Chief among those factors was the use of hair and fibre evidence at the Morin trial. The inquiry found this to be essentially bad science </w:t>
      </w:r>
      <w:r w:rsidR="006C5EC4" w:rsidRPr="001E0D8B">
        <w:rPr>
          <w:rFonts w:ascii="Calibri" w:hAnsi="Calibri" w:cs="Calibri"/>
        </w:rPr>
        <w:t>and</w:t>
      </w:r>
      <w:r w:rsidRPr="001E0D8B">
        <w:rPr>
          <w:rFonts w:ascii="Calibri" w:hAnsi="Calibri" w:cs="Calibri"/>
        </w:rPr>
        <w:t xml:space="preserve"> hair microscopy evidence has been accepted as insufficiently reliable to be used in criminal cases due to its inherent frailties. </w:t>
      </w:r>
      <w:r w:rsidR="00F724C6">
        <w:rPr>
          <w:rFonts w:ascii="Calibri" w:hAnsi="Calibri" w:cs="Calibri"/>
        </w:rPr>
        <w:t>Th</w:t>
      </w:r>
      <w:r w:rsidRPr="001E0D8B">
        <w:rPr>
          <w:rFonts w:ascii="Calibri" w:hAnsi="Calibri" w:cs="Calibri"/>
        </w:rPr>
        <w:t>e inherent problems of this evidence were compounded by the failure on the part of the forensic scientist who analyze</w:t>
      </w:r>
      <w:r w:rsidR="00F724C6">
        <w:rPr>
          <w:rFonts w:ascii="Calibri" w:hAnsi="Calibri" w:cs="Calibri"/>
        </w:rPr>
        <w:t>d</w:t>
      </w:r>
      <w:r w:rsidRPr="001E0D8B">
        <w:rPr>
          <w:rFonts w:ascii="Calibri" w:hAnsi="Calibri" w:cs="Calibri"/>
        </w:rPr>
        <w:t xml:space="preserve"> the hairs to adequately explain the limitations of these findings. A further factor contributing to Morin’s wrongful conviction was the uncareful reliance on jailhouse informant witnesses, who falsely testified to having heard Morin confess while he was in custody. Both the hair and fiber evidence, as well as the jailhouse informant evidence, are examples of miscarriages of justice being occasioned by the introduction of evidence thought to be </w:t>
      </w:r>
      <w:r w:rsidR="006C5EC4" w:rsidRPr="001E0D8B">
        <w:rPr>
          <w:rFonts w:ascii="Calibri" w:hAnsi="Calibri" w:cs="Calibri"/>
        </w:rPr>
        <w:t>reliable but</w:t>
      </w:r>
      <w:r w:rsidRPr="001E0D8B">
        <w:rPr>
          <w:rFonts w:ascii="Calibri" w:hAnsi="Calibri" w:cs="Calibri"/>
        </w:rPr>
        <w:t xml:space="preserve"> proven later otherwise.</w:t>
      </w:r>
      <w:r w:rsidRPr="001E0D8B">
        <w:rPr>
          <w:rFonts w:ascii="Calibri" w:hAnsi="Calibri" w:cs="Calibri"/>
          <w:vertAlign w:val="superscript"/>
        </w:rPr>
        <w:endnoteReference w:id="154"/>
      </w:r>
    </w:p>
    <w:p w14:paraId="694771E0" w14:textId="77777777" w:rsidR="00630390" w:rsidRPr="001E0D8B" w:rsidRDefault="00630390" w:rsidP="001E0D8B">
      <w:pPr>
        <w:ind w:left="720"/>
        <w:contextualSpacing/>
        <w:rPr>
          <w:rFonts w:ascii="Calibri" w:hAnsi="Calibri" w:cs="Calibri"/>
        </w:rPr>
      </w:pPr>
    </w:p>
    <w:p w14:paraId="74E89C54" w14:textId="7B1D8610" w:rsidR="00630390" w:rsidRPr="001E0D8B" w:rsidRDefault="00630390" w:rsidP="001E0D8B">
      <w:pPr>
        <w:numPr>
          <w:ilvl w:val="2"/>
          <w:numId w:val="123"/>
        </w:numPr>
        <w:spacing w:after="160" w:line="259" w:lineRule="auto"/>
        <w:contextualSpacing/>
        <w:rPr>
          <w:rFonts w:ascii="Calibri" w:hAnsi="Calibri" w:cs="Calibri"/>
        </w:rPr>
      </w:pPr>
      <w:r w:rsidRPr="001E0D8B">
        <w:rPr>
          <w:rFonts w:ascii="Calibri" w:hAnsi="Calibri" w:cs="Calibri"/>
          <w:b/>
          <w:bCs/>
        </w:rPr>
        <w:t xml:space="preserve">Goudge Inquiry: </w:t>
      </w:r>
      <w:r w:rsidRPr="001E0D8B">
        <w:rPr>
          <w:rFonts w:ascii="Calibri" w:hAnsi="Calibri" w:cs="Calibri"/>
        </w:rPr>
        <w:t>In October of 1995 Tammy Marquardt was wrongfully convicted for the death of her first child, Kenneth, then 2½ years old. At trial she testified that she had found Kenneth tangled in the sheets of his bed in obvious distress. 911 was called but he tragically died days later. Key to her wrongful conviction was the testimony of Dr. Charles Smith. At that time, Smith was the leading expert in Canada on criminally suspicious pediatric deaths. He was the Director of Ontario Pediatric Forensic Pathology Unit at SickKids Hospital, frequently lectured on pediatric forensic pathology, including to Crown counsel and police, and was regularly called by the Crown to give pediatric forensic pathology evidence in criminal trials. Smith performed the autopsy on Kenneth. He testified for the Crown that Kenneth was likely strangled or smothered, in support of the Crown’s theory that Marquardt suffocated her son in a moment of frustration. Unsurprisingly, the jury accepted Smith’s evidence and Marquardt was convicted. She languished in prison for 13 years before growing calls of concern over Smith’s evidence in this and other case led to reviews of his cases, and Marquardt’s eventual release and exoneration.</w:t>
      </w:r>
      <w:r w:rsidR="0059638E">
        <w:rPr>
          <w:rFonts w:ascii="Calibri" w:hAnsi="Calibri" w:cs="Calibri"/>
        </w:rPr>
        <w:br/>
      </w:r>
      <w:r w:rsidR="0059638E">
        <w:rPr>
          <w:rFonts w:ascii="Calibri" w:hAnsi="Calibri" w:cs="Calibri"/>
        </w:rPr>
        <w:br/>
      </w:r>
      <w:r w:rsidRPr="001E0D8B">
        <w:rPr>
          <w:rFonts w:ascii="Calibri" w:hAnsi="Calibri" w:cs="Calibri"/>
        </w:rPr>
        <w:t>As with the Morin case, a public inquiry was ordered – the Inquiry into Pediatric Forensic Pathology in Ontario, or “the Goudge Inquiry</w:t>
      </w:r>
      <w:r w:rsidR="0059638E">
        <w:rPr>
          <w:rFonts w:ascii="Calibri" w:hAnsi="Calibri" w:cs="Calibri"/>
        </w:rPr>
        <w:t>.</w:t>
      </w:r>
      <w:r w:rsidRPr="001E0D8B">
        <w:rPr>
          <w:rFonts w:ascii="Calibri" w:hAnsi="Calibri" w:cs="Calibri"/>
        </w:rPr>
        <w:t>” Experts reviewing the Marquardt case subsequently called Smith’s findings “illogical and completely against scientific evidence-based reasoning</w:t>
      </w:r>
      <w:r w:rsidR="0059638E">
        <w:rPr>
          <w:rFonts w:ascii="Calibri" w:hAnsi="Calibri" w:cs="Calibri"/>
        </w:rPr>
        <w:t>,</w:t>
      </w:r>
      <w:r w:rsidRPr="001E0D8B">
        <w:rPr>
          <w:rFonts w:ascii="Calibri" w:hAnsi="Calibri" w:cs="Calibri"/>
        </w:rPr>
        <w:t xml:space="preserve">” and Smith’s evidence at the Marquardt trial unprofessional and misleading. Similar investigation would come </w:t>
      </w:r>
      <w:r w:rsidRPr="001E0D8B">
        <w:rPr>
          <w:rFonts w:ascii="Calibri" w:hAnsi="Calibri" w:cs="Calibri"/>
        </w:rPr>
        <w:lastRenderedPageBreak/>
        <w:t>to reveal that the Marquardt case was the tip of a very large iceberg. It was determined that many of Smith’s cases featured unscientific and unsupported concludes resulting in wrongful convictions subsequently reversed on appeal. While the Goudge Inquiry focussed on Ontario’s pediatric forensic pathology system more broadly, it reached damning conclusions about the now-disgraced Charles Smith, and the role his deceptively unreliable evidence played in many wrongful convictions.</w:t>
      </w:r>
      <w:r w:rsidRPr="001E0D8B">
        <w:rPr>
          <w:rFonts w:ascii="Calibri" w:hAnsi="Calibri" w:cs="Calibri"/>
          <w:vertAlign w:val="superscript"/>
        </w:rPr>
        <w:endnoteReference w:id="155"/>
      </w:r>
    </w:p>
    <w:p w14:paraId="1AC22952" w14:textId="77777777" w:rsidR="00630390" w:rsidRPr="001E0D8B" w:rsidRDefault="00630390" w:rsidP="001E0D8B">
      <w:pPr>
        <w:ind w:left="720"/>
        <w:contextualSpacing/>
        <w:rPr>
          <w:rFonts w:ascii="Calibri" w:hAnsi="Calibri" w:cs="Calibri"/>
        </w:rPr>
      </w:pPr>
    </w:p>
    <w:p w14:paraId="25B7EA5C" w14:textId="74CC9A32" w:rsidR="00630390" w:rsidRPr="001E0D8B" w:rsidRDefault="00630390" w:rsidP="001E0D8B">
      <w:pPr>
        <w:numPr>
          <w:ilvl w:val="2"/>
          <w:numId w:val="123"/>
        </w:numPr>
        <w:spacing w:after="160" w:line="259" w:lineRule="auto"/>
        <w:contextualSpacing/>
        <w:rPr>
          <w:rFonts w:ascii="Calibri" w:hAnsi="Calibri" w:cs="Calibri"/>
        </w:rPr>
      </w:pPr>
      <w:r w:rsidRPr="001E0D8B">
        <w:rPr>
          <w:rFonts w:ascii="Calibri" w:hAnsi="Calibri" w:cs="Calibri"/>
          <w:b/>
          <w:bCs/>
        </w:rPr>
        <w:t xml:space="preserve">Motherisk Commission: </w:t>
      </w:r>
      <w:r w:rsidRPr="001E0D8B">
        <w:rPr>
          <w:rFonts w:ascii="Calibri" w:hAnsi="Calibri" w:cs="Calibri"/>
        </w:rPr>
        <w:t>Between 2005 and 2015, the Motherisk Laboratory at the Hospital for Sick Children in Toronto tested more than 24,000 hair samples for drugs and alcohol, from over 16,000 different individuals, for child protection purposes. A subsequent Independent Review in 2015 found that this testing was “inadequate and unreliable for use in child protection and criminal proceedings” and that the use of this evidence had “serious implications for the fairness of those proceedings.”</w:t>
      </w:r>
      <w:r w:rsidR="0059638E">
        <w:rPr>
          <w:rFonts w:ascii="Calibri" w:hAnsi="Calibri" w:cs="Calibri"/>
        </w:rPr>
        <w:br/>
      </w:r>
      <w:r w:rsidR="0059638E">
        <w:rPr>
          <w:rFonts w:ascii="Calibri" w:hAnsi="Calibri" w:cs="Calibri"/>
        </w:rPr>
        <w:br/>
      </w:r>
      <w:r w:rsidRPr="001E0D8B">
        <w:rPr>
          <w:rFonts w:ascii="Calibri" w:hAnsi="Calibri" w:cs="Calibri"/>
        </w:rPr>
        <w:t>A key finding in the Report of the Motherisk Commission was that justice actors were relying on expert evidence even though that evidence had not been proven reliable in every case. This prompted the Commission to make recommendations about the need for regulation, accreditation standards for forensic laboratories, and generally that “partners within the legal system must take additional steps to ensure that test results are reliable before CASs and the court use them to make decisions about children and their families. The Commission also highlighted “the important role that judges play as gatekeepers” and recommended “enhanced judicial education on this role in the child protection context.”</w:t>
      </w:r>
      <w:r w:rsidRPr="001E0D8B">
        <w:rPr>
          <w:rFonts w:ascii="Calibri" w:hAnsi="Calibri" w:cs="Calibri"/>
          <w:vertAlign w:val="superscript"/>
        </w:rPr>
        <w:endnoteReference w:id="156"/>
      </w:r>
    </w:p>
    <w:p w14:paraId="1BA68E69" w14:textId="77777777" w:rsidR="00630390" w:rsidRPr="001E0D8B" w:rsidRDefault="00630390" w:rsidP="001E0D8B">
      <w:pPr>
        <w:spacing w:after="160" w:line="259" w:lineRule="auto"/>
        <w:ind w:left="720"/>
        <w:contextualSpacing/>
        <w:rPr>
          <w:rFonts w:ascii="Calibri" w:hAnsi="Calibri" w:cs="Calibri"/>
        </w:rPr>
      </w:pPr>
    </w:p>
    <w:p w14:paraId="5FB21474" w14:textId="77777777" w:rsidR="00630390" w:rsidRPr="001E0D8B" w:rsidRDefault="00630390" w:rsidP="001E0D8B">
      <w:pPr>
        <w:rPr>
          <w:rFonts w:ascii="Calibri" w:hAnsi="Calibri" w:cs="Calibri"/>
        </w:rPr>
      </w:pPr>
      <w:r w:rsidRPr="001E0D8B">
        <w:rPr>
          <w:rFonts w:ascii="Calibri" w:hAnsi="Calibri" w:cs="Calibri"/>
        </w:rPr>
        <w:t xml:space="preserve">The above examples are troubling because they illustrate injustices that have occurred where evidence was either accepted as infallible, or the tools typically employed to gauge and challenge the reliability of evidence were largely ineffective. The evidence responsible for the miscarriages of justice reviewed above were, by and large, subjected to cross-examination, expert admissibility </w:t>
      </w:r>
      <w:r w:rsidRPr="001E0D8B">
        <w:rPr>
          <w:rFonts w:ascii="Calibri" w:hAnsi="Calibri" w:cs="Calibri"/>
          <w:i/>
          <w:iCs/>
        </w:rPr>
        <w:t>voir dires</w:t>
      </w:r>
      <w:r w:rsidRPr="001E0D8B">
        <w:rPr>
          <w:rFonts w:ascii="Calibri" w:hAnsi="Calibri" w:cs="Calibri"/>
        </w:rPr>
        <w:t>, and/or judicial oversight. However, in the case of the forensic scientist in the Morin case, and Charles Smith, these tools failed to reveal the inherently frailties in their evidence – frailties that would be so clearly exposed years later.</w:t>
      </w:r>
    </w:p>
    <w:p w14:paraId="4DC79CD4" w14:textId="77777777" w:rsidR="00630390" w:rsidRPr="001E0D8B" w:rsidRDefault="00630390" w:rsidP="001E0D8B">
      <w:pPr>
        <w:rPr>
          <w:rFonts w:ascii="Calibri" w:hAnsi="Calibri" w:cs="Calibri"/>
        </w:rPr>
      </w:pPr>
    </w:p>
    <w:p w14:paraId="7DD84010" w14:textId="77777777" w:rsidR="00630390" w:rsidRPr="001E0D8B" w:rsidRDefault="00630390" w:rsidP="001E0D8B">
      <w:pPr>
        <w:rPr>
          <w:rFonts w:ascii="Calibri" w:hAnsi="Calibri" w:cs="Calibri"/>
        </w:rPr>
      </w:pPr>
      <w:r w:rsidRPr="001E0D8B">
        <w:rPr>
          <w:rFonts w:ascii="Calibri" w:hAnsi="Calibri" w:cs="Calibri"/>
        </w:rPr>
        <w:t xml:space="preserve">These cases instruct that evidence which appears inherently reliable may be anything but. They also illustrate that the inherent unreliability of evidence may be highly resistant to the tools employed by courts to gauge trustworthiness and accuracy. The above examples also speak volumes about what is at stake. When evidence is introduced into a criminal trial, the impact of mistakes can be devastating – measured in years of wrongful incarceration. </w:t>
      </w:r>
    </w:p>
    <w:p w14:paraId="6C1E97DA" w14:textId="77777777" w:rsidR="00630390" w:rsidRPr="001E0D8B" w:rsidRDefault="00630390" w:rsidP="001E0D8B">
      <w:pPr>
        <w:rPr>
          <w:rFonts w:ascii="Calibri" w:hAnsi="Calibri" w:cs="Calibri"/>
        </w:rPr>
      </w:pPr>
    </w:p>
    <w:p w14:paraId="2A380E73" w14:textId="52F96280" w:rsidR="00630390" w:rsidRPr="001E0D8B" w:rsidRDefault="00630390" w:rsidP="001E0D8B">
      <w:pPr>
        <w:rPr>
          <w:rFonts w:ascii="Calibri" w:hAnsi="Calibri" w:cs="Calibri"/>
        </w:rPr>
      </w:pPr>
      <w:r w:rsidRPr="001E0D8B">
        <w:rPr>
          <w:rFonts w:ascii="Calibri" w:hAnsi="Calibri" w:cs="Calibri"/>
        </w:rPr>
        <w:t>These lessons must be kept front-of-mind as the criminal justice system turns to confront the admission of AI evidence at trial. As with the examples above, AI enabled evidence has been criticized as having problems impacting their reliability.</w:t>
      </w:r>
    </w:p>
    <w:p w14:paraId="438F2AA4" w14:textId="77777777" w:rsidR="00630390" w:rsidRPr="001E0D8B" w:rsidRDefault="00630390" w:rsidP="001E0D8B">
      <w:pPr>
        <w:rPr>
          <w:rFonts w:ascii="Calibri" w:hAnsi="Calibri" w:cs="Calibri"/>
        </w:rPr>
      </w:pPr>
    </w:p>
    <w:p w14:paraId="52A180F5" w14:textId="610CF8AF" w:rsidR="00630390" w:rsidRDefault="0045416F" w:rsidP="0045416F">
      <w:pPr>
        <w:pStyle w:val="Heading3"/>
      </w:pPr>
      <w:bookmarkStart w:id="50" w:name="_Toc181788263"/>
      <w:bookmarkStart w:id="51" w:name="_Toc195597997"/>
      <w:r>
        <w:t xml:space="preserve">3.1.3 </w:t>
      </w:r>
      <w:r w:rsidR="00630390" w:rsidRPr="001E0D8B">
        <w:t>Limitations on Use of AI Evidence</w:t>
      </w:r>
      <w:bookmarkEnd w:id="50"/>
      <w:bookmarkEnd w:id="51"/>
    </w:p>
    <w:p w14:paraId="60CA89A4" w14:textId="77777777" w:rsidR="0045416F" w:rsidRPr="0045416F" w:rsidRDefault="0045416F" w:rsidP="0045416F"/>
    <w:p w14:paraId="3266730D" w14:textId="2DBBBEA5" w:rsidR="00630390" w:rsidRPr="001E0D8B" w:rsidRDefault="00630390" w:rsidP="001E0D8B">
      <w:pPr>
        <w:rPr>
          <w:rFonts w:ascii="Calibri" w:hAnsi="Calibri" w:cs="Calibri"/>
        </w:rPr>
      </w:pPr>
      <w:r w:rsidRPr="001E0D8B">
        <w:rPr>
          <w:rFonts w:ascii="Calibri" w:hAnsi="Calibri" w:cs="Calibri"/>
        </w:rPr>
        <w:t>A further problem with AI evidence is one shared by other forms of complex, or scientific evidence. AI evidence is only reliable within the bounds of its limitations – and these limitations are often difficult to spot, and even harder to articulate. Expressing the conclusions offered by PG DNA tools offers a</w:t>
      </w:r>
      <w:r w:rsidR="00F724C6">
        <w:rPr>
          <w:rFonts w:ascii="Calibri" w:hAnsi="Calibri" w:cs="Calibri"/>
        </w:rPr>
        <w:t xml:space="preserve"> helpful comparison in the </w:t>
      </w:r>
      <w:r w:rsidR="00593E18">
        <w:rPr>
          <w:rFonts w:ascii="Calibri" w:hAnsi="Calibri" w:cs="Calibri"/>
        </w:rPr>
        <w:t xml:space="preserve">potential pitfalls associated with relying on </w:t>
      </w:r>
      <w:r w:rsidR="00F724C6">
        <w:rPr>
          <w:rFonts w:ascii="Calibri" w:hAnsi="Calibri" w:cs="Calibri"/>
        </w:rPr>
        <w:t xml:space="preserve">mathematical </w:t>
      </w:r>
      <w:r w:rsidR="00593E18">
        <w:rPr>
          <w:rFonts w:ascii="Calibri" w:hAnsi="Calibri" w:cs="Calibri"/>
        </w:rPr>
        <w:t>and algorithmic software to generate evidence</w:t>
      </w:r>
      <w:r w:rsidR="00B1297D">
        <w:rPr>
          <w:rFonts w:ascii="Calibri" w:hAnsi="Calibri" w:cs="Calibri"/>
        </w:rPr>
        <w:t xml:space="preserve"> admitted into court</w:t>
      </w:r>
      <w:r w:rsidR="00593E18">
        <w:rPr>
          <w:rFonts w:ascii="Calibri" w:hAnsi="Calibri" w:cs="Calibri"/>
        </w:rPr>
        <w:t>.</w:t>
      </w:r>
    </w:p>
    <w:p w14:paraId="1F588CE5" w14:textId="77777777" w:rsidR="00630390" w:rsidRPr="001E0D8B" w:rsidRDefault="00630390" w:rsidP="001E0D8B">
      <w:pPr>
        <w:rPr>
          <w:rFonts w:ascii="Calibri" w:hAnsi="Calibri" w:cs="Calibri"/>
        </w:rPr>
      </w:pPr>
    </w:p>
    <w:p w14:paraId="2321F87F" w14:textId="75BD6EEF" w:rsidR="00630390" w:rsidRPr="001E0D8B" w:rsidRDefault="00630390" w:rsidP="001E0D8B">
      <w:pPr>
        <w:rPr>
          <w:rFonts w:ascii="Calibri" w:hAnsi="Calibri" w:cs="Calibri"/>
        </w:rPr>
      </w:pPr>
      <w:r w:rsidRPr="001E0D8B">
        <w:rPr>
          <w:rFonts w:ascii="Calibri" w:hAnsi="Calibri" w:cs="Calibri"/>
        </w:rPr>
        <w:t xml:space="preserve">The usual way of analyzing DNA is via Random Match Probability </w:t>
      </w:r>
      <w:r w:rsidR="007C6F14">
        <w:rPr>
          <w:rFonts w:ascii="Calibri" w:hAnsi="Calibri" w:cs="Calibri"/>
        </w:rPr>
        <w:t>(</w:t>
      </w:r>
      <w:r w:rsidRPr="001E0D8B">
        <w:rPr>
          <w:rFonts w:ascii="Calibri" w:hAnsi="Calibri" w:cs="Calibri"/>
        </w:rPr>
        <w:t>RMP</w:t>
      </w:r>
      <w:r w:rsidR="007C6F14">
        <w:rPr>
          <w:rFonts w:ascii="Calibri" w:hAnsi="Calibri" w:cs="Calibri"/>
        </w:rPr>
        <w:t>)</w:t>
      </w:r>
      <w:r w:rsidRPr="001E0D8B">
        <w:rPr>
          <w:rFonts w:ascii="Calibri" w:hAnsi="Calibri" w:cs="Calibri"/>
        </w:rPr>
        <w:t xml:space="preserve">. RMP measures the probability of two DNA samples matching randomly / via coincidence. But RMP requires relatively uncomplicated samples, and does not work well with multiple contributors, degraded samples or small “trace” samples. PG DNA tools were developed in an attempt to interpret complex DNA </w:t>
      </w:r>
      <w:r w:rsidR="007218B9" w:rsidRPr="001E0D8B">
        <w:rPr>
          <w:rFonts w:ascii="Calibri" w:hAnsi="Calibri" w:cs="Calibri"/>
        </w:rPr>
        <w:t>mixtures and</w:t>
      </w:r>
      <w:r w:rsidRPr="001E0D8B">
        <w:rPr>
          <w:rFonts w:ascii="Calibri" w:hAnsi="Calibri" w:cs="Calibri"/>
        </w:rPr>
        <w:t xml:space="preserve"> draw out some of the inferences that may be difficult to interpret from “trace” fragmented, mixed, and/or otherwise complex samples. But unlike RMP, PG profiles do not confirm that a particular person is a source of the DNA sample. As explained by the authors of the LCO’s PG </w:t>
      </w:r>
      <w:r w:rsidRPr="001E0D8B">
        <w:rPr>
          <w:rFonts w:ascii="Calibri" w:hAnsi="Calibri" w:cs="Calibri"/>
          <w:i/>
          <w:iCs/>
        </w:rPr>
        <w:t>AI Case Stud</w:t>
      </w:r>
      <w:r w:rsidR="007C6F14">
        <w:rPr>
          <w:rFonts w:ascii="Calibri" w:hAnsi="Calibri" w:cs="Calibri"/>
          <w:i/>
          <w:iCs/>
        </w:rPr>
        <w:t>y</w:t>
      </w:r>
      <w:r w:rsidRPr="001E0D8B">
        <w:rPr>
          <w:rFonts w:ascii="Calibri" w:hAnsi="Calibri" w:cs="Calibri"/>
        </w:rPr>
        <w:t xml:space="preserve">, “PG profiles may reveal the </w:t>
      </w:r>
      <w:r w:rsidRPr="001E0D8B">
        <w:rPr>
          <w:rFonts w:ascii="Calibri" w:hAnsi="Calibri" w:cs="Calibri"/>
          <w:i/>
          <w:iCs/>
          <w:u w:val="single"/>
        </w:rPr>
        <w:t>kind</w:t>
      </w:r>
      <w:r w:rsidRPr="001E0D8B">
        <w:rPr>
          <w:rFonts w:ascii="Calibri" w:hAnsi="Calibri" w:cs="Calibri"/>
        </w:rPr>
        <w:t xml:space="preserve"> of suspect you might be looking for” by comparing “the probability of two different hypotheses or theories of the case that seek to explain the source the DNA in the sample” then determines “which hypothesis is more probable.”</w:t>
      </w:r>
      <w:r w:rsidRPr="001E0D8B">
        <w:rPr>
          <w:rFonts w:ascii="Calibri" w:hAnsi="Calibri" w:cs="Calibri"/>
          <w:vertAlign w:val="superscript"/>
        </w:rPr>
        <w:endnoteReference w:id="157"/>
      </w:r>
      <w:r w:rsidRPr="001E0D8B">
        <w:rPr>
          <w:rFonts w:ascii="Calibri" w:hAnsi="Calibri" w:cs="Calibri"/>
        </w:rPr>
        <w:t xml:space="preserve"> In his article </w:t>
      </w:r>
      <w:r w:rsidRPr="001E0D8B">
        <w:rPr>
          <w:rFonts w:ascii="Calibri" w:hAnsi="Calibri" w:cs="Calibri"/>
          <w:i/>
          <w:iCs/>
        </w:rPr>
        <w:t>No Longer the Gold Standard: Probabilistic Genotyping is Changing the Nature of DNA Evidence in Criminal Trials</w:t>
      </w:r>
      <w:r w:rsidRPr="001E0D8B">
        <w:rPr>
          <w:rFonts w:ascii="Calibri" w:hAnsi="Calibri" w:cs="Calibri"/>
        </w:rPr>
        <w:t>, Bess Stiffleman explains how the “Likelihood Ratio”</w:t>
      </w:r>
      <w:r w:rsidR="007C6F14">
        <w:rPr>
          <w:rFonts w:ascii="Calibri" w:hAnsi="Calibri" w:cs="Calibri"/>
        </w:rPr>
        <w:t xml:space="preserve"> </w:t>
      </w:r>
      <w:r w:rsidRPr="001E0D8B">
        <w:rPr>
          <w:rFonts w:ascii="Calibri" w:hAnsi="Calibri" w:cs="Calibri"/>
        </w:rPr>
        <w:t>produced by PG tools fail to answer the question at issue in a criminal trial (whether the defendant was the source of DNA in issue), and instead speaks to the “relative likelihood of two very specific hypotheses.”</w:t>
      </w:r>
      <w:r w:rsidR="00B1297D">
        <w:rPr>
          <w:rStyle w:val="EndnoteReference"/>
          <w:rFonts w:ascii="Calibri" w:hAnsi="Calibri" w:cs="Calibri"/>
        </w:rPr>
        <w:endnoteReference w:id="158"/>
      </w:r>
      <w:r w:rsidRPr="001E0D8B">
        <w:rPr>
          <w:rFonts w:ascii="Calibri" w:hAnsi="Calibri" w:cs="Calibri"/>
        </w:rPr>
        <w:t xml:space="preserve"> Stiffleman offers the following illustrative analogy:</w:t>
      </w:r>
    </w:p>
    <w:p w14:paraId="6946E8AA" w14:textId="77777777" w:rsidR="00630390" w:rsidRPr="001E0D8B" w:rsidRDefault="00630390" w:rsidP="001E0D8B">
      <w:pPr>
        <w:rPr>
          <w:rFonts w:ascii="Calibri" w:hAnsi="Calibri" w:cs="Calibri"/>
        </w:rPr>
      </w:pPr>
    </w:p>
    <w:p w14:paraId="6058BB5D" w14:textId="168D8F38" w:rsidR="00630390" w:rsidRPr="007C6F14" w:rsidRDefault="00630390" w:rsidP="001E0D8B">
      <w:pPr>
        <w:ind w:left="720"/>
        <w:rPr>
          <w:rFonts w:ascii="Calibri" w:hAnsi="Calibri" w:cs="Calibri"/>
        </w:rPr>
      </w:pPr>
      <w:r w:rsidRPr="007C6F14">
        <w:rPr>
          <w:rFonts w:ascii="Calibri" w:hAnsi="Calibri" w:cs="Calibri"/>
        </w:rPr>
        <w:t xml:space="preserve">One could propose any two hypotheses to answer a </w:t>
      </w:r>
      <w:r w:rsidR="007218B9" w:rsidRPr="007C6F14">
        <w:rPr>
          <w:rFonts w:ascii="Calibri" w:hAnsi="Calibri" w:cs="Calibri"/>
        </w:rPr>
        <w:t>question and</w:t>
      </w:r>
      <w:r w:rsidRPr="007C6F14">
        <w:rPr>
          <w:rFonts w:ascii="Calibri" w:hAnsi="Calibri" w:cs="Calibri"/>
        </w:rPr>
        <w:t xml:space="preserve"> theoretically come up with a likelihood ratio. Suppose you returned home to find your dog sitting next to a torn-up pillow, and feathers are everywhere. You could compare the hypothesis that your home was ransacked by burglars with the hypothesis that the pillows you bought at Ikea were designed to explode after six months. After gathering all the relevant data, like that your door was locked when you came home, and nothing else was broken, and the strength of the pillow fibres, you could come up with a likelihood ratio. Let’s assume you determine the likelihood ratio that, given the evidence, it was 10,000 times more likely that the pillow just fell apart than it was likely your home was ransacked by burglars. Neither of these hypotheses are in fact the correct explanation for the evidence before you. Of course, your dog played with your pillow like a chew toy and tore </w:t>
      </w:r>
      <w:r w:rsidRPr="007C6F14">
        <w:rPr>
          <w:rFonts w:ascii="Calibri" w:hAnsi="Calibri" w:cs="Calibri"/>
        </w:rPr>
        <w:lastRenderedPageBreak/>
        <w:t>it to shreds. So, although it was 10,000 times more likely the pillow just fell apart than it was likely your home was ransacked, this doesn’t prove your pillow fell apart on its own. Both of the hypotheses were in fact incorrect.</w:t>
      </w:r>
      <w:r w:rsidR="00B1297D">
        <w:rPr>
          <w:rStyle w:val="EndnoteReference"/>
          <w:rFonts w:ascii="Calibri" w:hAnsi="Calibri" w:cs="Calibri"/>
        </w:rPr>
        <w:endnoteReference w:id="159"/>
      </w:r>
    </w:p>
    <w:p w14:paraId="4718D76B" w14:textId="77777777" w:rsidR="00630390" w:rsidRPr="001E0D8B" w:rsidRDefault="00630390" w:rsidP="001E0D8B">
      <w:pPr>
        <w:rPr>
          <w:rFonts w:ascii="Calibri" w:hAnsi="Calibri" w:cs="Calibri"/>
        </w:rPr>
      </w:pPr>
    </w:p>
    <w:p w14:paraId="1F0D0EA5" w14:textId="3D1D24E0" w:rsidR="00630390" w:rsidRPr="001E0D8B" w:rsidRDefault="00694151" w:rsidP="001E0D8B">
      <w:pPr>
        <w:rPr>
          <w:rFonts w:ascii="Calibri" w:hAnsi="Calibri" w:cs="Calibri"/>
        </w:rPr>
      </w:pPr>
      <w:r>
        <w:rPr>
          <w:rFonts w:ascii="Calibri" w:hAnsi="Calibri" w:cs="Calibri"/>
        </w:rPr>
        <w:t>By way of comparison, the example above</w:t>
      </w:r>
      <w:r w:rsidR="00630390" w:rsidRPr="001E0D8B">
        <w:rPr>
          <w:rFonts w:ascii="Calibri" w:hAnsi="Calibri" w:cs="Calibri"/>
        </w:rPr>
        <w:t xml:space="preserve"> illustrates </w:t>
      </w:r>
      <w:r>
        <w:rPr>
          <w:rFonts w:ascii="Calibri" w:hAnsi="Calibri" w:cs="Calibri"/>
        </w:rPr>
        <w:t>how complex</w:t>
      </w:r>
      <w:r w:rsidR="00630390" w:rsidRPr="001E0D8B">
        <w:rPr>
          <w:rFonts w:ascii="Calibri" w:hAnsi="Calibri" w:cs="Calibri"/>
        </w:rPr>
        <w:t xml:space="preserve"> AI evidence is only reliable within the bounds of its limitations. </w:t>
      </w:r>
      <w:r>
        <w:rPr>
          <w:rFonts w:ascii="Calibri" w:hAnsi="Calibri" w:cs="Calibri"/>
        </w:rPr>
        <w:t xml:space="preserve">And further, that explicating these bounds will be very challenging and specific to each specific AI technology or use case. </w:t>
      </w:r>
      <w:r w:rsidR="00630390" w:rsidRPr="001E0D8B">
        <w:rPr>
          <w:rFonts w:ascii="Calibri" w:hAnsi="Calibri" w:cs="Calibri"/>
        </w:rPr>
        <w:t>As explored below, the criminal trial will face immense challenges properly identifying and articulating where those limits lie, and why reliability vanishes when those limitations are abandoned.</w:t>
      </w:r>
    </w:p>
    <w:p w14:paraId="52F7A390" w14:textId="77777777" w:rsidR="00630390" w:rsidRPr="001E0D8B" w:rsidRDefault="00630390" w:rsidP="001E0D8B">
      <w:pPr>
        <w:rPr>
          <w:rFonts w:ascii="Calibri" w:hAnsi="Calibri" w:cs="Calibri"/>
        </w:rPr>
      </w:pPr>
    </w:p>
    <w:p w14:paraId="1096093E" w14:textId="7DE875B5" w:rsidR="003544ED" w:rsidRPr="003544ED" w:rsidRDefault="003544ED" w:rsidP="003544ED">
      <w:pPr>
        <w:pStyle w:val="Heading3"/>
      </w:pPr>
      <w:bookmarkStart w:id="52" w:name="_Toc181788264"/>
      <w:bookmarkStart w:id="53" w:name="_Toc195597998"/>
      <w:r>
        <w:t xml:space="preserve">3.1.4 </w:t>
      </w:r>
      <w:r w:rsidR="00630390" w:rsidRPr="001E0D8B">
        <w:t>The Criminal Trial’s Ability to Ensure Inherent Reliability</w:t>
      </w:r>
      <w:bookmarkEnd w:id="52"/>
      <w:r w:rsidR="000F7AD3">
        <w:t>: AI and Evidentiary Gaps in the O</w:t>
      </w:r>
      <w:r w:rsidR="000F7AD3" w:rsidRPr="000F7AD3">
        <w:t>btaining a search warrant</w:t>
      </w:r>
      <w:bookmarkEnd w:id="53"/>
    </w:p>
    <w:p w14:paraId="226D8046" w14:textId="77777777" w:rsidR="00630390" w:rsidRDefault="00630390" w:rsidP="000B3DED"/>
    <w:p w14:paraId="179E9E88" w14:textId="77777777" w:rsidR="006E03FC" w:rsidRPr="006E03FC" w:rsidRDefault="006E03FC" w:rsidP="006E03FC">
      <w:pPr>
        <w:rPr>
          <w:rFonts w:ascii="Calibri" w:hAnsi="Calibri" w:cs="Calibri"/>
          <w:color w:val="262526"/>
        </w:rPr>
      </w:pPr>
      <w:r w:rsidRPr="006E03FC">
        <w:rPr>
          <w:rFonts w:ascii="Calibri" w:hAnsi="Calibri" w:cs="Calibri"/>
        </w:rPr>
        <w:t xml:space="preserve">In the LCO’s PG </w:t>
      </w:r>
      <w:r w:rsidRPr="006E03FC">
        <w:rPr>
          <w:rFonts w:ascii="Calibri" w:hAnsi="Calibri" w:cs="Calibri"/>
          <w:i/>
          <w:iCs/>
        </w:rPr>
        <w:t>AI Case Study</w:t>
      </w:r>
      <w:r w:rsidRPr="006E03FC">
        <w:rPr>
          <w:rFonts w:ascii="Calibri" w:hAnsi="Calibri" w:cs="Calibri"/>
        </w:rPr>
        <w:t>, the authors observe that “</w:t>
      </w:r>
      <w:r w:rsidRPr="006E03FC">
        <w:rPr>
          <w:rFonts w:ascii="Calibri" w:hAnsi="Calibri" w:cs="Calibri"/>
          <w:color w:val="262526"/>
        </w:rPr>
        <w:t>one of the benefits of litigation is that it can expose the flaws and legal uncertainties of new technologies” and that criminal and civil litigation involving AI and algorithmic tools have exposed “systemic flaws including inaccuracy, unreliability, unintended biases, opacity, lack of explainability, data illiteracy, automation bias.”</w:t>
      </w:r>
      <w:r w:rsidRPr="006E03FC">
        <w:rPr>
          <w:rFonts w:ascii="Calibri" w:hAnsi="Calibri" w:cs="Calibri"/>
          <w:color w:val="262526"/>
          <w:vertAlign w:val="superscript"/>
        </w:rPr>
        <w:endnoteReference w:id="160"/>
      </w:r>
      <w:r w:rsidRPr="006E03FC">
        <w:rPr>
          <w:rFonts w:ascii="Calibri" w:hAnsi="Calibri" w:cs="Calibri"/>
          <w:color w:val="262526"/>
        </w:rPr>
        <w:t xml:space="preserve"> This observation is likely true; however, the authors also recognize the significant flaws in using litigation as a proxy for proper AI regulation:</w:t>
      </w:r>
    </w:p>
    <w:p w14:paraId="3B349662" w14:textId="77777777" w:rsidR="006E03FC" w:rsidRPr="006E03FC" w:rsidRDefault="006E03FC" w:rsidP="006E03FC">
      <w:pPr>
        <w:rPr>
          <w:rFonts w:ascii="Calibri" w:hAnsi="Calibri" w:cs="Calibri"/>
          <w:color w:val="262526"/>
        </w:rPr>
      </w:pPr>
    </w:p>
    <w:p w14:paraId="6B79F24F" w14:textId="77777777" w:rsidR="006E03FC" w:rsidRPr="006E03FC" w:rsidRDefault="006E03FC" w:rsidP="006E03FC">
      <w:pPr>
        <w:ind w:left="680" w:right="340"/>
        <w:rPr>
          <w:rFonts w:ascii="Calibri" w:hAnsi="Calibri" w:cs="Calibri"/>
          <w:color w:val="262526"/>
        </w:rPr>
      </w:pPr>
      <w:r w:rsidRPr="006E03FC">
        <w:rPr>
          <w:rFonts w:ascii="Calibri" w:hAnsi="Calibri" w:cs="Calibri"/>
          <w:color w:val="262526"/>
        </w:rPr>
        <w:t>The common theme that emerges from all litigation is that AI and algorithmic tools were introduced prior to serious discussions about proper guardrails governing their use. Regulation by litigation is not a sufficient answer to the challenges and risks posed by these systems. Proactive regulation is required.</w:t>
      </w:r>
      <w:r w:rsidRPr="006E03FC">
        <w:rPr>
          <w:rFonts w:ascii="Calibri" w:hAnsi="Calibri" w:cs="Calibri"/>
          <w:color w:val="262526"/>
          <w:vertAlign w:val="superscript"/>
        </w:rPr>
        <w:endnoteReference w:id="161"/>
      </w:r>
    </w:p>
    <w:p w14:paraId="4051B031" w14:textId="77777777" w:rsidR="006E03FC" w:rsidRPr="006E03FC" w:rsidRDefault="006E03FC" w:rsidP="006E03FC">
      <w:pPr>
        <w:ind w:right="340"/>
        <w:rPr>
          <w:rFonts w:ascii="Calibri" w:hAnsi="Calibri" w:cs="Calibri"/>
          <w:i/>
          <w:iCs/>
          <w:color w:val="262526"/>
        </w:rPr>
      </w:pPr>
    </w:p>
    <w:p w14:paraId="18E12C6F" w14:textId="77777777" w:rsidR="006E03FC" w:rsidRPr="006E03FC" w:rsidRDefault="006E03FC" w:rsidP="006E03FC">
      <w:pPr>
        <w:rPr>
          <w:rFonts w:ascii="Calibri" w:hAnsi="Calibri" w:cs="Calibri"/>
        </w:rPr>
      </w:pPr>
      <w:r w:rsidRPr="006E03FC">
        <w:rPr>
          <w:rFonts w:ascii="Calibri" w:hAnsi="Calibri" w:cs="Calibri"/>
        </w:rPr>
        <w:t xml:space="preserve">This caution is appropriate. The Charles Smith cases, and those featuring flawed scientific testimony (as in the Morin case), vividly illustrate the limited role criminal litigation can play in exposing inherently unreliable information. Where information is complex, and assurances of reliability are coming from experts, or persons with enhanced technical knowledge, the cross-examiner is at significant disadvantage. AI evidence presents the further challenge that the evidence is not generated by an individual </w:t>
      </w:r>
      <w:r w:rsidRPr="006E03FC">
        <w:rPr>
          <w:rFonts w:ascii="Calibri" w:hAnsi="Calibri" w:cs="Calibri"/>
          <w:i/>
          <w:iCs/>
        </w:rPr>
        <w:t>per se</w:t>
      </w:r>
      <w:r w:rsidRPr="006E03FC">
        <w:rPr>
          <w:rFonts w:ascii="Calibri" w:hAnsi="Calibri" w:cs="Calibri"/>
        </w:rPr>
        <w:t xml:space="preserve"> – you cannot cross-examine an algorithm. </w:t>
      </w:r>
    </w:p>
    <w:p w14:paraId="11724FA1" w14:textId="77777777" w:rsidR="006E03FC" w:rsidRPr="006E03FC" w:rsidRDefault="006E03FC" w:rsidP="006E03FC">
      <w:pPr>
        <w:rPr>
          <w:rFonts w:ascii="Calibri" w:hAnsi="Calibri" w:cs="Calibri"/>
        </w:rPr>
      </w:pPr>
    </w:p>
    <w:p w14:paraId="69659AE5" w14:textId="77777777" w:rsidR="006E03FC" w:rsidRPr="006E03FC" w:rsidRDefault="006E03FC" w:rsidP="006E03FC">
      <w:pPr>
        <w:rPr>
          <w:rFonts w:ascii="Calibri" w:hAnsi="Calibri" w:cs="Calibri"/>
        </w:rPr>
      </w:pPr>
      <w:r w:rsidRPr="006E03FC">
        <w:rPr>
          <w:rFonts w:ascii="Calibri" w:hAnsi="Calibri" w:cs="Calibri"/>
        </w:rPr>
        <w:t xml:space="preserve">This result is not unique to </w:t>
      </w:r>
      <w:r w:rsidRPr="006E03FC">
        <w:rPr>
          <w:rFonts w:ascii="Calibri" w:hAnsi="Calibri" w:cs="Calibri"/>
          <w:i/>
          <w:iCs/>
        </w:rPr>
        <w:t xml:space="preserve">Charter </w:t>
      </w:r>
      <w:r w:rsidRPr="006E03FC">
        <w:rPr>
          <w:rFonts w:ascii="Calibri" w:hAnsi="Calibri" w:cs="Calibri"/>
        </w:rPr>
        <w:t xml:space="preserve">litigation. Other hearings in criminal litigation, and even the substantive trial, possess similar limitations. There are two points to draw from this. First, there are a number of systemic barriers to effectively screening, regulating and challenging AI information in criminal litigation. That is the subject of the next section of this paper. Second, because of the internal and systemic challenges exposing the flaws and limitations in AI reliability, we cannot count on their being revealed in criminal litigation. This means that we cannot use litigation as the primary means of </w:t>
      </w:r>
      <w:r w:rsidRPr="006E03FC">
        <w:rPr>
          <w:rFonts w:ascii="Calibri" w:hAnsi="Calibri" w:cs="Calibri"/>
        </w:rPr>
        <w:lastRenderedPageBreak/>
        <w:t>regulating AI tools. Again, as Presser and Robertson suggested, “proactive regulation is required.”</w:t>
      </w:r>
    </w:p>
    <w:p w14:paraId="79F42100" w14:textId="77777777" w:rsidR="006E03FC" w:rsidRPr="006E03FC" w:rsidRDefault="006E03FC" w:rsidP="006E03FC">
      <w:pPr>
        <w:rPr>
          <w:rFonts w:ascii="Calibri" w:hAnsi="Calibri" w:cs="Calibri"/>
        </w:rPr>
      </w:pPr>
    </w:p>
    <w:p w14:paraId="25A2E6BA" w14:textId="15EC85A9" w:rsidR="006E03FC" w:rsidRPr="006E03FC" w:rsidRDefault="006E03FC" w:rsidP="006E03FC">
      <w:pPr>
        <w:pStyle w:val="Heading2"/>
      </w:pPr>
      <w:bookmarkStart w:id="54" w:name="_Toc195164059"/>
      <w:bookmarkStart w:id="55" w:name="_Toc195597999"/>
      <w:r>
        <w:t>3.2</w:t>
      </w:r>
      <w:r>
        <w:tab/>
      </w:r>
      <w:r w:rsidRPr="006E03FC">
        <w:t>Procedural Fairness Challenges</w:t>
      </w:r>
      <w:bookmarkEnd w:id="54"/>
      <w:bookmarkEnd w:id="55"/>
    </w:p>
    <w:p w14:paraId="757A2C6F" w14:textId="77777777" w:rsidR="006E03FC" w:rsidRPr="006E03FC" w:rsidRDefault="006E03FC" w:rsidP="006E03FC">
      <w:pPr>
        <w:rPr>
          <w:rFonts w:ascii="Calibri" w:hAnsi="Calibri" w:cs="Calibri"/>
        </w:rPr>
      </w:pPr>
    </w:p>
    <w:p w14:paraId="0FCC49E8" w14:textId="77777777" w:rsidR="006E03FC" w:rsidRPr="006E03FC" w:rsidRDefault="006E03FC" w:rsidP="006E03FC">
      <w:pPr>
        <w:rPr>
          <w:rFonts w:ascii="Calibri" w:hAnsi="Calibri" w:cs="Calibri"/>
        </w:rPr>
      </w:pPr>
      <w:r w:rsidRPr="006E03FC">
        <w:rPr>
          <w:rFonts w:ascii="Calibri" w:hAnsi="Calibri" w:cs="Calibri"/>
        </w:rPr>
        <w:t>Concerns about procedural fairness speak to the various barriers and impediments criminal litigants and courts will encounter as they seek to understand and challenge the admissibility and use of AI evidence.</w:t>
      </w:r>
    </w:p>
    <w:p w14:paraId="2B3BF20C" w14:textId="77777777" w:rsidR="006E03FC" w:rsidRPr="006E03FC" w:rsidRDefault="006E03FC" w:rsidP="006E03FC">
      <w:pPr>
        <w:rPr>
          <w:rFonts w:ascii="Calibri" w:hAnsi="Calibri" w:cs="Calibri"/>
        </w:rPr>
      </w:pPr>
    </w:p>
    <w:p w14:paraId="35C16E25" w14:textId="77777777" w:rsidR="006E03FC" w:rsidRPr="006E03FC" w:rsidRDefault="006E03FC" w:rsidP="006E03FC">
      <w:pPr>
        <w:rPr>
          <w:rFonts w:ascii="Calibri" w:hAnsi="Calibri" w:cs="Calibri"/>
        </w:rPr>
      </w:pPr>
      <w:r w:rsidRPr="006E03FC">
        <w:rPr>
          <w:rFonts w:ascii="Calibri" w:hAnsi="Calibri" w:cs="Calibri"/>
        </w:rPr>
        <w:t>These can be broadly characterized as relating to various challenges:</w:t>
      </w:r>
    </w:p>
    <w:p w14:paraId="58AB50FA" w14:textId="77777777" w:rsidR="006E03FC" w:rsidRPr="006E03FC" w:rsidRDefault="006E03FC" w:rsidP="006E03FC">
      <w:pPr>
        <w:rPr>
          <w:rFonts w:ascii="Calibri" w:hAnsi="Calibri" w:cs="Calibri"/>
        </w:rPr>
      </w:pPr>
    </w:p>
    <w:p w14:paraId="3F4E6C93" w14:textId="77777777" w:rsidR="006E03FC" w:rsidRPr="006E03FC" w:rsidRDefault="006E03FC" w:rsidP="006E03FC">
      <w:pPr>
        <w:numPr>
          <w:ilvl w:val="0"/>
          <w:numId w:val="150"/>
        </w:numPr>
        <w:spacing w:after="160" w:line="259" w:lineRule="auto"/>
        <w:contextualSpacing/>
        <w:rPr>
          <w:rFonts w:ascii="Calibri" w:hAnsi="Calibri" w:cs="Calibri"/>
        </w:rPr>
      </w:pPr>
      <w:r w:rsidRPr="006E03FC">
        <w:rPr>
          <w:rFonts w:ascii="Calibri" w:hAnsi="Calibri" w:cs="Calibri"/>
        </w:rPr>
        <w:t>In obtaining disclosure related to the deployment of AI tools, and AI evidence generation;</w:t>
      </w:r>
    </w:p>
    <w:p w14:paraId="3EA81081" w14:textId="77777777" w:rsidR="006E03FC" w:rsidRPr="006E03FC" w:rsidRDefault="006E03FC" w:rsidP="006E03FC">
      <w:pPr>
        <w:numPr>
          <w:ilvl w:val="0"/>
          <w:numId w:val="150"/>
        </w:numPr>
        <w:spacing w:after="160" w:line="259" w:lineRule="auto"/>
        <w:contextualSpacing/>
        <w:rPr>
          <w:rFonts w:ascii="Calibri" w:hAnsi="Calibri" w:cs="Calibri"/>
        </w:rPr>
      </w:pPr>
      <w:r w:rsidRPr="006E03FC">
        <w:rPr>
          <w:rFonts w:ascii="Calibri" w:hAnsi="Calibri" w:cs="Calibri"/>
        </w:rPr>
        <w:t xml:space="preserve">In properly characterizing AI evidence; </w:t>
      </w:r>
    </w:p>
    <w:p w14:paraId="508DFB2E" w14:textId="77777777" w:rsidR="006E03FC" w:rsidRPr="006E03FC" w:rsidRDefault="006E03FC" w:rsidP="006E03FC">
      <w:pPr>
        <w:numPr>
          <w:ilvl w:val="0"/>
          <w:numId w:val="150"/>
        </w:numPr>
        <w:spacing w:after="160" w:line="259" w:lineRule="auto"/>
        <w:contextualSpacing/>
        <w:rPr>
          <w:rFonts w:ascii="Calibri" w:hAnsi="Calibri" w:cs="Calibri"/>
        </w:rPr>
      </w:pPr>
      <w:r w:rsidRPr="006E03FC">
        <w:rPr>
          <w:rFonts w:ascii="Calibri" w:hAnsi="Calibri" w:cs="Calibri"/>
        </w:rPr>
        <w:t xml:space="preserve">Flowing from the forum or hearing type in which AI evidence is scrutinized; and, </w:t>
      </w:r>
    </w:p>
    <w:p w14:paraId="71E9F723" w14:textId="77777777" w:rsidR="00755207" w:rsidRPr="006E03FC" w:rsidRDefault="006E03FC" w:rsidP="006E03FC">
      <w:pPr>
        <w:numPr>
          <w:ilvl w:val="0"/>
          <w:numId w:val="150"/>
        </w:numPr>
        <w:spacing w:after="160" w:line="259" w:lineRule="auto"/>
        <w:contextualSpacing/>
        <w:rPr>
          <w:rFonts w:ascii="Calibri" w:hAnsi="Calibri" w:cs="Calibri"/>
        </w:rPr>
      </w:pPr>
      <w:r w:rsidRPr="006E03FC">
        <w:rPr>
          <w:rFonts w:ascii="Calibri" w:hAnsi="Calibri" w:cs="Calibri"/>
        </w:rPr>
        <w:t>With accessibility, which broadly encapsulates practical barriers to effective AI evidence analysis. Each of these are reviewed below.</w:t>
      </w:r>
    </w:p>
    <w:p w14:paraId="37BAFB57" w14:textId="77777777" w:rsidR="006E03FC" w:rsidRPr="006E03FC" w:rsidRDefault="006E03FC" w:rsidP="006E03FC">
      <w:pPr>
        <w:rPr>
          <w:rFonts w:ascii="Calibri" w:hAnsi="Calibri" w:cs="Calibri"/>
        </w:rPr>
      </w:pPr>
    </w:p>
    <w:p w14:paraId="6E7F8E36" w14:textId="1B491BBD" w:rsidR="006E03FC" w:rsidRPr="006E03FC" w:rsidRDefault="006E03FC" w:rsidP="006E03FC">
      <w:pPr>
        <w:rPr>
          <w:rFonts w:ascii="Calibri" w:hAnsi="Calibri" w:cs="Calibri"/>
        </w:rPr>
      </w:pPr>
      <w:r w:rsidRPr="00654C22">
        <w:rPr>
          <w:rFonts w:ascii="Calibri" w:hAnsi="Calibri" w:cs="Calibri"/>
        </w:rPr>
        <w:t>Unlike the inherent unreliability challenges reviewed above, the procedural fairness concerns examined below are aimed at ensuring criminal litigants are dealt with fairly and afforded “due process.”</w:t>
      </w:r>
    </w:p>
    <w:p w14:paraId="6238C80C" w14:textId="5EF928C9" w:rsidR="00630390" w:rsidRPr="001E0D8B" w:rsidRDefault="00630390" w:rsidP="001E0D8B">
      <w:pPr>
        <w:rPr>
          <w:rFonts w:ascii="Calibri" w:hAnsi="Calibri" w:cs="Calibri"/>
        </w:rPr>
      </w:pPr>
    </w:p>
    <w:p w14:paraId="375F61C1" w14:textId="69BCD0B0" w:rsidR="00630390" w:rsidRDefault="006E03FC" w:rsidP="006E03FC">
      <w:pPr>
        <w:pStyle w:val="Heading3"/>
        <w:numPr>
          <w:ilvl w:val="2"/>
          <w:numId w:val="16"/>
        </w:numPr>
      </w:pPr>
      <w:bookmarkStart w:id="56" w:name="_Toc195598000"/>
      <w:r>
        <w:t>Disclosure</w:t>
      </w:r>
      <w:bookmarkEnd w:id="56"/>
    </w:p>
    <w:p w14:paraId="6C38085B" w14:textId="77777777" w:rsidR="006E03FC" w:rsidRDefault="006E03FC" w:rsidP="006E03FC"/>
    <w:p w14:paraId="1A2B2494" w14:textId="77777777" w:rsidR="006E03FC" w:rsidRPr="006E03FC" w:rsidRDefault="006E03FC" w:rsidP="006E03FC">
      <w:pPr>
        <w:rPr>
          <w:rFonts w:ascii="Calibri" w:hAnsi="Calibri" w:cs="Calibri"/>
        </w:rPr>
      </w:pPr>
      <w:r w:rsidRPr="006E03FC">
        <w:rPr>
          <w:rFonts w:ascii="Calibri" w:hAnsi="Calibri" w:cs="Calibri"/>
        </w:rPr>
        <w:t xml:space="preserve">Critical to protecting procedural fairness is ensuring litigants, both Crown and defence, have “disclosure” related to the deployment of AI tools and evidence generation. </w:t>
      </w:r>
    </w:p>
    <w:p w14:paraId="04271218" w14:textId="77777777" w:rsidR="006E03FC" w:rsidRPr="006E03FC" w:rsidRDefault="006E03FC" w:rsidP="006E03FC">
      <w:pPr>
        <w:rPr>
          <w:rFonts w:ascii="Calibri" w:hAnsi="Calibri" w:cs="Calibri"/>
        </w:rPr>
      </w:pPr>
    </w:p>
    <w:p w14:paraId="69EDCB67" w14:textId="77777777" w:rsidR="006E03FC" w:rsidRPr="006E03FC" w:rsidRDefault="006E03FC" w:rsidP="006E03FC">
      <w:pPr>
        <w:rPr>
          <w:rFonts w:ascii="Calibri" w:hAnsi="Calibri" w:cs="Calibri"/>
        </w:rPr>
      </w:pPr>
      <w:r w:rsidRPr="006E03FC">
        <w:rPr>
          <w:rFonts w:ascii="Calibri" w:hAnsi="Calibri" w:cs="Calibri"/>
        </w:rPr>
        <w:t xml:space="preserve">“Disclosure” broadly refers to that material generated in the investigation of an accused and/or anticipated to be used an accused’s prosecution. In the case of AI evidence, “disclosure” includes knowing what technologies have been deployed in the investigation of the accused and how they work. Litigants cannot ensure AI evidence is reliable and deployed in a </w:t>
      </w:r>
      <w:r w:rsidRPr="006E03FC">
        <w:rPr>
          <w:rFonts w:ascii="Calibri" w:hAnsi="Calibri" w:cs="Calibri"/>
          <w:i/>
          <w:iCs/>
        </w:rPr>
        <w:t xml:space="preserve">Charter </w:t>
      </w:r>
      <w:r w:rsidRPr="006E03FC">
        <w:rPr>
          <w:rFonts w:ascii="Calibri" w:hAnsi="Calibri" w:cs="Calibri"/>
        </w:rPr>
        <w:t>compliant fashion unless the state discloses information relevant to these issues.</w:t>
      </w:r>
    </w:p>
    <w:p w14:paraId="62A12075" w14:textId="77777777" w:rsidR="006E03FC" w:rsidRPr="006E03FC" w:rsidRDefault="006E03FC" w:rsidP="006E03FC">
      <w:pPr>
        <w:rPr>
          <w:rFonts w:ascii="Calibri" w:hAnsi="Calibri" w:cs="Calibri"/>
        </w:rPr>
      </w:pPr>
    </w:p>
    <w:p w14:paraId="5A6713E0" w14:textId="77777777" w:rsidR="006E03FC" w:rsidRPr="006E03FC" w:rsidRDefault="006E03FC" w:rsidP="006E03FC">
      <w:pPr>
        <w:rPr>
          <w:rFonts w:ascii="Calibri" w:hAnsi="Calibri" w:cs="Calibri"/>
        </w:rPr>
      </w:pPr>
      <w:r w:rsidRPr="006E03FC">
        <w:rPr>
          <w:rFonts w:ascii="Calibri" w:hAnsi="Calibri" w:cs="Calibri"/>
        </w:rPr>
        <w:t xml:space="preserve">Having access to this information in a criminal trial is not a luxury, it is an entitlement. The right to disclosure in a criminal trial is a fundamental right and one which receives constitutional protection under section 7 of the </w:t>
      </w:r>
      <w:r w:rsidRPr="006E03FC">
        <w:rPr>
          <w:rFonts w:ascii="Calibri" w:hAnsi="Calibri" w:cs="Calibri"/>
          <w:i/>
          <w:iCs/>
        </w:rPr>
        <w:t>Charter</w:t>
      </w:r>
      <w:r w:rsidRPr="006E03FC">
        <w:rPr>
          <w:rFonts w:ascii="Calibri" w:hAnsi="Calibri" w:cs="Calibri"/>
        </w:rPr>
        <w:t xml:space="preserve">. In the Supreme Court’s seminal </w:t>
      </w:r>
      <w:r w:rsidRPr="006E03FC">
        <w:rPr>
          <w:rFonts w:ascii="Calibri" w:hAnsi="Calibri" w:cs="Calibri"/>
          <w:i/>
          <w:iCs/>
        </w:rPr>
        <w:t xml:space="preserve">Stinchcombe </w:t>
      </w:r>
      <w:r w:rsidRPr="006E03FC">
        <w:rPr>
          <w:rFonts w:ascii="Calibri" w:hAnsi="Calibri" w:cs="Calibri"/>
        </w:rPr>
        <w:t>decision, Justice Sopinka for a unanimous Court emphasized the link between disclosure and an accused’s ability to make full answer and defence, as well as that between non-disclosure and Canada’s history of wrongful convictions:</w:t>
      </w:r>
    </w:p>
    <w:p w14:paraId="3F725D61" w14:textId="77777777" w:rsidR="006E03FC" w:rsidRPr="006E03FC" w:rsidRDefault="006E03FC" w:rsidP="006E03FC">
      <w:pPr>
        <w:rPr>
          <w:rFonts w:ascii="Calibri" w:hAnsi="Calibri" w:cs="Calibri"/>
        </w:rPr>
      </w:pPr>
    </w:p>
    <w:p w14:paraId="21752663" w14:textId="77777777" w:rsidR="006E03FC" w:rsidRPr="006E03FC" w:rsidRDefault="006E03FC" w:rsidP="006E03FC">
      <w:pPr>
        <w:ind w:left="720"/>
        <w:rPr>
          <w:rFonts w:ascii="Calibri" w:hAnsi="Calibri" w:cs="Calibri"/>
        </w:rPr>
      </w:pPr>
      <w:r w:rsidRPr="006E03FC">
        <w:rPr>
          <w:rFonts w:ascii="Calibri" w:hAnsi="Calibri" w:cs="Calibri"/>
        </w:rPr>
        <w:t xml:space="preserve">[T]here is the overriding concern that failure to disclose impedes the ability of the accused to make full answer and defence.  This common law right has </w:t>
      </w:r>
      <w:r w:rsidRPr="006E03FC">
        <w:rPr>
          <w:rFonts w:ascii="Calibri" w:hAnsi="Calibri" w:cs="Calibri"/>
        </w:rPr>
        <w:lastRenderedPageBreak/>
        <w:t xml:space="preserve">acquired new vigour by virtue of its inclusion in s. 7 of the </w:t>
      </w:r>
      <w:r w:rsidRPr="006E03FC">
        <w:rPr>
          <w:rFonts w:ascii="Calibri" w:hAnsi="Calibri" w:cs="Calibri"/>
          <w:i/>
          <w:iCs/>
        </w:rPr>
        <w:t>Charter</w:t>
      </w:r>
      <w:r w:rsidRPr="006E03FC">
        <w:rPr>
          <w:rFonts w:ascii="Calibri" w:hAnsi="Calibri" w:cs="Calibri"/>
        </w:rPr>
        <w:t xml:space="preserve"> as one of the principles of fundamental justice. The right to make full answer and defence is one of the pillars of criminal justice on which we heavily depend to ensure that the innocent are not convicted. Recent events have demonstrated that the erosion of this right due to non-disclosure was an important factor in the conviction and incarceration of an innocent person. In the </w:t>
      </w:r>
      <w:r w:rsidRPr="006E03FC">
        <w:rPr>
          <w:rFonts w:ascii="Calibri" w:hAnsi="Calibri" w:cs="Calibri"/>
          <w:i/>
          <w:iCs/>
        </w:rPr>
        <w:t>Royal Commission on the Donald Marshall, Jr., Prosecution</w:t>
      </w:r>
      <w:r w:rsidRPr="006E03FC">
        <w:rPr>
          <w:rFonts w:ascii="Calibri" w:hAnsi="Calibri" w:cs="Calibri"/>
        </w:rPr>
        <w:t>, Vol. 1:  </w:t>
      </w:r>
      <w:r w:rsidRPr="006E03FC">
        <w:rPr>
          <w:rFonts w:ascii="Calibri" w:hAnsi="Calibri" w:cs="Calibri"/>
          <w:i/>
          <w:iCs/>
        </w:rPr>
        <w:t>Findings and Recommendations</w:t>
      </w:r>
      <w:r w:rsidRPr="006E03FC">
        <w:rPr>
          <w:rFonts w:ascii="Calibri" w:hAnsi="Calibri" w:cs="Calibri"/>
        </w:rPr>
        <w:t> (1989) (the "Marshall Commission Report"), the Commissioners found that prior inconsistent statements were not disclosed to the defence. This was an important contributing factor in the miscarriage of justice which occurred and led the Commission to state that "anything less than complete disclosure by the Crown falls short of decency and fair play."</w:t>
      </w:r>
      <w:r w:rsidRPr="006E03FC">
        <w:rPr>
          <w:rFonts w:ascii="Calibri" w:hAnsi="Calibri" w:cs="Calibri"/>
          <w:vertAlign w:val="superscript"/>
        </w:rPr>
        <w:endnoteReference w:id="162"/>
      </w:r>
    </w:p>
    <w:p w14:paraId="264E56C5" w14:textId="77777777" w:rsidR="006E03FC" w:rsidRPr="006E03FC" w:rsidRDefault="006E03FC" w:rsidP="006E03FC">
      <w:pPr>
        <w:rPr>
          <w:rFonts w:ascii="Calibri" w:hAnsi="Calibri" w:cs="Calibri"/>
        </w:rPr>
      </w:pPr>
    </w:p>
    <w:p w14:paraId="26637CE3" w14:textId="77777777" w:rsidR="006E03FC" w:rsidRPr="006E03FC" w:rsidRDefault="006E03FC" w:rsidP="006E03FC">
      <w:pPr>
        <w:rPr>
          <w:rFonts w:ascii="Calibri" w:hAnsi="Calibri" w:cs="Calibri"/>
        </w:rPr>
      </w:pPr>
      <w:r w:rsidRPr="006E03FC">
        <w:rPr>
          <w:rFonts w:ascii="Calibri" w:hAnsi="Calibri" w:cs="Calibri"/>
        </w:rPr>
        <w:t>The scope and means by which an accused obtains disclosure depends on several factors, including how the material was generated, by whom, and whether that material is in the possession of the Crown. This means there is a lot at stake when it comes to how AI evidence, and the information underpinning its deployment and reliability, is treated in disclosure litigation.</w:t>
      </w:r>
    </w:p>
    <w:p w14:paraId="51BAE894" w14:textId="77777777" w:rsidR="006E03FC" w:rsidRPr="006E03FC" w:rsidRDefault="006E03FC" w:rsidP="006E03FC">
      <w:pPr>
        <w:rPr>
          <w:rFonts w:ascii="Calibri" w:hAnsi="Calibri" w:cs="Calibri"/>
        </w:rPr>
      </w:pPr>
    </w:p>
    <w:p w14:paraId="0A7966FC" w14:textId="77777777" w:rsidR="006E03FC" w:rsidRPr="006E03FC" w:rsidRDefault="006E03FC" w:rsidP="006E03FC">
      <w:pPr>
        <w:rPr>
          <w:rFonts w:ascii="Calibri" w:hAnsi="Calibri" w:cs="Calibri"/>
        </w:rPr>
      </w:pPr>
      <w:r w:rsidRPr="006E03FC">
        <w:rPr>
          <w:rFonts w:ascii="Calibri" w:hAnsi="Calibri" w:cs="Calibri"/>
        </w:rPr>
        <w:t>Materials generated by the police, in the investigation of the accused, and related to that purpose, are considered “fruits of the investigation” and presumptively disclosable.</w:t>
      </w:r>
      <w:r w:rsidRPr="006E03FC">
        <w:rPr>
          <w:rFonts w:ascii="Calibri" w:hAnsi="Calibri" w:cs="Calibri"/>
          <w:vertAlign w:val="superscript"/>
        </w:rPr>
        <w:endnoteReference w:id="163"/>
      </w:r>
      <w:r w:rsidRPr="006E03FC">
        <w:rPr>
          <w:rFonts w:ascii="Calibri" w:hAnsi="Calibri" w:cs="Calibri"/>
        </w:rPr>
        <w:t xml:space="preserve"> Related material that the Crown intends to rely upon as evidence in a criminal trial will always fall within the Crown’s disclosure obligations. The procedure for obtaining this material is relatively straightforward. The Crown’s duty to disclose requires no application, but rather, is triggered upon request. The duty is ongoing, and new information must be disclosed as it is received. And while the Crown’s duty is not absolute – it can invoke irrelevance or privilege to refuse disclosure – such refusals are reviewable in court, at which the Crown bears the onus of establishing the information sought is “clearly irrelevant” or privileged.</w:t>
      </w:r>
      <w:r w:rsidRPr="006E03FC">
        <w:rPr>
          <w:rFonts w:ascii="Calibri" w:hAnsi="Calibri" w:cs="Calibri"/>
          <w:vertAlign w:val="superscript"/>
        </w:rPr>
        <w:endnoteReference w:id="164"/>
      </w:r>
    </w:p>
    <w:p w14:paraId="6E7096A1" w14:textId="77777777" w:rsidR="006E03FC" w:rsidRPr="006E03FC" w:rsidRDefault="006E03FC" w:rsidP="006E03FC">
      <w:pPr>
        <w:rPr>
          <w:rFonts w:ascii="Calibri" w:hAnsi="Calibri" w:cs="Calibri"/>
        </w:rPr>
      </w:pPr>
    </w:p>
    <w:p w14:paraId="704F8A75" w14:textId="77777777" w:rsidR="006E03FC" w:rsidRPr="006E03FC" w:rsidRDefault="006E03FC" w:rsidP="006E03FC">
      <w:pPr>
        <w:rPr>
          <w:rFonts w:ascii="Calibri" w:hAnsi="Calibri" w:cs="Calibri"/>
        </w:rPr>
      </w:pPr>
      <w:r w:rsidRPr="006E03FC">
        <w:rPr>
          <w:rFonts w:ascii="Calibri" w:hAnsi="Calibri" w:cs="Calibri"/>
        </w:rPr>
        <w:t>Material not forming part of the “fruits of the investigation” and not in the possession of the Crown is not presumptively disclosable. Obtaining this material to assist an accused with their defence is much more complex. The accused must ask the Crown to obtain it from the police or other third-party organization as relevant to the defence.</w:t>
      </w:r>
      <w:r w:rsidRPr="006E03FC">
        <w:rPr>
          <w:rFonts w:ascii="Calibri" w:hAnsi="Calibri" w:cs="Calibri"/>
          <w:vertAlign w:val="superscript"/>
        </w:rPr>
        <w:endnoteReference w:id="165"/>
      </w:r>
      <w:r w:rsidRPr="006E03FC">
        <w:rPr>
          <w:rFonts w:ascii="Calibri" w:hAnsi="Calibri" w:cs="Calibri"/>
        </w:rPr>
        <w:t xml:space="preserve"> And if the outside organization refuses to provide the material, the accused’s only recourse is to bring an in-court, “third-party records” application for “production.” Here the defence applicant bears the onus of showing “likely relevance” and the application is more procedurally complex. It requires, for example, the record holder to be subpoenaed and that they be given standing in the hearing to challenge production. The ultimate determination of whether production will be granted is, equally, more complex. And it allows for the balancing of competing values, including those favouring the interests of the records holder.</w:t>
      </w:r>
      <w:r w:rsidRPr="006E03FC">
        <w:rPr>
          <w:rFonts w:ascii="Calibri" w:hAnsi="Calibri" w:cs="Calibri"/>
          <w:vertAlign w:val="superscript"/>
        </w:rPr>
        <w:endnoteReference w:id="166"/>
      </w:r>
    </w:p>
    <w:p w14:paraId="367FA0F7" w14:textId="77777777" w:rsidR="006E03FC" w:rsidRPr="006E03FC" w:rsidRDefault="006E03FC" w:rsidP="006E03FC">
      <w:pPr>
        <w:rPr>
          <w:rFonts w:ascii="Calibri" w:hAnsi="Calibri" w:cs="Calibri"/>
        </w:rPr>
      </w:pPr>
    </w:p>
    <w:p w14:paraId="594F0450" w14:textId="77777777" w:rsidR="006E03FC" w:rsidRPr="006E03FC" w:rsidRDefault="006E03FC" w:rsidP="006E03FC">
      <w:pPr>
        <w:rPr>
          <w:rFonts w:ascii="Calibri" w:hAnsi="Calibri" w:cs="Calibri"/>
        </w:rPr>
      </w:pPr>
      <w:r w:rsidRPr="006E03FC">
        <w:rPr>
          <w:rFonts w:ascii="Calibri" w:hAnsi="Calibri" w:cs="Calibri"/>
        </w:rPr>
        <w:lastRenderedPageBreak/>
        <w:t xml:space="preserve">The use of AI evidence in criminal trials presents challenges, many of which will first surface in the course of disclosure litigation. What early, extra-territorial, and analogous jurisprudence has taught us is that the corporations providing AI investigative tools will be highly reluctant to disclose any information in a public trial that will compromise market advantage. When these interests collide with the accused’s </w:t>
      </w:r>
      <w:r w:rsidRPr="006E03FC">
        <w:rPr>
          <w:rFonts w:ascii="Calibri" w:hAnsi="Calibri" w:cs="Calibri"/>
          <w:i/>
          <w:iCs/>
        </w:rPr>
        <w:t xml:space="preserve">Charter </w:t>
      </w:r>
      <w:r w:rsidRPr="006E03FC">
        <w:rPr>
          <w:rFonts w:ascii="Calibri" w:hAnsi="Calibri" w:cs="Calibri"/>
        </w:rPr>
        <w:t>protected right to a fair trial, some of the following problems emerge:</w:t>
      </w:r>
    </w:p>
    <w:p w14:paraId="47655012" w14:textId="77777777" w:rsidR="006E03FC" w:rsidRPr="006E03FC" w:rsidRDefault="006E03FC" w:rsidP="006E03FC">
      <w:pPr>
        <w:rPr>
          <w:rFonts w:ascii="Calibri" w:hAnsi="Calibri" w:cs="Calibri"/>
        </w:rPr>
      </w:pPr>
    </w:p>
    <w:p w14:paraId="14BDA8AB" w14:textId="77777777" w:rsidR="006E03FC" w:rsidRPr="006E03FC" w:rsidRDefault="006E03FC" w:rsidP="006E03FC">
      <w:pPr>
        <w:numPr>
          <w:ilvl w:val="0"/>
          <w:numId w:val="152"/>
        </w:numPr>
        <w:spacing w:after="160" w:line="259" w:lineRule="auto"/>
        <w:contextualSpacing/>
        <w:rPr>
          <w:rFonts w:ascii="Calibri" w:hAnsi="Calibri" w:cs="Calibri"/>
        </w:rPr>
      </w:pPr>
      <w:r w:rsidRPr="006E03FC">
        <w:rPr>
          <w:rFonts w:ascii="Calibri" w:hAnsi="Calibri" w:cs="Calibri"/>
        </w:rPr>
        <w:t>The appetite for secrecy on the part of police and private corporations will mean it is not always apparent that AI technology has been used to assist a police investigation and/or underlies the evidence being used to prosecute a criminal accused. A defendant cannot request disclosure of something that s/he doesn’t and cannot anticipate exists. This underscores the importance of transparency in the deployment of AI technology and the need for regulation in this area. Transparency in AI deployment cannot be a matter of discretionary decision making of individual investigative agencies.</w:t>
      </w:r>
      <w:r w:rsidRPr="006E03FC">
        <w:rPr>
          <w:rFonts w:ascii="Calibri" w:hAnsi="Calibri" w:cs="Calibri"/>
          <w:vertAlign w:val="superscript"/>
        </w:rPr>
        <w:endnoteReference w:id="167"/>
      </w:r>
    </w:p>
    <w:p w14:paraId="4AFC71B3" w14:textId="77777777" w:rsidR="006E03FC" w:rsidRPr="006E03FC" w:rsidRDefault="006E03FC" w:rsidP="006E03FC">
      <w:pPr>
        <w:ind w:left="720"/>
        <w:contextualSpacing/>
        <w:rPr>
          <w:rFonts w:ascii="Calibri" w:hAnsi="Calibri" w:cs="Calibri"/>
        </w:rPr>
      </w:pPr>
    </w:p>
    <w:p w14:paraId="51A2C81A" w14:textId="77777777" w:rsidR="006E03FC" w:rsidRPr="006E03FC" w:rsidRDefault="006E03FC" w:rsidP="006E03FC">
      <w:pPr>
        <w:numPr>
          <w:ilvl w:val="0"/>
          <w:numId w:val="152"/>
        </w:numPr>
        <w:spacing w:after="160" w:line="259" w:lineRule="auto"/>
        <w:contextualSpacing/>
        <w:rPr>
          <w:rFonts w:ascii="Calibri" w:hAnsi="Calibri" w:cs="Calibri"/>
        </w:rPr>
      </w:pPr>
      <w:r w:rsidRPr="006E03FC">
        <w:rPr>
          <w:rFonts w:ascii="Calibri" w:hAnsi="Calibri" w:cs="Calibri"/>
        </w:rPr>
        <w:t>The defendant may have disclosure of the end product, but this is not the disclosure the defence wants, nor will it allow for the reliability of AI evidence to be meaningfully scrutinized. The disclosure that the defence needs is that providing insight into how the evidence was generated, and that bearing on its reliability.</w:t>
      </w:r>
    </w:p>
    <w:p w14:paraId="6CE372BF" w14:textId="77777777" w:rsidR="006E03FC" w:rsidRPr="006E03FC" w:rsidRDefault="006E03FC" w:rsidP="006E03FC">
      <w:pPr>
        <w:ind w:left="720"/>
        <w:contextualSpacing/>
        <w:rPr>
          <w:rFonts w:ascii="Calibri" w:hAnsi="Calibri" w:cs="Calibri"/>
        </w:rPr>
      </w:pPr>
    </w:p>
    <w:p w14:paraId="6CB5F967" w14:textId="77777777" w:rsidR="006E03FC" w:rsidRPr="006E03FC" w:rsidRDefault="006E03FC" w:rsidP="006E03FC">
      <w:pPr>
        <w:numPr>
          <w:ilvl w:val="0"/>
          <w:numId w:val="152"/>
        </w:numPr>
        <w:spacing w:after="160" w:line="259" w:lineRule="auto"/>
        <w:contextualSpacing/>
        <w:rPr>
          <w:rFonts w:ascii="Calibri" w:hAnsi="Calibri" w:cs="Calibri"/>
        </w:rPr>
      </w:pPr>
      <w:r w:rsidRPr="006E03FC">
        <w:rPr>
          <w:rFonts w:ascii="Calibri" w:hAnsi="Calibri" w:cs="Calibri"/>
        </w:rPr>
        <w:t>To the extent that defence counsel wishes to obtain disclosure of the means by which AI evidence was created – access data inputs, source code or other trade secret information – this will be met with resistance. In seeking disclosure to challenge the reliability of the AI evidence, either directly or with the assistance of experts, counsel will face claims by the third-party record holders that disclosure of material in a publicly open court proceeding violates Intellectual Property rights and does irreparable damage to market advantage.</w:t>
      </w:r>
    </w:p>
    <w:p w14:paraId="1C2DD38A" w14:textId="77777777" w:rsidR="006E03FC" w:rsidRPr="006E03FC" w:rsidRDefault="006E03FC" w:rsidP="006E03FC">
      <w:pPr>
        <w:ind w:left="720"/>
        <w:contextualSpacing/>
        <w:rPr>
          <w:rFonts w:ascii="Calibri" w:hAnsi="Calibri" w:cs="Calibri"/>
        </w:rPr>
      </w:pPr>
    </w:p>
    <w:p w14:paraId="251916FF" w14:textId="77777777" w:rsidR="006E03FC" w:rsidRPr="006E03FC" w:rsidRDefault="006E03FC" w:rsidP="006E03FC">
      <w:pPr>
        <w:numPr>
          <w:ilvl w:val="0"/>
          <w:numId w:val="152"/>
        </w:numPr>
        <w:spacing w:after="160" w:line="259" w:lineRule="auto"/>
        <w:contextualSpacing/>
        <w:rPr>
          <w:rFonts w:ascii="Calibri" w:hAnsi="Calibri" w:cs="Calibri"/>
        </w:rPr>
      </w:pPr>
      <w:r w:rsidRPr="006E03FC">
        <w:rPr>
          <w:rFonts w:ascii="Calibri" w:hAnsi="Calibri" w:cs="Calibri"/>
        </w:rPr>
        <w:t>Where police derive investigative advantage from their use of AI technologies remaining secret, the police may resist disclosure on the basis of investigative privilege. Such has been claimed with respect to other, analogous technologies, such as those used in wiretap investigations.</w:t>
      </w:r>
      <w:r w:rsidRPr="006E03FC">
        <w:rPr>
          <w:rFonts w:ascii="Calibri" w:hAnsi="Calibri" w:cs="Calibri"/>
          <w:vertAlign w:val="superscript"/>
        </w:rPr>
        <w:endnoteReference w:id="168"/>
      </w:r>
    </w:p>
    <w:p w14:paraId="4E940183" w14:textId="77777777" w:rsidR="006E03FC" w:rsidRPr="006E03FC" w:rsidRDefault="006E03FC" w:rsidP="006E03FC">
      <w:pPr>
        <w:ind w:left="720"/>
        <w:contextualSpacing/>
        <w:rPr>
          <w:rFonts w:ascii="Calibri" w:hAnsi="Calibri" w:cs="Calibri"/>
        </w:rPr>
      </w:pPr>
    </w:p>
    <w:p w14:paraId="1F0AE65E" w14:textId="77777777" w:rsidR="006E03FC" w:rsidRPr="006E03FC" w:rsidRDefault="006E03FC" w:rsidP="006E03FC">
      <w:pPr>
        <w:rPr>
          <w:rFonts w:ascii="Calibri" w:hAnsi="Calibri" w:cs="Calibri"/>
        </w:rPr>
      </w:pPr>
      <w:r w:rsidRPr="006E03FC">
        <w:rPr>
          <w:rFonts w:ascii="Calibri" w:hAnsi="Calibri" w:cs="Calibri"/>
        </w:rPr>
        <w:t>AI generated evidence will be the source of much litigation. A significant portion of that will pertain to disclosure and requests for production. This is important because it is litigation around disclosure that has revealed problems with AI assisted technologies, such as that in probabilistic genotyping DNA analysis used by US forensic labs.</w:t>
      </w:r>
      <w:r w:rsidRPr="006E03FC">
        <w:rPr>
          <w:rFonts w:ascii="Calibri" w:hAnsi="Calibri" w:cs="Calibri"/>
          <w:vertAlign w:val="superscript"/>
        </w:rPr>
        <w:endnoteReference w:id="169"/>
      </w:r>
      <w:r w:rsidRPr="006E03FC">
        <w:rPr>
          <w:rFonts w:ascii="Calibri" w:hAnsi="Calibri" w:cs="Calibri"/>
        </w:rPr>
        <w:t xml:space="preserve"> </w:t>
      </w:r>
    </w:p>
    <w:p w14:paraId="00346D95" w14:textId="77777777" w:rsidR="006E03FC" w:rsidRPr="006E03FC" w:rsidRDefault="006E03FC" w:rsidP="006E03FC">
      <w:pPr>
        <w:rPr>
          <w:rFonts w:ascii="Calibri" w:hAnsi="Calibri" w:cs="Calibri"/>
        </w:rPr>
      </w:pPr>
    </w:p>
    <w:p w14:paraId="402F80AC" w14:textId="765CA0E7" w:rsidR="006E03FC" w:rsidRDefault="006E03FC" w:rsidP="006E03FC">
      <w:r w:rsidRPr="00654C22">
        <w:rPr>
          <w:rFonts w:ascii="Calibri" w:hAnsi="Calibri" w:cs="Calibri"/>
        </w:rPr>
        <w:t xml:space="preserve">Few decisions will be more important to the use and reliance on AI evidence in criminal trials than how it is treated in disclosure litigation. It is imperative that AI evidence </w:t>
      </w:r>
      <w:r w:rsidRPr="00654C22">
        <w:rPr>
          <w:rFonts w:ascii="Calibri" w:hAnsi="Calibri" w:cs="Calibri"/>
        </w:rPr>
        <w:lastRenderedPageBreak/>
        <w:t>relied upon by the prosecution of an accused, at any stage, be treated as “fruits of the investigation” and “obviously relevant” so as to fall within the Crown’s first party disclosure obligations. While not sufficient, this step is a necessary one to promote suitable scrutiny being applied to AI evidence by litigants and the courts.</w:t>
      </w:r>
    </w:p>
    <w:p w14:paraId="27BBC3B6" w14:textId="77777777" w:rsidR="006E03FC" w:rsidRDefault="006E03FC" w:rsidP="006E03FC"/>
    <w:p w14:paraId="3571FFF3" w14:textId="11B6F2B4" w:rsidR="006E03FC" w:rsidRDefault="006E03FC" w:rsidP="006E03FC">
      <w:pPr>
        <w:pStyle w:val="Heading3"/>
        <w:numPr>
          <w:ilvl w:val="2"/>
          <w:numId w:val="16"/>
        </w:numPr>
      </w:pPr>
      <w:bookmarkStart w:id="57" w:name="_Toc195598001"/>
      <w:r>
        <w:t>Proper Characterization of AI Evidence</w:t>
      </w:r>
      <w:bookmarkEnd w:id="57"/>
    </w:p>
    <w:p w14:paraId="2D405C5C" w14:textId="77777777" w:rsidR="006E03FC" w:rsidRDefault="006E03FC" w:rsidP="006E03FC"/>
    <w:p w14:paraId="053383BF" w14:textId="77777777" w:rsidR="006E03FC" w:rsidRPr="006E03FC" w:rsidRDefault="006E03FC" w:rsidP="006E03FC">
      <w:pPr>
        <w:rPr>
          <w:rFonts w:ascii="Calibri" w:hAnsi="Calibri" w:cs="Calibri"/>
        </w:rPr>
      </w:pPr>
      <w:r w:rsidRPr="006E03FC">
        <w:rPr>
          <w:rFonts w:ascii="Calibri" w:hAnsi="Calibri" w:cs="Calibri"/>
        </w:rPr>
        <w:t>What tools are available to scrutinize AI generated evidence will depend significantly on how courts answer the question: what kind of evidence is this?</w:t>
      </w:r>
    </w:p>
    <w:p w14:paraId="2451F5EE" w14:textId="77777777" w:rsidR="006E03FC" w:rsidRPr="006E03FC" w:rsidRDefault="006E03FC" w:rsidP="006E03FC">
      <w:pPr>
        <w:rPr>
          <w:rFonts w:ascii="Calibri" w:hAnsi="Calibri" w:cs="Calibri"/>
        </w:rPr>
      </w:pPr>
    </w:p>
    <w:p w14:paraId="77546022" w14:textId="77777777" w:rsidR="006E03FC" w:rsidRPr="006E03FC" w:rsidRDefault="006E03FC" w:rsidP="006E03FC">
      <w:pPr>
        <w:rPr>
          <w:rFonts w:ascii="Calibri" w:hAnsi="Calibri" w:cs="Calibri"/>
        </w:rPr>
      </w:pPr>
      <w:r w:rsidRPr="006E03FC">
        <w:rPr>
          <w:rFonts w:ascii="Calibri" w:hAnsi="Calibri" w:cs="Calibri"/>
        </w:rPr>
        <w:t>In a criminal trial, evidence comes in many different forms and serves varied purposes. Evidence can be live testimony from a courtroom witness, or an exhibit, like a document, media source, or other identifiable object. Evidence can speak to the facts a witness perceived or, in limited circumstances, the opinions the witness drew from them. Evidence can directly answer questions at trial (such that the only decision for the trier of fact is to accept or reject the evidence), or be part of a reasoning chain, making available conclusions by inference. Evidence can be considered to derive from inside the courtroom or be produced outside of the courtroom (i.e. “hearsay”). How AI evidence is characterized dictates the means by which it can be introduced in a criminal trial.</w:t>
      </w:r>
    </w:p>
    <w:p w14:paraId="7AF8ECC9" w14:textId="77777777" w:rsidR="006E03FC" w:rsidRPr="006E03FC" w:rsidRDefault="006E03FC" w:rsidP="006E03FC">
      <w:pPr>
        <w:rPr>
          <w:rFonts w:ascii="Calibri" w:hAnsi="Calibri" w:cs="Calibri"/>
        </w:rPr>
      </w:pPr>
    </w:p>
    <w:p w14:paraId="3AA0E5B6" w14:textId="77777777" w:rsidR="006E03FC" w:rsidRPr="006E03FC" w:rsidRDefault="006E03FC" w:rsidP="006E03FC">
      <w:pPr>
        <w:rPr>
          <w:rFonts w:ascii="Calibri" w:hAnsi="Calibri" w:cs="Calibri"/>
        </w:rPr>
      </w:pPr>
      <w:r w:rsidRPr="006E03FC">
        <w:rPr>
          <w:rFonts w:ascii="Calibri" w:hAnsi="Calibri" w:cs="Calibri"/>
        </w:rPr>
        <w:t>Problematically, AI evidence defies traditional categorization. Facial Recognition Technology (FRT) evidence helpfully illustrates this point. For instance, FRT might determine that an individual pictured in surveillance footage matches a mugshot on file. What kind of evidence is this? Is it akin to expert opinion evidence, like an opinion from an expert that an individual “matches” the qualities and characteristics of a gang member? Or is this evidence more like the conclusions of an intoxilyzer measuring the blood alcohol concentration found in an accused’s breath sample? Is the evidence something in between, like a cell phone tower analyst interpreting tower record data pertaining to the location and use of the accused’s phone? The answer has significant implications.</w:t>
      </w:r>
    </w:p>
    <w:p w14:paraId="49995959" w14:textId="77777777" w:rsidR="006E03FC" w:rsidRPr="006E03FC" w:rsidRDefault="006E03FC" w:rsidP="006E03FC">
      <w:pPr>
        <w:rPr>
          <w:rFonts w:ascii="Calibri" w:hAnsi="Calibri" w:cs="Calibri"/>
        </w:rPr>
      </w:pPr>
    </w:p>
    <w:p w14:paraId="1B058A32" w14:textId="77777777" w:rsidR="006E03FC" w:rsidRPr="006E03FC" w:rsidRDefault="006E03FC" w:rsidP="006E03FC">
      <w:pPr>
        <w:rPr>
          <w:rFonts w:ascii="Calibri" w:hAnsi="Calibri" w:cs="Calibri"/>
        </w:rPr>
      </w:pPr>
      <w:r w:rsidRPr="006E03FC">
        <w:rPr>
          <w:rFonts w:ascii="Calibri" w:hAnsi="Calibri" w:cs="Calibri"/>
          <w:shd w:val="clear" w:color="auto" w:fill="D5DCE4"/>
        </w:rPr>
        <w:t xml:space="preserve">SIDEBAR: A helpful discussion and comparison of AI evidence in context of bail and sentencing assessments is available in LCO AI in Criminal Justice </w:t>
      </w:r>
      <w:r w:rsidRPr="00480541">
        <w:rPr>
          <w:rFonts w:ascii="Calibri" w:hAnsi="Calibri" w:cs="Calibri"/>
          <w:b/>
          <w:bCs/>
          <w:i/>
          <w:iCs/>
          <w:shd w:val="clear" w:color="auto" w:fill="D5DCE4"/>
        </w:rPr>
        <w:t xml:space="preserve">Project Paper 3, </w:t>
      </w:r>
      <w:r w:rsidRPr="006E03FC">
        <w:rPr>
          <w:rFonts w:ascii="Calibri" w:hAnsi="Calibri" w:cs="Calibri"/>
          <w:b/>
          <w:bCs/>
          <w:i/>
          <w:iCs/>
          <w:shd w:val="clear" w:color="auto" w:fill="D5DCE4"/>
        </w:rPr>
        <w:t>AI and the Assessment of Risk in Bail, Sentencing, and Recidivism</w:t>
      </w:r>
      <w:r w:rsidRPr="006E03FC">
        <w:rPr>
          <w:rFonts w:ascii="Calibri" w:hAnsi="Calibri" w:cs="Calibri"/>
          <w:shd w:val="clear" w:color="auto" w:fill="D5DCE4"/>
        </w:rPr>
        <w:t xml:space="preserve"> at sections 3.2 and 3.4.</w:t>
      </w:r>
    </w:p>
    <w:p w14:paraId="3E9351FE" w14:textId="77777777" w:rsidR="006E03FC" w:rsidRPr="006E03FC" w:rsidRDefault="006E03FC" w:rsidP="006E03FC">
      <w:pPr>
        <w:rPr>
          <w:rFonts w:ascii="Calibri" w:hAnsi="Calibri" w:cs="Calibri"/>
        </w:rPr>
      </w:pPr>
    </w:p>
    <w:p w14:paraId="34BD4F19" w14:textId="77777777" w:rsidR="006E03FC" w:rsidRPr="006E03FC" w:rsidRDefault="006E03FC" w:rsidP="006E03FC">
      <w:pPr>
        <w:rPr>
          <w:rFonts w:ascii="Calibri" w:hAnsi="Calibri" w:cs="Calibri"/>
        </w:rPr>
      </w:pPr>
      <w:r w:rsidRPr="006E03FC">
        <w:rPr>
          <w:rFonts w:ascii="Calibri" w:hAnsi="Calibri" w:cs="Calibri"/>
        </w:rPr>
        <w:t>Expert opinion evidence, like the gang evidence reviewed above, is subject to considerable scrutiny from our courts. This has been a response to the well-recognized dangers that claimed “expert” evidence poses to the fair adjudication of criminal matters. The “danger”, broadly stated, is that “expert evidence will be misused and will distort the fact-finding process.” The concern is that “dressed up in scientific language which the jury does not easily understand and submitted through a witness of impressive antecedents, this evidence is apt to be accepted by the jury as being virtually infallible and as having more weight that it deserves.”</w:t>
      </w:r>
      <w:r w:rsidRPr="006E03FC">
        <w:rPr>
          <w:rFonts w:ascii="Calibri" w:hAnsi="Calibri" w:cs="Calibri"/>
          <w:vertAlign w:val="superscript"/>
        </w:rPr>
        <w:endnoteReference w:id="170"/>
      </w:r>
    </w:p>
    <w:p w14:paraId="5D90330B" w14:textId="77777777" w:rsidR="006E03FC" w:rsidRPr="006E03FC" w:rsidRDefault="006E03FC" w:rsidP="006E03FC">
      <w:pPr>
        <w:rPr>
          <w:rFonts w:ascii="Calibri" w:hAnsi="Calibri" w:cs="Calibri"/>
        </w:rPr>
      </w:pPr>
    </w:p>
    <w:p w14:paraId="00031959" w14:textId="77777777" w:rsidR="006E03FC" w:rsidRPr="006E03FC" w:rsidRDefault="006E03FC" w:rsidP="006E03FC">
      <w:pPr>
        <w:rPr>
          <w:rFonts w:ascii="Calibri" w:hAnsi="Calibri" w:cs="Calibri"/>
        </w:rPr>
      </w:pPr>
      <w:r w:rsidRPr="006E03FC">
        <w:rPr>
          <w:rFonts w:ascii="Calibri" w:hAnsi="Calibri" w:cs="Calibri"/>
        </w:rPr>
        <w:lastRenderedPageBreak/>
        <w:t xml:space="preserve">In response to these dangers, our courts have undergone a long and painful refinement of the test for admitting expert evidence to try and attenuate its risks. As deliberated in </w:t>
      </w:r>
      <w:r w:rsidRPr="006E03FC">
        <w:rPr>
          <w:rFonts w:ascii="Calibri" w:hAnsi="Calibri" w:cs="Calibri"/>
          <w:i/>
          <w:iCs/>
        </w:rPr>
        <w:t>White Burgess</w:t>
      </w:r>
      <w:r w:rsidRPr="006E03FC">
        <w:rPr>
          <w:rFonts w:ascii="Calibri" w:hAnsi="Calibri" w:cs="Calibri"/>
        </w:rPr>
        <w:t>:</w:t>
      </w:r>
    </w:p>
    <w:p w14:paraId="11F01179" w14:textId="77777777" w:rsidR="006E03FC" w:rsidRPr="006E03FC" w:rsidRDefault="006E03FC" w:rsidP="006E03FC">
      <w:pPr>
        <w:rPr>
          <w:rFonts w:ascii="Calibri" w:hAnsi="Calibri" w:cs="Calibri"/>
        </w:rPr>
      </w:pPr>
    </w:p>
    <w:p w14:paraId="41DB13E5" w14:textId="77777777" w:rsidR="006E03FC" w:rsidRPr="006E03FC" w:rsidRDefault="006E03FC" w:rsidP="006E03FC">
      <w:pPr>
        <w:ind w:left="720"/>
        <w:rPr>
          <w:rFonts w:ascii="Calibri" w:hAnsi="Calibri" w:cs="Calibri"/>
        </w:rPr>
      </w:pPr>
      <w:r w:rsidRPr="006E03FC">
        <w:rPr>
          <w:rFonts w:ascii="Calibri" w:hAnsi="Calibri" w:cs="Calibri"/>
        </w:rPr>
        <w:t>Since at least the mid-1990s, the Court has responded to a number of concerns about the impact on the litigation process of expert evidence of dubious value. The jurisprudence has clarified and tightened the threshold requirements for admissibility, added new requirements in order to assure reliability, particularly of novel scientific evidence, and emphasized the important role that judges should play as “gatekeepers” to screen out proposed evidence whose value does not justify the risk of confusion, time and expense that may result from its admission.</w:t>
      </w:r>
      <w:r w:rsidRPr="006E03FC">
        <w:rPr>
          <w:rFonts w:ascii="Calibri" w:hAnsi="Calibri" w:cs="Calibri"/>
          <w:vertAlign w:val="superscript"/>
        </w:rPr>
        <w:endnoteReference w:id="171"/>
      </w:r>
    </w:p>
    <w:p w14:paraId="0C96FDB1" w14:textId="77777777" w:rsidR="006E03FC" w:rsidRPr="006E03FC" w:rsidRDefault="006E03FC" w:rsidP="006E03FC">
      <w:pPr>
        <w:rPr>
          <w:rFonts w:ascii="Calibri" w:hAnsi="Calibri" w:cs="Calibri"/>
        </w:rPr>
      </w:pPr>
    </w:p>
    <w:p w14:paraId="178F21A8" w14:textId="77777777" w:rsidR="006E03FC" w:rsidRPr="006E03FC" w:rsidRDefault="006E03FC" w:rsidP="006E03FC">
      <w:pPr>
        <w:rPr>
          <w:rFonts w:ascii="Calibri" w:hAnsi="Calibri" w:cs="Calibri"/>
        </w:rPr>
      </w:pPr>
      <w:r w:rsidRPr="006E03FC">
        <w:rPr>
          <w:rFonts w:ascii="Calibri" w:hAnsi="Calibri" w:cs="Calibri"/>
        </w:rPr>
        <w:t>But as robust as these protections are, they are only applied where evidence is determined to constitute expert opinion evidence. Other, arguably similar evidence gets treated very differently by criminal courts. For example, the evidence of an intoxilyzers measurement of blood alcohol concentration is admitted without such scrutiny. This is because such evidence is subject to statutory preconditions set out in the Criminal Code that establish presumptive reliability and admissibility if these conditions are met. Consequently, such evidence can be adduced in documentary form without an automatic right to cross examine</w:t>
      </w:r>
      <w:r w:rsidRPr="006E03FC">
        <w:rPr>
          <w:rFonts w:ascii="Calibri" w:hAnsi="Calibri" w:cs="Calibri"/>
          <w:vertAlign w:val="superscript"/>
        </w:rPr>
        <w:endnoteReference w:id="172"/>
      </w:r>
      <w:r w:rsidRPr="006E03FC">
        <w:rPr>
          <w:rFonts w:ascii="Calibri" w:hAnsi="Calibri" w:cs="Calibri"/>
        </w:rPr>
        <w:t xml:space="preserve"> and that evidence is deemed “conclusive proof” of the individual’s blood alcohol concentration.</w:t>
      </w:r>
      <w:r w:rsidRPr="006E03FC">
        <w:rPr>
          <w:rFonts w:ascii="Calibri" w:hAnsi="Calibri" w:cs="Calibri"/>
          <w:vertAlign w:val="superscript"/>
        </w:rPr>
        <w:endnoteReference w:id="173"/>
      </w:r>
      <w:r w:rsidRPr="006E03FC">
        <w:rPr>
          <w:rFonts w:ascii="Calibri" w:hAnsi="Calibri" w:cs="Calibri"/>
        </w:rPr>
        <w:t xml:space="preserve"> One question for this project is whether a similar approach could establish a scheme for the routine reliability and admissibility of investigative AI technologies, and which types or class of such AI technologies might be able to satisfy such a scheme.</w:t>
      </w:r>
    </w:p>
    <w:p w14:paraId="690ADFE7" w14:textId="77777777" w:rsidR="006E03FC" w:rsidRPr="006E03FC" w:rsidRDefault="006E03FC" w:rsidP="006E03FC">
      <w:pPr>
        <w:rPr>
          <w:rFonts w:ascii="Calibri" w:hAnsi="Calibri" w:cs="Calibri"/>
        </w:rPr>
      </w:pPr>
    </w:p>
    <w:p w14:paraId="613C91C2" w14:textId="77777777" w:rsidR="006E03FC" w:rsidRPr="006E03FC" w:rsidRDefault="006E03FC" w:rsidP="006E03FC">
      <w:pPr>
        <w:rPr>
          <w:rFonts w:ascii="Calibri" w:hAnsi="Calibri" w:cs="Calibri"/>
        </w:rPr>
      </w:pPr>
      <w:r w:rsidRPr="006E03FC">
        <w:rPr>
          <w:rFonts w:ascii="Calibri" w:hAnsi="Calibri" w:cs="Calibri"/>
          <w:shd w:val="clear" w:color="auto" w:fill="D5DCE4"/>
        </w:rPr>
        <w:t xml:space="preserve">SIDEBAR: LCO AI in Criminal Justice Project </w:t>
      </w:r>
      <w:r w:rsidRPr="00480541">
        <w:rPr>
          <w:rFonts w:ascii="Calibri" w:hAnsi="Calibri" w:cs="Calibri"/>
          <w:b/>
          <w:bCs/>
          <w:i/>
          <w:iCs/>
          <w:shd w:val="clear" w:color="auto" w:fill="D5DCE4"/>
        </w:rPr>
        <w:t xml:space="preserve">Annex B, </w:t>
      </w:r>
      <w:r w:rsidRPr="006E03FC">
        <w:rPr>
          <w:rFonts w:ascii="Calibri" w:hAnsi="Calibri" w:cs="Calibri"/>
          <w:b/>
          <w:bCs/>
          <w:i/>
          <w:iCs/>
          <w:shd w:val="clear" w:color="auto" w:fill="D5DCE4"/>
        </w:rPr>
        <w:t>Project Case Studies</w:t>
      </w:r>
      <w:r w:rsidRPr="006E03FC">
        <w:rPr>
          <w:rFonts w:ascii="Calibri" w:hAnsi="Calibri" w:cs="Calibri"/>
          <w:shd w:val="clear" w:color="auto" w:fill="D5DCE4"/>
        </w:rPr>
        <w:t xml:space="preserve">, includes a helpful and detailed examination of how the </w:t>
      </w:r>
      <w:r w:rsidRPr="006E03FC">
        <w:rPr>
          <w:rFonts w:ascii="Calibri" w:hAnsi="Calibri" w:cs="Calibri"/>
          <w:i/>
          <w:iCs/>
          <w:shd w:val="clear" w:color="auto" w:fill="D5DCE4"/>
        </w:rPr>
        <w:t>Criminal Code</w:t>
      </w:r>
      <w:r w:rsidRPr="006E03FC">
        <w:rPr>
          <w:rFonts w:ascii="Calibri" w:hAnsi="Calibri" w:cs="Calibri"/>
          <w:shd w:val="clear" w:color="auto" w:fill="D5DCE4"/>
        </w:rPr>
        <w:t xml:space="preserve"> expedites investigations and process by establishing a regulatory scheme for intoxilyzer evidence, and compares this to potential AI evidence.</w:t>
      </w:r>
    </w:p>
    <w:p w14:paraId="6BB0AE71" w14:textId="77777777" w:rsidR="006E03FC" w:rsidRPr="006E03FC" w:rsidRDefault="006E03FC" w:rsidP="006E03FC">
      <w:pPr>
        <w:rPr>
          <w:rFonts w:ascii="Calibri" w:hAnsi="Calibri" w:cs="Calibri"/>
        </w:rPr>
      </w:pPr>
    </w:p>
    <w:p w14:paraId="742125A0" w14:textId="77777777" w:rsidR="006E03FC" w:rsidRPr="006E03FC" w:rsidRDefault="006E03FC" w:rsidP="006E03FC">
      <w:pPr>
        <w:rPr>
          <w:rFonts w:ascii="Calibri" w:hAnsi="Calibri" w:cs="Calibri"/>
        </w:rPr>
      </w:pPr>
      <w:r w:rsidRPr="006E03FC">
        <w:rPr>
          <w:rFonts w:ascii="Calibri" w:hAnsi="Calibri" w:cs="Calibri"/>
        </w:rPr>
        <w:t>Another analogous comparison can be made with the interpretation of evidence generated by cell phone tower data, including about the likely location of a cell phone user. While this evidence has many of the inferential hallmarks of expert opinion evidence, it has not been treated as such. The Court of Appeal for Ontario has held that such witness testimony, interpreting data generated by complex technologies, is not “proffering a novel scientific behaviour or behavioural theory that was open to debate,” rather, this was “about uncontroversial facts related to the operation of cell phone networks.”</w:t>
      </w:r>
      <w:r w:rsidRPr="006E03FC">
        <w:rPr>
          <w:rFonts w:ascii="Calibri" w:hAnsi="Calibri" w:cs="Calibri"/>
          <w:vertAlign w:val="superscript"/>
        </w:rPr>
        <w:endnoteReference w:id="174"/>
      </w:r>
    </w:p>
    <w:p w14:paraId="36AD5FA4" w14:textId="77777777" w:rsidR="006E03FC" w:rsidRPr="006E03FC" w:rsidRDefault="006E03FC" w:rsidP="006E03FC">
      <w:pPr>
        <w:rPr>
          <w:rFonts w:ascii="Calibri" w:hAnsi="Calibri" w:cs="Calibri"/>
        </w:rPr>
      </w:pPr>
    </w:p>
    <w:p w14:paraId="6C005AE4" w14:textId="343ADB70" w:rsidR="006E03FC" w:rsidRDefault="006E03FC" w:rsidP="006E03FC">
      <w:r w:rsidRPr="00654C22">
        <w:rPr>
          <w:rFonts w:ascii="Calibri" w:hAnsi="Calibri" w:cs="Calibri"/>
        </w:rPr>
        <w:t xml:space="preserve">Whether AI evidence is considered potentially dangerous, novel, scientific expert opinion evidence on the one hand, or uncontroversial statements of fact on the other, will significantly impact the means used by courts to scrutinize its reliability and admit AI evidence at trial. It is imperative for courts to recognize that technologies such as breath </w:t>
      </w:r>
      <w:r w:rsidRPr="00654C22">
        <w:rPr>
          <w:rFonts w:ascii="Calibri" w:hAnsi="Calibri" w:cs="Calibri"/>
        </w:rPr>
        <w:lastRenderedPageBreak/>
        <w:t>testing machines and cell phone towers have been the subject of extensive regulation and study. This, perhaps, explains why courts have cautiously accepted their evidence with reduced scrutiny. This underscores the importance of ensuring appropriate study and regulation of AI evidence generating tools is performed.</w:t>
      </w:r>
    </w:p>
    <w:p w14:paraId="2F095C24" w14:textId="77777777" w:rsidR="006E03FC" w:rsidRDefault="006E03FC" w:rsidP="006E03FC"/>
    <w:p w14:paraId="7D787895" w14:textId="1FC9298E" w:rsidR="006E03FC" w:rsidRDefault="006E03FC" w:rsidP="006E03FC">
      <w:pPr>
        <w:pStyle w:val="Heading3"/>
        <w:numPr>
          <w:ilvl w:val="2"/>
          <w:numId w:val="16"/>
        </w:numPr>
      </w:pPr>
      <w:bookmarkStart w:id="58" w:name="_Toc195598002"/>
      <w:r>
        <w:t>Hearing Type</w:t>
      </w:r>
      <w:bookmarkEnd w:id="58"/>
    </w:p>
    <w:p w14:paraId="15BD71F3" w14:textId="77777777" w:rsidR="006E03FC" w:rsidRDefault="006E03FC" w:rsidP="006E03FC"/>
    <w:p w14:paraId="34F2C79C" w14:textId="77777777" w:rsidR="006E03FC" w:rsidRPr="006E03FC" w:rsidRDefault="006E03FC" w:rsidP="006E03FC">
      <w:pPr>
        <w:rPr>
          <w:rFonts w:ascii="Calibri" w:hAnsi="Calibri" w:cs="Calibri"/>
        </w:rPr>
      </w:pPr>
      <w:r w:rsidRPr="006E03FC">
        <w:rPr>
          <w:rFonts w:ascii="Calibri" w:hAnsi="Calibri" w:cs="Calibri"/>
        </w:rPr>
        <w:t>Just as the proper characterization of AI evidence impacts its admissibility, so too does the nature of the hearing.</w:t>
      </w:r>
    </w:p>
    <w:p w14:paraId="60E06BF5" w14:textId="77777777" w:rsidR="006E03FC" w:rsidRPr="006E03FC" w:rsidRDefault="006E03FC" w:rsidP="006E03FC">
      <w:pPr>
        <w:rPr>
          <w:rFonts w:ascii="Calibri" w:hAnsi="Calibri" w:cs="Calibri"/>
        </w:rPr>
      </w:pPr>
    </w:p>
    <w:p w14:paraId="1C9A905D" w14:textId="77777777" w:rsidR="006E03FC" w:rsidRPr="006E03FC" w:rsidRDefault="006E03FC" w:rsidP="006E03FC">
      <w:pPr>
        <w:rPr>
          <w:rFonts w:ascii="Calibri" w:hAnsi="Calibri" w:cs="Calibri"/>
        </w:rPr>
      </w:pPr>
      <w:r w:rsidRPr="006E03FC">
        <w:rPr>
          <w:rFonts w:ascii="Calibri" w:hAnsi="Calibri" w:cs="Calibri"/>
        </w:rPr>
        <w:t>A criminal prosecution may culminate in a trial where the question of whether guilt has been proven beyond a reasonable doubt is ultimately answered. However, a criminal trial includes and is informed by several related hearings: hearings to determine the admissibility of evidence, to organize matters of procedure, and even to impose sentence on an accused found guilty.</w:t>
      </w:r>
    </w:p>
    <w:p w14:paraId="70A10B03" w14:textId="77777777" w:rsidR="006E03FC" w:rsidRPr="006E03FC" w:rsidRDefault="006E03FC" w:rsidP="006E03FC">
      <w:pPr>
        <w:rPr>
          <w:rFonts w:ascii="Calibri" w:hAnsi="Calibri" w:cs="Calibri"/>
        </w:rPr>
      </w:pPr>
    </w:p>
    <w:p w14:paraId="6D305A03" w14:textId="77777777" w:rsidR="006E03FC" w:rsidRPr="006E03FC" w:rsidRDefault="006E03FC" w:rsidP="006E03FC">
      <w:pPr>
        <w:rPr>
          <w:rFonts w:ascii="Calibri" w:hAnsi="Calibri" w:cs="Calibri"/>
        </w:rPr>
      </w:pPr>
      <w:r w:rsidRPr="006E03FC">
        <w:rPr>
          <w:rFonts w:ascii="Calibri" w:hAnsi="Calibri" w:cs="Calibri"/>
        </w:rPr>
        <w:t>Hearings and trials operate on different legal and evidential standards. There can even be differing standards across hearings. Where in the process litigants seek to introduce AI evidence will dramatically impact how and the degree to which admissibility is assessed. This suggests both practical concerns, such as how AI evidence will be adduced, and strategic concerns that could confound existing problems with complexity and delay in criminal litigation.</w:t>
      </w:r>
    </w:p>
    <w:p w14:paraId="72FA22E4" w14:textId="77777777" w:rsidR="006E03FC" w:rsidRPr="006E03FC" w:rsidRDefault="006E03FC" w:rsidP="006E03FC">
      <w:pPr>
        <w:rPr>
          <w:rFonts w:ascii="Calibri" w:hAnsi="Calibri" w:cs="Calibri"/>
        </w:rPr>
      </w:pPr>
    </w:p>
    <w:p w14:paraId="01198423" w14:textId="77777777" w:rsidR="006E03FC" w:rsidRPr="006E03FC" w:rsidRDefault="006E03FC" w:rsidP="006E03FC">
      <w:pPr>
        <w:rPr>
          <w:rFonts w:ascii="Calibri" w:hAnsi="Calibri" w:cs="Calibri"/>
        </w:rPr>
      </w:pPr>
      <w:r w:rsidRPr="006E03FC">
        <w:rPr>
          <w:rFonts w:ascii="Calibri" w:hAnsi="Calibri" w:cs="Calibri"/>
        </w:rPr>
        <w:t>For instance, one might assume that the use of AI evidence to obtain a search warrant would result in a high degree of procedural scrutiny being applied to that evidence. After all, our courts have long recognized the immense intrusion upon personal privacy occasioned by the search of our private physical and digital spaces.</w:t>
      </w:r>
      <w:r w:rsidRPr="006E03FC">
        <w:rPr>
          <w:rFonts w:ascii="Calibri" w:hAnsi="Calibri" w:cs="Calibri"/>
          <w:vertAlign w:val="superscript"/>
        </w:rPr>
        <w:endnoteReference w:id="175"/>
      </w:r>
      <w:r w:rsidRPr="006E03FC">
        <w:rPr>
          <w:rFonts w:ascii="Calibri" w:hAnsi="Calibri" w:cs="Calibri"/>
        </w:rPr>
        <w:t xml:space="preserve"> However, the reduced evidentiary standards that apply to search warrant applications indicate how this forum may be a poor a check and balance on police use of AI investigative tools. </w:t>
      </w:r>
    </w:p>
    <w:p w14:paraId="4AEED734" w14:textId="77777777" w:rsidR="006E03FC" w:rsidRPr="006E03FC" w:rsidRDefault="006E03FC" w:rsidP="006E03FC">
      <w:pPr>
        <w:rPr>
          <w:rFonts w:ascii="Calibri" w:hAnsi="Calibri" w:cs="Calibri"/>
        </w:rPr>
      </w:pPr>
    </w:p>
    <w:p w14:paraId="47C2D157" w14:textId="77777777" w:rsidR="006E03FC" w:rsidRPr="006E03FC" w:rsidRDefault="006E03FC" w:rsidP="006E03FC">
      <w:pPr>
        <w:rPr>
          <w:rFonts w:ascii="Calibri" w:hAnsi="Calibri" w:cs="Calibri"/>
        </w:rPr>
      </w:pPr>
      <w:r w:rsidRPr="006E03FC">
        <w:rPr>
          <w:rFonts w:ascii="Calibri" w:hAnsi="Calibri" w:cs="Calibri"/>
        </w:rPr>
        <w:t xml:space="preserve">Where AI tools are used to generate reasonable and probable grounds, such as where FRT is used to identify a suspect for purposes of obtaining a search warrant, the appropriate forum of litigation is a </w:t>
      </w:r>
      <w:r w:rsidRPr="006E03FC">
        <w:rPr>
          <w:rFonts w:ascii="Calibri" w:hAnsi="Calibri" w:cs="Calibri"/>
          <w:i/>
          <w:iCs/>
        </w:rPr>
        <w:t xml:space="preserve">Charter </w:t>
      </w:r>
      <w:r w:rsidRPr="006E03FC">
        <w:rPr>
          <w:rFonts w:ascii="Calibri" w:hAnsi="Calibri" w:cs="Calibri"/>
        </w:rPr>
        <w:t>challenge to the sufficiency of the warrant. This presents several difficulties and evidentiary gaps which illustrates both this specific example and the broader problem of relying on AI-mediated systems in a criminal proceeding. For example:</w:t>
      </w:r>
    </w:p>
    <w:p w14:paraId="17E5C7AE" w14:textId="77777777" w:rsidR="006E03FC" w:rsidRPr="006E03FC" w:rsidRDefault="006E03FC" w:rsidP="006E03FC">
      <w:pPr>
        <w:rPr>
          <w:rFonts w:ascii="Calibri" w:hAnsi="Calibri" w:cs="Calibri"/>
        </w:rPr>
      </w:pPr>
    </w:p>
    <w:p w14:paraId="652A2637" w14:textId="77777777" w:rsidR="006E03FC" w:rsidRPr="006E03FC" w:rsidRDefault="006E03FC" w:rsidP="006E03FC">
      <w:pPr>
        <w:numPr>
          <w:ilvl w:val="0"/>
          <w:numId w:val="125"/>
        </w:numPr>
        <w:spacing w:after="160" w:line="259" w:lineRule="auto"/>
        <w:contextualSpacing/>
        <w:rPr>
          <w:rFonts w:ascii="Calibri" w:hAnsi="Calibri" w:cs="Calibri"/>
        </w:rPr>
      </w:pPr>
      <w:r w:rsidRPr="006E03FC">
        <w:rPr>
          <w:rFonts w:ascii="Calibri" w:hAnsi="Calibri" w:cs="Calibri"/>
        </w:rPr>
        <w:t>An affiant (the person who swears the document requesting a search warrant) relying on information to obtain a search warrant (e.g., AI-mediated information) is not strictly required to investigate the reliability of the information to include it in the application;</w:t>
      </w:r>
    </w:p>
    <w:p w14:paraId="1D08FB2D" w14:textId="77777777" w:rsidR="006E03FC" w:rsidRPr="006E03FC" w:rsidRDefault="006E03FC" w:rsidP="006E03FC">
      <w:pPr>
        <w:numPr>
          <w:ilvl w:val="0"/>
          <w:numId w:val="125"/>
        </w:numPr>
        <w:spacing w:after="160" w:line="259" w:lineRule="auto"/>
        <w:contextualSpacing/>
        <w:rPr>
          <w:rFonts w:ascii="Calibri" w:hAnsi="Calibri" w:cs="Calibri"/>
        </w:rPr>
      </w:pPr>
      <w:r w:rsidRPr="006E03FC">
        <w:rPr>
          <w:rFonts w:ascii="Calibri" w:hAnsi="Calibri" w:cs="Calibri"/>
        </w:rPr>
        <w:lastRenderedPageBreak/>
        <w:t xml:space="preserve">Information included in a police application to obtain a search warrant (the “Information to Obtain”, or ITO) can later be found to be unreliable and incorrect and this will not necessarily ground a </w:t>
      </w:r>
      <w:r w:rsidRPr="006E03FC">
        <w:rPr>
          <w:rFonts w:ascii="Calibri" w:hAnsi="Calibri" w:cs="Calibri"/>
          <w:i/>
          <w:iCs/>
        </w:rPr>
        <w:t xml:space="preserve">Charter </w:t>
      </w:r>
      <w:r w:rsidRPr="006E03FC">
        <w:rPr>
          <w:rFonts w:ascii="Calibri" w:hAnsi="Calibri" w:cs="Calibri"/>
        </w:rPr>
        <w:t>violation;</w:t>
      </w:r>
    </w:p>
    <w:p w14:paraId="7C98B61A" w14:textId="77777777" w:rsidR="006E03FC" w:rsidRPr="006E03FC" w:rsidRDefault="006E03FC" w:rsidP="006E03FC">
      <w:pPr>
        <w:numPr>
          <w:ilvl w:val="0"/>
          <w:numId w:val="125"/>
        </w:numPr>
        <w:spacing w:after="160" w:line="259" w:lineRule="auto"/>
        <w:contextualSpacing/>
        <w:rPr>
          <w:rFonts w:ascii="Calibri" w:hAnsi="Calibri" w:cs="Calibri"/>
        </w:rPr>
      </w:pPr>
      <w:r w:rsidRPr="006E03FC">
        <w:rPr>
          <w:rFonts w:ascii="Calibri" w:hAnsi="Calibri" w:cs="Calibri"/>
        </w:rPr>
        <w:t>The test for whether unreliable information was unreasonably relied upon by an affiant and thus must be excised (removed) from the warrant does not examine whether the information is ultimately misleading / unreliable, but rather, whether an affiant knew or ought to have known it was misleading / unreliable which, in the case of AI, suggests unearned reliance on a commonly held view that an AI system is reliable, or developer representations to that fact;</w:t>
      </w:r>
    </w:p>
    <w:p w14:paraId="098EEB99" w14:textId="77777777" w:rsidR="006E03FC" w:rsidRPr="006E03FC" w:rsidRDefault="006E03FC" w:rsidP="006E03FC">
      <w:pPr>
        <w:numPr>
          <w:ilvl w:val="0"/>
          <w:numId w:val="125"/>
        </w:numPr>
        <w:spacing w:after="160" w:line="259" w:lineRule="auto"/>
        <w:contextualSpacing/>
        <w:rPr>
          <w:rFonts w:ascii="Calibri" w:hAnsi="Calibri" w:cs="Calibri"/>
        </w:rPr>
      </w:pPr>
      <w:r w:rsidRPr="006E03FC">
        <w:rPr>
          <w:rFonts w:ascii="Calibri" w:hAnsi="Calibri" w:cs="Calibri"/>
        </w:rPr>
        <w:t xml:space="preserve">Search warrant challenges have been found to require reduced levels of disclosure given the narrow scope of the issue being litigated, which is done on the basis of whether an issuing justice </w:t>
      </w:r>
      <w:r w:rsidRPr="006E03FC">
        <w:rPr>
          <w:rFonts w:ascii="Calibri" w:hAnsi="Calibri" w:cs="Calibri"/>
          <w:i/>
          <w:iCs/>
        </w:rPr>
        <w:t xml:space="preserve">could </w:t>
      </w:r>
      <w:r w:rsidRPr="006E03FC">
        <w:rPr>
          <w:rFonts w:ascii="Calibri" w:hAnsi="Calibri" w:cs="Calibri"/>
        </w:rPr>
        <w:t>have reasonably issued the warrant based on the information provided;</w:t>
      </w:r>
    </w:p>
    <w:p w14:paraId="4AF112A4" w14:textId="77777777" w:rsidR="006E03FC" w:rsidRPr="006E03FC" w:rsidRDefault="006E03FC" w:rsidP="006E03FC">
      <w:pPr>
        <w:numPr>
          <w:ilvl w:val="0"/>
          <w:numId w:val="125"/>
        </w:numPr>
        <w:spacing w:after="160" w:line="259" w:lineRule="auto"/>
        <w:contextualSpacing/>
        <w:rPr>
          <w:rFonts w:ascii="Calibri" w:hAnsi="Calibri" w:cs="Calibri"/>
        </w:rPr>
      </w:pPr>
      <w:r w:rsidRPr="006E03FC">
        <w:rPr>
          <w:rFonts w:ascii="Calibri" w:hAnsi="Calibri" w:cs="Calibri"/>
        </w:rPr>
        <w:t xml:space="preserve">Search warrant jurisprudence has constrained a </w:t>
      </w:r>
      <w:r w:rsidRPr="006E03FC">
        <w:rPr>
          <w:rFonts w:ascii="Calibri" w:hAnsi="Calibri" w:cs="Calibri"/>
          <w:i/>
          <w:iCs/>
        </w:rPr>
        <w:t xml:space="preserve">Charter </w:t>
      </w:r>
      <w:r w:rsidRPr="006E03FC">
        <w:rPr>
          <w:rFonts w:ascii="Calibri" w:hAnsi="Calibri" w:cs="Calibri"/>
        </w:rPr>
        <w:t xml:space="preserve">claimant’s ability to cross-examine an affiant on the contents of their ITO due to the narrow issues being litigated, namely, did the affiant knowingly include misleading or unreliable information in the search warrant application; </w:t>
      </w:r>
    </w:p>
    <w:p w14:paraId="1D64F10D" w14:textId="77777777" w:rsidR="006E03FC" w:rsidRPr="006E03FC" w:rsidRDefault="006E03FC" w:rsidP="006E03FC">
      <w:pPr>
        <w:numPr>
          <w:ilvl w:val="0"/>
          <w:numId w:val="125"/>
        </w:numPr>
        <w:spacing w:after="160" w:line="259" w:lineRule="auto"/>
        <w:contextualSpacing/>
        <w:rPr>
          <w:rFonts w:ascii="Calibri" w:hAnsi="Calibri" w:cs="Calibri"/>
        </w:rPr>
      </w:pPr>
      <w:r w:rsidRPr="006E03FC">
        <w:rPr>
          <w:rFonts w:ascii="Calibri" w:hAnsi="Calibri" w:cs="Calibri"/>
        </w:rPr>
        <w:t xml:space="preserve">The evidential standards are relaxed in </w:t>
      </w:r>
      <w:r w:rsidRPr="006E03FC">
        <w:rPr>
          <w:rFonts w:ascii="Calibri" w:hAnsi="Calibri" w:cs="Calibri"/>
          <w:i/>
          <w:iCs/>
        </w:rPr>
        <w:t xml:space="preserve">Charter </w:t>
      </w:r>
      <w:r w:rsidRPr="006E03FC">
        <w:rPr>
          <w:rFonts w:ascii="Calibri" w:hAnsi="Calibri" w:cs="Calibri"/>
        </w:rPr>
        <w:t>applications, and allow for police and judicial reliance on hearsay (thus potentially allowing reliance on AI-based recommendations, statements or evidence without further challenge or validation);</w:t>
      </w:r>
    </w:p>
    <w:p w14:paraId="44804089" w14:textId="77777777" w:rsidR="006E03FC" w:rsidRPr="006E03FC" w:rsidRDefault="006E03FC" w:rsidP="006E03FC">
      <w:pPr>
        <w:numPr>
          <w:ilvl w:val="0"/>
          <w:numId w:val="125"/>
        </w:numPr>
        <w:spacing w:after="160" w:line="259" w:lineRule="auto"/>
        <w:contextualSpacing/>
        <w:rPr>
          <w:rFonts w:ascii="Calibri" w:hAnsi="Calibri" w:cs="Calibri"/>
        </w:rPr>
      </w:pPr>
      <w:r w:rsidRPr="006E03FC">
        <w:rPr>
          <w:rFonts w:ascii="Calibri" w:hAnsi="Calibri" w:cs="Calibri"/>
        </w:rPr>
        <w:t xml:space="preserve">Unlike in the criminal trial proper, the onus on establishing a </w:t>
      </w:r>
      <w:r w:rsidRPr="006E03FC">
        <w:rPr>
          <w:rFonts w:ascii="Calibri" w:hAnsi="Calibri" w:cs="Calibri"/>
          <w:i/>
          <w:iCs/>
        </w:rPr>
        <w:t xml:space="preserve">Charter </w:t>
      </w:r>
      <w:r w:rsidRPr="006E03FC">
        <w:rPr>
          <w:rFonts w:ascii="Calibri" w:hAnsi="Calibri" w:cs="Calibri"/>
        </w:rPr>
        <w:t>claim, and by extension, the unreliability of the information upon which the police relied, is on the party advancing the challenge – the defendant; and,</w:t>
      </w:r>
    </w:p>
    <w:p w14:paraId="0738A62F" w14:textId="77777777" w:rsidR="006E03FC" w:rsidRPr="006E03FC" w:rsidRDefault="006E03FC" w:rsidP="006E03FC">
      <w:pPr>
        <w:numPr>
          <w:ilvl w:val="0"/>
          <w:numId w:val="125"/>
        </w:numPr>
        <w:spacing w:after="160" w:line="259" w:lineRule="auto"/>
        <w:contextualSpacing/>
        <w:rPr>
          <w:rFonts w:ascii="Calibri" w:hAnsi="Calibri" w:cs="Calibri"/>
        </w:rPr>
      </w:pPr>
      <w:r w:rsidRPr="006E03FC">
        <w:rPr>
          <w:rFonts w:ascii="Calibri" w:hAnsi="Calibri" w:cs="Calibri"/>
          <w:i/>
          <w:iCs/>
        </w:rPr>
        <w:t xml:space="preserve">Charter </w:t>
      </w:r>
      <w:r w:rsidRPr="006E03FC">
        <w:rPr>
          <w:rFonts w:ascii="Calibri" w:hAnsi="Calibri" w:cs="Calibri"/>
        </w:rPr>
        <w:t>litigation is resolved on lower standards than proof beyond a reasonable doubt.</w:t>
      </w:r>
    </w:p>
    <w:p w14:paraId="234C0775" w14:textId="77777777" w:rsidR="006E03FC" w:rsidRPr="006E03FC" w:rsidRDefault="006E03FC" w:rsidP="006E03FC">
      <w:pPr>
        <w:rPr>
          <w:rFonts w:ascii="Calibri" w:hAnsi="Calibri" w:cs="Calibri"/>
        </w:rPr>
      </w:pPr>
    </w:p>
    <w:p w14:paraId="36C6D7B1" w14:textId="77777777" w:rsidR="006E03FC" w:rsidRPr="006E03FC" w:rsidRDefault="006E03FC" w:rsidP="006E03FC">
      <w:pPr>
        <w:rPr>
          <w:rFonts w:ascii="Calibri" w:hAnsi="Calibri" w:cs="Calibri"/>
        </w:rPr>
      </w:pPr>
      <w:r w:rsidRPr="006E03FC">
        <w:rPr>
          <w:rFonts w:ascii="Calibri" w:hAnsi="Calibri" w:cs="Calibri"/>
        </w:rPr>
        <w:t xml:space="preserve">Again, this is just one example, but it is highly illustrative. For the reasons canvassed above, it is possible, if not likely, that if police included unreliable FRT information in a search warrant application that it could go effectively unchallenged in subsequent </w:t>
      </w:r>
      <w:r w:rsidRPr="006E03FC">
        <w:rPr>
          <w:rFonts w:ascii="Calibri" w:hAnsi="Calibri" w:cs="Calibri"/>
          <w:i/>
          <w:iCs/>
        </w:rPr>
        <w:t xml:space="preserve">Charter </w:t>
      </w:r>
      <w:r w:rsidRPr="006E03FC">
        <w:rPr>
          <w:rFonts w:ascii="Calibri" w:hAnsi="Calibri" w:cs="Calibri"/>
        </w:rPr>
        <w:t>litigation.</w:t>
      </w:r>
    </w:p>
    <w:p w14:paraId="054D6005" w14:textId="77777777" w:rsidR="006E03FC" w:rsidRPr="006E03FC" w:rsidRDefault="006E03FC" w:rsidP="006E03FC">
      <w:pPr>
        <w:rPr>
          <w:rFonts w:ascii="Calibri" w:hAnsi="Calibri" w:cs="Calibri"/>
        </w:rPr>
      </w:pPr>
    </w:p>
    <w:p w14:paraId="611BFB7A" w14:textId="17F3B236" w:rsidR="00630390" w:rsidRPr="006E03FC" w:rsidRDefault="006E03FC" w:rsidP="006E03FC">
      <w:pPr>
        <w:rPr>
          <w:rFonts w:ascii="Calibri" w:hAnsi="Calibri" w:cs="Calibri"/>
        </w:rPr>
      </w:pPr>
      <w:r w:rsidRPr="006E03FC">
        <w:rPr>
          <w:rFonts w:ascii="Calibri" w:hAnsi="Calibri" w:cs="Calibri"/>
        </w:rPr>
        <w:t>The broader point is that the forum in which the admissibility of AI evidence is determined greatly impacts the scrutiny applied to that evidence. AI evidence the Crown seeks to directly introduce at trial, as evidence going to the very issues the trier of fact needs to determine, may receive a higher level of scrutiny. But AI evidence being generated and introduced for other purposes could be allowed in on lesser rigorous standards, with a tremendous negative impact on procedural fairness. No assessment of the preconditions to the use and admissibility of AI evidence is complete without careful examination of the varied ways in which AI evidence can find its way into the criminal litigation process.</w:t>
      </w:r>
      <w:bookmarkStart w:id="59" w:name="_Toc181788269"/>
    </w:p>
    <w:p w14:paraId="4D0AB7A5" w14:textId="598FDBCB" w:rsidR="00630390" w:rsidRPr="00F353EB" w:rsidRDefault="00630390" w:rsidP="00F353EB">
      <w:pPr>
        <w:pStyle w:val="Heading2"/>
        <w:numPr>
          <w:ilvl w:val="1"/>
          <w:numId w:val="16"/>
        </w:numPr>
        <w:rPr>
          <w:color w:val="1F4D78" w:themeColor="accent1" w:themeShade="7F"/>
        </w:rPr>
      </w:pPr>
      <w:bookmarkStart w:id="60" w:name="_Toc195598003"/>
      <w:r w:rsidRPr="00F353EB">
        <w:lastRenderedPageBreak/>
        <w:t>Accessibility Issues Impacting Procedural Fairness</w:t>
      </w:r>
      <w:bookmarkEnd w:id="59"/>
      <w:bookmarkEnd w:id="60"/>
    </w:p>
    <w:p w14:paraId="2F340EC8" w14:textId="77777777" w:rsidR="00630390" w:rsidRPr="001E0D8B" w:rsidRDefault="00630390" w:rsidP="001E0D8B">
      <w:pPr>
        <w:rPr>
          <w:rFonts w:ascii="Calibri" w:hAnsi="Calibri" w:cs="Calibri"/>
        </w:rPr>
      </w:pPr>
    </w:p>
    <w:p w14:paraId="7B27E053" w14:textId="77777777" w:rsidR="00630390" w:rsidRPr="001E0D8B" w:rsidRDefault="00630390" w:rsidP="001E0D8B">
      <w:pPr>
        <w:rPr>
          <w:rFonts w:ascii="Calibri" w:hAnsi="Calibri" w:cs="Calibri"/>
        </w:rPr>
      </w:pPr>
      <w:r w:rsidRPr="001E0D8B">
        <w:rPr>
          <w:rFonts w:ascii="Calibri" w:hAnsi="Calibri" w:cs="Calibri"/>
        </w:rPr>
        <w:t>Accessibility broadly refers to issues faced by individual actors in confronting AI in a criminal trial. These exist even if some of the barriers outlined above are resolved. For the purposes of this section, issues of accessibility can be helpfully understood as those relating to technical complexity / explainability, and those stemming from resource constraints and disadvantage.</w:t>
      </w:r>
    </w:p>
    <w:p w14:paraId="43D5CFE8" w14:textId="77777777" w:rsidR="00630390" w:rsidRPr="001E0D8B" w:rsidRDefault="00630390" w:rsidP="001E0D8B">
      <w:pPr>
        <w:rPr>
          <w:rFonts w:ascii="Calibri" w:hAnsi="Calibri" w:cs="Calibri"/>
        </w:rPr>
      </w:pPr>
    </w:p>
    <w:p w14:paraId="0EAD694B" w14:textId="7C8C64BA" w:rsidR="00630390" w:rsidRPr="00F353EB" w:rsidRDefault="00630390" w:rsidP="00F353EB">
      <w:pPr>
        <w:pStyle w:val="Heading3"/>
        <w:numPr>
          <w:ilvl w:val="2"/>
          <w:numId w:val="16"/>
        </w:numPr>
      </w:pPr>
      <w:bookmarkStart w:id="61" w:name="_Toc181788270"/>
      <w:bookmarkStart w:id="62" w:name="_Toc195598004"/>
      <w:r w:rsidRPr="001E0D8B">
        <w:t>Technical complexity and explainability</w:t>
      </w:r>
      <w:bookmarkEnd w:id="61"/>
      <w:bookmarkEnd w:id="62"/>
    </w:p>
    <w:p w14:paraId="18C9B7DA" w14:textId="77777777" w:rsidR="00630390" w:rsidRPr="001E0D8B" w:rsidRDefault="00630390" w:rsidP="001E0D8B">
      <w:pPr>
        <w:rPr>
          <w:rFonts w:ascii="Calibri" w:hAnsi="Calibri" w:cs="Calibri"/>
        </w:rPr>
      </w:pPr>
    </w:p>
    <w:p w14:paraId="0D9EEE0E" w14:textId="77777777" w:rsidR="00630390" w:rsidRDefault="00630390" w:rsidP="001E0D8B">
      <w:pPr>
        <w:rPr>
          <w:rFonts w:ascii="Calibri" w:hAnsi="Calibri" w:cs="Calibri"/>
        </w:rPr>
      </w:pPr>
      <w:r w:rsidRPr="001E0D8B">
        <w:rPr>
          <w:rFonts w:ascii="Calibri" w:hAnsi="Calibri" w:cs="Calibri"/>
        </w:rPr>
        <w:t xml:space="preserve">AI is complex – in many cases too complex for lay persons to understand. The introduction of further complexity into criminal trials will be deemed unwelcome by many. Criminal trials are already lamented as too complicated. The Supreme Court recently commented on the “increasing complexity of criminal trials” that originated with the introduction of wiretap admissibility challenges in 1974, and which became supercharged with the advent of the </w:t>
      </w:r>
      <w:r w:rsidRPr="001E0D8B">
        <w:rPr>
          <w:rFonts w:ascii="Calibri" w:hAnsi="Calibri" w:cs="Calibri"/>
          <w:i/>
          <w:iCs/>
        </w:rPr>
        <w:t>Charter</w:t>
      </w:r>
      <w:r w:rsidRPr="001E0D8B">
        <w:rPr>
          <w:rFonts w:ascii="Calibri" w:hAnsi="Calibri" w:cs="Calibri"/>
        </w:rPr>
        <w:t>.</w:t>
      </w:r>
      <w:r w:rsidRPr="001E0D8B">
        <w:rPr>
          <w:rFonts w:ascii="Calibri" w:hAnsi="Calibri" w:cs="Calibri"/>
          <w:vertAlign w:val="superscript"/>
        </w:rPr>
        <w:endnoteReference w:id="176"/>
      </w:r>
      <w:r w:rsidRPr="001E0D8B">
        <w:rPr>
          <w:rFonts w:ascii="Calibri" w:hAnsi="Calibri" w:cs="Calibri"/>
        </w:rPr>
        <w:t xml:space="preserve"> The introduction of AI-produced evidence into criminal trials will inevitably add multiple layers of technical complexity to an already over-complicated system.</w:t>
      </w:r>
    </w:p>
    <w:p w14:paraId="2D2CE2C5" w14:textId="77777777" w:rsidR="00371DE6" w:rsidRDefault="00371DE6" w:rsidP="001E0D8B">
      <w:pPr>
        <w:rPr>
          <w:rFonts w:ascii="Calibri" w:hAnsi="Calibri" w:cs="Calibri"/>
        </w:rPr>
      </w:pPr>
    </w:p>
    <w:p w14:paraId="780C51FE" w14:textId="0BB268CD" w:rsidR="00371DE6" w:rsidRPr="001E0D8B" w:rsidRDefault="00371DE6" w:rsidP="001E0D8B">
      <w:pPr>
        <w:rPr>
          <w:rFonts w:ascii="Calibri" w:hAnsi="Calibri" w:cs="Calibri"/>
        </w:rPr>
      </w:pPr>
      <w:r w:rsidRPr="00F353EB">
        <w:rPr>
          <w:rFonts w:ascii="Calibri" w:eastAsia="Calibri" w:hAnsi="Calibri" w:cs="Calibri"/>
          <w:kern w:val="2"/>
          <w14:ligatures w14:val="standardContextual"/>
        </w:rPr>
        <w:t>For instance, AI-enabled systems may supplement or supplant human decision making, potentially skirting human checks and balances, and covertly relying on implicit biases in technological analyses. AI may also undermine human and professional accountability by encouraging people to accept findings and recommendations from “super-human systems”, without engaging a critical lens. People also lose the ability to objectively analyze the data where there is no opportunity for a human to review or challenge AI recommendations or conclusions.</w:t>
      </w:r>
    </w:p>
    <w:p w14:paraId="251F49FB" w14:textId="77777777" w:rsidR="00630390" w:rsidRPr="001E0D8B" w:rsidRDefault="00630390" w:rsidP="001E0D8B">
      <w:pPr>
        <w:rPr>
          <w:rFonts w:ascii="Calibri" w:hAnsi="Calibri" w:cs="Calibri"/>
          <w:color w:val="000000"/>
          <w:shd w:val="clear" w:color="auto" w:fill="FFFFFF"/>
        </w:rPr>
      </w:pPr>
    </w:p>
    <w:p w14:paraId="0AA1D4D2" w14:textId="58FD7AE2" w:rsidR="00C86BAC" w:rsidRDefault="00371DE6" w:rsidP="001C7104">
      <w:pPr>
        <w:rPr>
          <w:rFonts w:ascii="Calibri" w:hAnsi="Calibri" w:cs="Calibri"/>
          <w:color w:val="000000"/>
          <w:shd w:val="clear" w:color="auto" w:fill="FFFFFF"/>
        </w:rPr>
      </w:pPr>
      <w:r>
        <w:rPr>
          <w:rFonts w:ascii="Calibri" w:hAnsi="Calibri" w:cs="Calibri"/>
          <w:color w:val="000000"/>
          <w:shd w:val="clear" w:color="auto" w:fill="FFFFFF"/>
        </w:rPr>
        <w:t>This surfaces c</w:t>
      </w:r>
      <w:r w:rsidR="00630390" w:rsidRPr="001E0D8B">
        <w:rPr>
          <w:rFonts w:ascii="Calibri" w:hAnsi="Calibri" w:cs="Calibri"/>
          <w:color w:val="000000"/>
          <w:shd w:val="clear" w:color="auto" w:fill="FFFFFF"/>
        </w:rPr>
        <w:t xml:space="preserve">ompetence of counsel </w:t>
      </w:r>
      <w:r>
        <w:rPr>
          <w:rFonts w:ascii="Calibri" w:hAnsi="Calibri" w:cs="Calibri"/>
          <w:color w:val="000000"/>
          <w:shd w:val="clear" w:color="auto" w:fill="FFFFFF"/>
        </w:rPr>
        <w:t xml:space="preserve">as a related </w:t>
      </w:r>
      <w:r w:rsidR="00630390" w:rsidRPr="001E0D8B">
        <w:rPr>
          <w:rFonts w:ascii="Calibri" w:hAnsi="Calibri" w:cs="Calibri"/>
          <w:color w:val="000000"/>
          <w:shd w:val="clear" w:color="auto" w:fill="FFFFFF"/>
        </w:rPr>
        <w:t xml:space="preserve">concern. Counsel, even with the assistance of experts, may struggle to acquire the technical literacy and requisite knowledge required to litigate and challenge AI. Competence in the AI context will also involve understanding how AI works as well as its potential for bias, fallibility and to exacerbate existing inequality. </w:t>
      </w:r>
      <w:r w:rsidR="001C7104">
        <w:rPr>
          <w:rFonts w:ascii="Calibri" w:hAnsi="Calibri" w:cs="Calibri"/>
          <w:color w:val="000000"/>
          <w:shd w:val="clear" w:color="auto" w:fill="FFFFFF"/>
        </w:rPr>
        <w:t>C</w:t>
      </w:r>
      <w:r w:rsidR="00630390" w:rsidRPr="001E0D8B">
        <w:rPr>
          <w:rFonts w:ascii="Calibri" w:hAnsi="Calibri" w:cs="Calibri"/>
          <w:color w:val="000000"/>
          <w:shd w:val="clear" w:color="auto" w:fill="FFFFFF"/>
        </w:rPr>
        <w:t>ompetence imposes a burden</w:t>
      </w:r>
      <w:r w:rsidR="001C7104">
        <w:rPr>
          <w:rFonts w:ascii="Calibri" w:hAnsi="Calibri" w:cs="Calibri"/>
          <w:color w:val="000000"/>
          <w:shd w:val="clear" w:color="auto" w:fill="FFFFFF"/>
        </w:rPr>
        <w:t xml:space="preserve"> on counsel</w:t>
      </w:r>
      <w:r w:rsidR="00630390" w:rsidRPr="001E0D8B">
        <w:rPr>
          <w:rFonts w:ascii="Calibri" w:hAnsi="Calibri" w:cs="Calibri"/>
          <w:color w:val="000000"/>
          <w:shd w:val="clear" w:color="auto" w:fill="FFFFFF"/>
        </w:rPr>
        <w:t xml:space="preserve"> to engage in self-study, collaboration with experts, colleagues and others, and to acquire inter-disciplinary expertise to empower more effective advocacy and the ability to educate judges and other decision makers.</w:t>
      </w:r>
      <w:r w:rsidR="00630390" w:rsidRPr="001E0D8B">
        <w:rPr>
          <w:rFonts w:ascii="Calibri" w:hAnsi="Calibri" w:cs="Calibri"/>
          <w:color w:val="000000"/>
          <w:shd w:val="clear" w:color="auto" w:fill="FFFFFF"/>
          <w:vertAlign w:val="superscript"/>
        </w:rPr>
        <w:endnoteReference w:id="177"/>
      </w:r>
      <w:r w:rsidR="00630390" w:rsidRPr="001E0D8B">
        <w:rPr>
          <w:rFonts w:ascii="Calibri" w:hAnsi="Calibri" w:cs="Calibri"/>
          <w:color w:val="000000"/>
          <w:shd w:val="clear" w:color="auto" w:fill="FFFFFF"/>
        </w:rPr>
        <w:t xml:space="preserve"> </w:t>
      </w:r>
      <w:r w:rsidR="001C7104">
        <w:rPr>
          <w:rFonts w:ascii="Calibri" w:hAnsi="Calibri" w:cs="Calibri"/>
          <w:color w:val="000000"/>
          <w:shd w:val="clear" w:color="auto" w:fill="FFFFFF"/>
        </w:rPr>
        <w:t>Put simply, “</w:t>
      </w:r>
      <w:r w:rsidR="001C7104" w:rsidRPr="001E0D8B">
        <w:rPr>
          <w:rFonts w:ascii="Calibri" w:hAnsi="Calibri" w:cs="Calibri"/>
          <w:color w:val="000000"/>
          <w:shd w:val="clear" w:color="auto" w:fill="FFFFFF"/>
        </w:rPr>
        <w:t>lawyers litigating AI must become conversant with how this technology works and with the forces driving its adoption.”</w:t>
      </w:r>
      <w:r w:rsidR="001C7104" w:rsidRPr="001E0D8B">
        <w:rPr>
          <w:rFonts w:ascii="Calibri" w:hAnsi="Calibri" w:cs="Calibri"/>
          <w:color w:val="000000"/>
          <w:shd w:val="clear" w:color="auto" w:fill="FFFFFF"/>
          <w:vertAlign w:val="superscript"/>
        </w:rPr>
        <w:endnoteReference w:id="178"/>
      </w:r>
      <w:r w:rsidR="001C7104">
        <w:rPr>
          <w:rFonts w:ascii="Calibri" w:hAnsi="Calibri" w:cs="Calibri"/>
          <w:color w:val="000000"/>
          <w:shd w:val="clear" w:color="auto" w:fill="FFFFFF"/>
        </w:rPr>
        <w:t xml:space="preserve"> But such time and training comes at a cost, particularly for independently employed defense counsel who often rely on legal aid as a significant part of their practice. This is just one of the practical resource constraints</w:t>
      </w:r>
      <w:r w:rsidR="008B7482">
        <w:rPr>
          <w:rFonts w:ascii="Calibri" w:hAnsi="Calibri" w:cs="Calibri"/>
          <w:color w:val="000000"/>
          <w:shd w:val="clear" w:color="auto" w:fill="FFFFFF"/>
        </w:rPr>
        <w:t xml:space="preserve"> </w:t>
      </w:r>
      <w:r w:rsidR="001C7104">
        <w:rPr>
          <w:rFonts w:ascii="Calibri" w:hAnsi="Calibri" w:cs="Calibri"/>
          <w:color w:val="000000"/>
          <w:shd w:val="clear" w:color="auto" w:fill="FFFFFF"/>
        </w:rPr>
        <w:t>that question the role of litigation as a means to ensure AI in criminal justice is rights compliant.</w:t>
      </w:r>
      <w:r w:rsidR="008B7482">
        <w:rPr>
          <w:rFonts w:ascii="Calibri" w:hAnsi="Calibri" w:cs="Calibri"/>
          <w:color w:val="000000"/>
          <w:shd w:val="clear" w:color="auto" w:fill="FFFFFF"/>
        </w:rPr>
        <w:t xml:space="preserve"> Several of these additional resource constraints are explored below.</w:t>
      </w:r>
    </w:p>
    <w:p w14:paraId="22F777CC" w14:textId="77777777" w:rsidR="001C7104" w:rsidRDefault="001C7104" w:rsidP="001C7104">
      <w:pPr>
        <w:rPr>
          <w:rFonts w:ascii="Calibri" w:hAnsi="Calibri" w:cs="Calibri"/>
          <w:color w:val="000000"/>
          <w:shd w:val="clear" w:color="auto" w:fill="FFFFFF"/>
        </w:rPr>
      </w:pPr>
    </w:p>
    <w:p w14:paraId="1FCBD79A" w14:textId="7021A1C2" w:rsidR="00630390" w:rsidRPr="001C7104" w:rsidRDefault="000D4B42" w:rsidP="001C7104">
      <w:pPr>
        <w:rPr>
          <w:rFonts w:ascii="Calibri" w:hAnsi="Calibri" w:cs="Calibri"/>
          <w:color w:val="000000"/>
          <w:shd w:val="clear" w:color="auto" w:fill="FFFFFF"/>
        </w:rPr>
      </w:pPr>
      <w:r w:rsidRPr="000D4B42">
        <w:rPr>
          <w:rFonts w:ascii="Calibri" w:hAnsi="Calibri" w:cs="Calibri"/>
          <w:color w:val="000000"/>
          <w:shd w:val="clear" w:color="auto" w:fill="D9E2F3" w:themeFill="accent5" w:themeFillTint="33"/>
        </w:rPr>
        <w:t>[</w:t>
      </w:r>
      <w:r w:rsidR="001C7104" w:rsidRPr="000D4B42">
        <w:rPr>
          <w:rFonts w:ascii="Calibri" w:hAnsi="Calibri" w:cs="Calibri"/>
          <w:color w:val="000000"/>
          <w:shd w:val="clear" w:color="auto" w:fill="D9E2F3" w:themeFill="accent5" w:themeFillTint="33"/>
        </w:rPr>
        <w:t>SIDEBAR</w:t>
      </w:r>
      <w:r w:rsidRPr="000D4B42">
        <w:rPr>
          <w:rFonts w:ascii="Calibri" w:hAnsi="Calibri" w:cs="Calibri"/>
          <w:color w:val="000000"/>
          <w:shd w:val="clear" w:color="auto" w:fill="D9E2F3" w:themeFill="accent5" w:themeFillTint="33"/>
        </w:rPr>
        <w:t>]</w:t>
      </w:r>
      <w:r w:rsidR="001C7104" w:rsidRPr="000D4B42">
        <w:rPr>
          <w:rFonts w:ascii="Calibri" w:hAnsi="Calibri" w:cs="Calibri"/>
          <w:color w:val="000000"/>
          <w:shd w:val="clear" w:color="auto" w:fill="D9E2F3" w:themeFill="accent5" w:themeFillTint="33"/>
        </w:rPr>
        <w:t xml:space="preserve">: For a discussion about the resource constraints associated with representing criminally accused on legal aid certificates, see LCO AI in Criminal Justice Project </w:t>
      </w:r>
      <w:r w:rsidR="001C7104" w:rsidRPr="0002668D">
        <w:rPr>
          <w:rFonts w:ascii="Calibri" w:hAnsi="Calibri" w:cs="Calibri"/>
          <w:b/>
          <w:bCs/>
          <w:i/>
          <w:iCs/>
          <w:color w:val="000000"/>
          <w:shd w:val="clear" w:color="auto" w:fill="D9E2F3" w:themeFill="accent5" w:themeFillTint="33"/>
        </w:rPr>
        <w:t xml:space="preserve">Paper </w:t>
      </w:r>
      <w:r w:rsidR="001C7104" w:rsidRPr="0002668D">
        <w:rPr>
          <w:rFonts w:ascii="Calibri" w:hAnsi="Calibri" w:cs="Calibri"/>
          <w:b/>
          <w:bCs/>
          <w:i/>
          <w:iCs/>
          <w:color w:val="000000"/>
          <w:shd w:val="clear" w:color="auto" w:fill="D9E2F3" w:themeFill="accent5" w:themeFillTint="33"/>
        </w:rPr>
        <w:lastRenderedPageBreak/>
        <w:t xml:space="preserve">5, </w:t>
      </w:r>
      <w:r w:rsidR="00790A2D" w:rsidRPr="000D4B42">
        <w:rPr>
          <w:rFonts w:ascii="Calibri" w:hAnsi="Calibri" w:cs="Calibri"/>
          <w:b/>
          <w:bCs/>
          <w:i/>
          <w:iCs/>
          <w:color w:val="000000"/>
          <w:shd w:val="clear" w:color="auto" w:fill="D9E2F3" w:themeFill="accent5" w:themeFillTint="33"/>
        </w:rPr>
        <w:t>AI and Systemic Oversight Mechanisms in Criminal Justice</w:t>
      </w:r>
      <w:r w:rsidR="00790A2D" w:rsidRPr="000D4B42">
        <w:rPr>
          <w:rFonts w:ascii="Calibri" w:hAnsi="Calibri" w:cs="Calibri"/>
          <w:color w:val="000000"/>
          <w:shd w:val="clear" w:color="auto" w:fill="D9E2F3" w:themeFill="accent5" w:themeFillTint="33"/>
        </w:rPr>
        <w:t xml:space="preserve"> at section </w:t>
      </w:r>
      <w:r w:rsidRPr="000D4B42">
        <w:rPr>
          <w:rFonts w:ascii="Calibri" w:hAnsi="Calibri" w:cs="Calibri"/>
          <w:color w:val="000000"/>
          <w:shd w:val="clear" w:color="auto" w:fill="D9E2F3" w:themeFill="accent5" w:themeFillTint="33"/>
        </w:rPr>
        <w:t>3.4, “Legal Aid Supports for the Oversight of AI in Criminal Proceedings.”</w:t>
      </w:r>
    </w:p>
    <w:p w14:paraId="6A1AF29A" w14:textId="77777777" w:rsidR="00630390" w:rsidRPr="001E0D8B" w:rsidRDefault="00630390" w:rsidP="001E0D8B">
      <w:pPr>
        <w:rPr>
          <w:rFonts w:ascii="Calibri" w:hAnsi="Calibri" w:cs="Calibri"/>
          <w:color w:val="000000"/>
          <w:shd w:val="clear" w:color="auto" w:fill="FFFFFF"/>
        </w:rPr>
      </w:pPr>
    </w:p>
    <w:p w14:paraId="57059A88" w14:textId="3F3D5F0E" w:rsidR="00630390" w:rsidRPr="00F353EB" w:rsidRDefault="00630390" w:rsidP="00F353EB">
      <w:pPr>
        <w:pStyle w:val="Heading3"/>
        <w:numPr>
          <w:ilvl w:val="2"/>
          <w:numId w:val="16"/>
        </w:numPr>
      </w:pPr>
      <w:bookmarkStart w:id="63" w:name="_Toc181788271"/>
      <w:bookmarkStart w:id="64" w:name="_Toc195598005"/>
      <w:r w:rsidRPr="001E0D8B">
        <w:t xml:space="preserve">Resource </w:t>
      </w:r>
      <w:r w:rsidR="00B11F91">
        <w:t>C</w:t>
      </w:r>
      <w:r w:rsidRPr="001E0D8B">
        <w:t>onstraints</w:t>
      </w:r>
      <w:bookmarkEnd w:id="63"/>
      <w:r w:rsidR="00B11F91">
        <w:t xml:space="preserve"> and Other Disadvantages</w:t>
      </w:r>
      <w:bookmarkEnd w:id="64"/>
    </w:p>
    <w:p w14:paraId="1417680F" w14:textId="77777777" w:rsidR="00630390" w:rsidRPr="001E0D8B" w:rsidRDefault="00630390" w:rsidP="001E0D8B">
      <w:pPr>
        <w:rPr>
          <w:rFonts w:ascii="Calibri" w:hAnsi="Calibri" w:cs="Calibri"/>
        </w:rPr>
      </w:pPr>
    </w:p>
    <w:p w14:paraId="1547ED41" w14:textId="77777777" w:rsidR="00371DE6" w:rsidRDefault="00630390" w:rsidP="001E0D8B">
      <w:pPr>
        <w:spacing w:after="160" w:line="259" w:lineRule="auto"/>
        <w:rPr>
          <w:rFonts w:ascii="Calibri" w:eastAsia="Calibri" w:hAnsi="Calibri" w:cs="Times New Roman"/>
          <w:kern w:val="2"/>
          <w14:ligatures w14:val="standardContextual"/>
        </w:rPr>
      </w:pPr>
      <w:r w:rsidRPr="001E0D8B">
        <w:rPr>
          <w:rFonts w:ascii="Calibri" w:eastAsia="Calibri" w:hAnsi="Calibri" w:cs="Times New Roman"/>
          <w:kern w:val="2"/>
          <w14:ligatures w14:val="standardContextual"/>
        </w:rPr>
        <w:t>Access to justice and concerns about the impacts of artificial intelligence, automated decision making and algorithmic technology feature prominently in the literature regarding AI. It is suggested that this is because, at its core, the concept of access to justice provides a measurement of the existence of bias and discrimination versus equality. Fundamental systemic fairness and true equality cannot be achieved absent meaningful access to justice.</w:t>
      </w:r>
    </w:p>
    <w:p w14:paraId="60FFB381" w14:textId="520F96E7" w:rsidR="00630390" w:rsidRPr="001E0D8B" w:rsidRDefault="00630390" w:rsidP="001E0D8B">
      <w:pPr>
        <w:spacing w:after="160" w:line="259" w:lineRule="auto"/>
        <w:rPr>
          <w:rFonts w:ascii="Calibri" w:hAnsi="Calibri" w:cs="Times New Roman"/>
          <w:i/>
          <w:iCs/>
          <w:color w:val="262526"/>
          <w:kern w:val="2"/>
          <w14:ligatures w14:val="standardContextual"/>
        </w:rPr>
      </w:pPr>
      <w:r w:rsidRPr="001E0D8B">
        <w:rPr>
          <w:rFonts w:ascii="Calibri" w:eastAsia="Calibri" w:hAnsi="Calibri" w:cs="Times New Roman"/>
          <w:kern w:val="2"/>
          <w14:ligatures w14:val="standardContextual"/>
        </w:rPr>
        <w:t xml:space="preserve">Thus, </w:t>
      </w:r>
      <w:r w:rsidR="00371DE6">
        <w:rPr>
          <w:rFonts w:ascii="Calibri" w:eastAsia="Calibri" w:hAnsi="Calibri" w:cs="Times New Roman"/>
          <w:kern w:val="2"/>
          <w14:ligatures w14:val="standardContextual"/>
        </w:rPr>
        <w:t>access to justice</w:t>
      </w:r>
      <w:r w:rsidRPr="001E0D8B">
        <w:rPr>
          <w:rFonts w:ascii="Calibri" w:eastAsia="Calibri" w:hAnsi="Calibri" w:cs="Times New Roman"/>
          <w:kern w:val="2"/>
          <w14:ligatures w14:val="standardContextual"/>
        </w:rPr>
        <w:t xml:space="preserve"> is a thread which runs through many of the issues considered and law reform recommendations that have been made in relation to AI. The LCO has concluded that broad participation in the design, development and deployment of AI systems is a critical feature of access to justice. Specifically finding that it is crucial that this participation include not only the legal, policy and technology professionals and experts but also the members of communities who are likely to be most impacted by AI technology. </w:t>
      </w:r>
      <w:r w:rsidRPr="00371DE6">
        <w:rPr>
          <w:rFonts w:ascii="Calibri" w:eastAsia="Calibri" w:hAnsi="Calibri" w:cs="Times New Roman"/>
          <w:kern w:val="2"/>
          <w14:ligatures w14:val="standardContextual"/>
        </w:rPr>
        <w:t>Ultimately, this is because “[u]</w:t>
      </w:r>
      <w:r w:rsidRPr="00371DE6">
        <w:rPr>
          <w:rFonts w:ascii="Calibri" w:hAnsi="Calibri" w:cs="Times New Roman"/>
          <w:color w:val="262526"/>
          <w:kern w:val="2"/>
          <w14:ligatures w14:val="standardContextual"/>
        </w:rPr>
        <w:t>nequal access to information and participation in AI and algorithmic decision-making can significantly worsen existing biases and inequality.”</w:t>
      </w:r>
      <w:r w:rsidRPr="00371DE6">
        <w:rPr>
          <w:rFonts w:ascii="Calibri" w:hAnsi="Calibri" w:cs="Times New Roman"/>
          <w:color w:val="262526"/>
          <w:kern w:val="2"/>
          <w:vertAlign w:val="superscript"/>
          <w14:ligatures w14:val="standardContextual"/>
        </w:rPr>
        <w:endnoteReference w:id="179"/>
      </w:r>
    </w:p>
    <w:p w14:paraId="3E3756C8" w14:textId="0F0B8111" w:rsidR="00630390" w:rsidRPr="001E0D8B" w:rsidRDefault="00630390" w:rsidP="001E0D8B">
      <w:pPr>
        <w:rPr>
          <w:rFonts w:ascii="Calibri" w:hAnsi="Calibri" w:cs="Calibri"/>
          <w:color w:val="262526"/>
        </w:rPr>
      </w:pPr>
      <w:r w:rsidRPr="001E0D8B">
        <w:rPr>
          <w:rFonts w:ascii="Calibri" w:hAnsi="Calibri" w:cs="Calibri"/>
          <w:color w:val="262526"/>
        </w:rPr>
        <w:t>Legal challenges to algorithmic decision making are time consuming, complex, and costly</w:t>
      </w:r>
      <w:r w:rsidR="00371DE6">
        <w:rPr>
          <w:rFonts w:ascii="Calibri" w:hAnsi="Calibri" w:cs="Calibri"/>
          <w:color w:val="262526"/>
        </w:rPr>
        <w:t>. Practically speaking, these barriers put</w:t>
      </w:r>
      <w:r w:rsidRPr="001E0D8B">
        <w:rPr>
          <w:rFonts w:ascii="Calibri" w:hAnsi="Calibri" w:cs="Calibri"/>
          <w:color w:val="262526"/>
        </w:rPr>
        <w:t xml:space="preserve"> such challenges well beyond the reach of many criminal defendants whether self-represented</w:t>
      </w:r>
      <w:r w:rsidR="00371DE6">
        <w:rPr>
          <w:rFonts w:ascii="Calibri" w:hAnsi="Calibri" w:cs="Calibri"/>
          <w:color w:val="262526"/>
        </w:rPr>
        <w:t xml:space="preserve">, </w:t>
      </w:r>
      <w:r w:rsidRPr="001E0D8B">
        <w:rPr>
          <w:rFonts w:ascii="Calibri" w:hAnsi="Calibri" w:cs="Calibri"/>
          <w:color w:val="262526"/>
        </w:rPr>
        <w:t xml:space="preserve">defended by legal aid or </w:t>
      </w:r>
      <w:r w:rsidR="00371DE6">
        <w:rPr>
          <w:rFonts w:ascii="Calibri" w:hAnsi="Calibri" w:cs="Calibri"/>
          <w:color w:val="262526"/>
        </w:rPr>
        <w:t xml:space="preserve">represented by </w:t>
      </w:r>
      <w:r w:rsidRPr="001E0D8B">
        <w:rPr>
          <w:rFonts w:ascii="Calibri" w:hAnsi="Calibri" w:cs="Calibri"/>
          <w:color w:val="262526"/>
        </w:rPr>
        <w:t>privately funded counsel. Experts are often required thus compounding the complexity, resources and time required.</w:t>
      </w:r>
      <w:r w:rsidR="00371DE6">
        <w:rPr>
          <w:rFonts w:ascii="Calibri" w:hAnsi="Calibri" w:cs="Calibri"/>
          <w:color w:val="262526"/>
        </w:rPr>
        <w:t xml:space="preserve"> </w:t>
      </w:r>
      <w:r w:rsidRPr="001E0D8B">
        <w:rPr>
          <w:rFonts w:ascii="Calibri" w:hAnsi="Calibri" w:cs="Calibri"/>
          <w:color w:val="262526"/>
        </w:rPr>
        <w:t>Funding obstacles will be further pronounced for members of low-income communities that are likely to be most impacted by AI. Canadian Legal aid plans have not yet strategized or budgeted for costs associated with challenges to AI.</w:t>
      </w:r>
      <w:r w:rsidRPr="001E0D8B">
        <w:rPr>
          <w:rFonts w:ascii="Calibri" w:hAnsi="Calibri" w:cs="Calibri"/>
          <w:color w:val="262526"/>
          <w:vertAlign w:val="superscript"/>
        </w:rPr>
        <w:endnoteReference w:id="180"/>
      </w:r>
      <w:r w:rsidRPr="001E0D8B">
        <w:rPr>
          <w:rFonts w:ascii="Calibri" w:hAnsi="Calibri" w:cs="Calibri"/>
          <w:color w:val="262526"/>
        </w:rPr>
        <w:t xml:space="preserve"> However, the federal “Court Challenges Program”, Legal Aid Ontario’s public funding for public interest and test cases and “Big Case” managed budgets, and court appointed counsel or </w:t>
      </w:r>
      <w:r w:rsidRPr="001E0D8B">
        <w:rPr>
          <w:rFonts w:ascii="Calibri" w:hAnsi="Calibri" w:cs="Calibri"/>
          <w:i/>
          <w:iCs/>
          <w:color w:val="262526"/>
        </w:rPr>
        <w:t>amicus curiae</w:t>
      </w:r>
      <w:r w:rsidRPr="001E0D8B">
        <w:rPr>
          <w:rFonts w:ascii="Calibri" w:hAnsi="Calibri" w:cs="Calibri"/>
          <w:color w:val="262526"/>
        </w:rPr>
        <w:t xml:space="preserve"> may offer some hope in a limited number of circumstances.</w:t>
      </w:r>
      <w:r w:rsidRPr="001E0D8B">
        <w:rPr>
          <w:rFonts w:ascii="Calibri" w:hAnsi="Calibri" w:cs="Calibri"/>
          <w:color w:val="262526"/>
          <w:vertAlign w:val="superscript"/>
        </w:rPr>
        <w:endnoteReference w:id="181"/>
      </w:r>
    </w:p>
    <w:p w14:paraId="6C090627" w14:textId="77777777" w:rsidR="00630390" w:rsidRPr="001E0D8B" w:rsidRDefault="00630390" w:rsidP="001E0D8B">
      <w:pPr>
        <w:rPr>
          <w:rFonts w:ascii="Calibri" w:hAnsi="Calibri" w:cs="Calibri"/>
          <w:color w:val="262526"/>
        </w:rPr>
      </w:pPr>
    </w:p>
    <w:p w14:paraId="313DFBA8" w14:textId="77777777" w:rsidR="00630390" w:rsidRPr="001E0D8B" w:rsidRDefault="00630390" w:rsidP="001E0D8B">
      <w:pPr>
        <w:rPr>
          <w:rFonts w:ascii="Calibri" w:hAnsi="Calibri" w:cs="Calibri"/>
          <w:color w:val="262526"/>
        </w:rPr>
      </w:pPr>
      <w:r w:rsidRPr="001E0D8B">
        <w:rPr>
          <w:rFonts w:ascii="Calibri" w:hAnsi="Calibri" w:cs="Calibri"/>
          <w:color w:val="262526"/>
        </w:rPr>
        <w:t>Third party funding of litigation is available in commercial litigation</w:t>
      </w:r>
      <w:r w:rsidRPr="001E0D8B">
        <w:rPr>
          <w:rFonts w:ascii="Calibri" w:hAnsi="Calibri" w:cs="Calibri"/>
          <w:color w:val="262526"/>
          <w:vertAlign w:val="superscript"/>
        </w:rPr>
        <w:endnoteReference w:id="182"/>
      </w:r>
      <w:r w:rsidRPr="001E0D8B">
        <w:rPr>
          <w:rFonts w:ascii="Calibri" w:hAnsi="Calibri" w:cs="Calibri"/>
          <w:color w:val="262526"/>
        </w:rPr>
        <w:t xml:space="preserve"> and class action scenarios. It is contemplated that third party funding mechanisms may also be available in cases involving artificial intelligence.</w:t>
      </w:r>
      <w:r w:rsidRPr="001E0D8B">
        <w:rPr>
          <w:rFonts w:ascii="Calibri" w:hAnsi="Calibri" w:cs="Calibri"/>
          <w:color w:val="262526"/>
          <w:vertAlign w:val="superscript"/>
        </w:rPr>
        <w:endnoteReference w:id="183"/>
      </w:r>
    </w:p>
    <w:p w14:paraId="31EC2EAE" w14:textId="77777777" w:rsidR="00630390" w:rsidRPr="001E0D8B" w:rsidRDefault="00630390" w:rsidP="001E0D8B">
      <w:pPr>
        <w:keepNext/>
        <w:keepLines/>
        <w:spacing w:before="40"/>
        <w:outlineLvl w:val="2"/>
        <w:rPr>
          <w:rFonts w:ascii="Calibri" w:hAnsi="Calibri" w:cs="Calibri"/>
          <w:color w:val="262526"/>
        </w:rPr>
      </w:pPr>
    </w:p>
    <w:p w14:paraId="4CC78A19" w14:textId="77777777" w:rsidR="00630390" w:rsidRDefault="00630390" w:rsidP="001E0D8B">
      <w:pPr>
        <w:spacing w:after="160" w:line="259" w:lineRule="auto"/>
        <w:rPr>
          <w:rFonts w:ascii="Calibri" w:eastAsia="Calibri" w:hAnsi="Calibri" w:cs="Times New Roman"/>
          <w:kern w:val="2"/>
          <w14:ligatures w14:val="standardContextual"/>
        </w:rPr>
      </w:pPr>
      <w:r w:rsidRPr="001E0D8B">
        <w:rPr>
          <w:rFonts w:ascii="Calibri" w:eastAsia="Calibri" w:hAnsi="Calibri" w:cs="Times New Roman"/>
          <w:kern w:val="2"/>
          <w14:ligatures w14:val="standardContextual"/>
        </w:rPr>
        <w:t xml:space="preserve">Unless artificial intelligence is adequately regulated, access to justice may be adversely impacted by the development and deployment of tools which are racist and discriminatory in their design and consequences. Moreover, so-called “black box” AI threatens to render impenetrable the technical underpinnings upon which legal decisions and choices are founded. On the other hand, the LCO believes that access to </w:t>
      </w:r>
      <w:r w:rsidRPr="001E0D8B">
        <w:rPr>
          <w:rFonts w:ascii="Calibri" w:eastAsia="Calibri" w:hAnsi="Calibri" w:cs="Times New Roman"/>
          <w:kern w:val="2"/>
          <w14:ligatures w14:val="standardContextual"/>
        </w:rPr>
        <w:lastRenderedPageBreak/>
        <w:t>justice will be enhanced with regulations and other instruments that support standards of procedural fairness, disclosure, notice, transparency, explainability and remedy requirements relative to artificial intelligence.</w:t>
      </w:r>
      <w:r w:rsidRPr="001E0D8B">
        <w:rPr>
          <w:rFonts w:ascii="Calibri" w:eastAsia="Calibri" w:hAnsi="Calibri" w:cs="Times New Roman"/>
          <w:kern w:val="2"/>
          <w:vertAlign w:val="superscript"/>
          <w14:ligatures w14:val="standardContextual"/>
        </w:rPr>
        <w:endnoteReference w:id="184"/>
      </w:r>
    </w:p>
    <w:p w14:paraId="6253FC08" w14:textId="4B39FDBE" w:rsidR="00371DE6" w:rsidRDefault="00371DE6" w:rsidP="00371DE6">
      <w:pPr>
        <w:pStyle w:val="Heading3"/>
        <w:numPr>
          <w:ilvl w:val="2"/>
          <w:numId w:val="16"/>
        </w:numPr>
        <w:rPr>
          <w:rFonts w:eastAsia="Calibri"/>
        </w:rPr>
      </w:pPr>
      <w:bookmarkStart w:id="65" w:name="_Toc195598006"/>
      <w:r>
        <w:rPr>
          <w:rFonts w:eastAsia="Calibri"/>
        </w:rPr>
        <w:t>Appeal</w:t>
      </w:r>
      <w:r w:rsidR="00C86BAC">
        <w:rPr>
          <w:rFonts w:eastAsia="Calibri"/>
        </w:rPr>
        <w:t xml:space="preserve"> Rights and AI</w:t>
      </w:r>
      <w:bookmarkEnd w:id="65"/>
    </w:p>
    <w:p w14:paraId="54FCDBBB" w14:textId="77777777" w:rsidR="00371DE6" w:rsidRDefault="00371DE6" w:rsidP="00371DE6"/>
    <w:p w14:paraId="03E6D09F" w14:textId="53D857A1" w:rsidR="00630390" w:rsidRPr="00F353EB" w:rsidRDefault="00630390" w:rsidP="00F353EB">
      <w:pPr>
        <w:spacing w:after="160" w:line="259" w:lineRule="auto"/>
        <w:rPr>
          <w:rFonts w:ascii="Calibri" w:eastAsia="Calibri" w:hAnsi="Calibri" w:cs="Calibri"/>
          <w:kern w:val="2"/>
          <w14:ligatures w14:val="standardContextual"/>
        </w:rPr>
      </w:pPr>
      <w:r w:rsidRPr="00F353EB">
        <w:rPr>
          <w:rFonts w:ascii="Calibri" w:eastAsia="Calibri" w:hAnsi="Calibri" w:cs="Calibri"/>
          <w:kern w:val="2"/>
          <w14:ligatures w14:val="standardContextual"/>
        </w:rPr>
        <w:t>Although much remains to be discovered about how courts will ultimately grapple with AI, it is clear that the appellate phase will be critical to shaping the ways in which AI’s impact will be felt throughout the criminal process.</w:t>
      </w:r>
      <w:r w:rsidR="00B56F85">
        <w:rPr>
          <w:rFonts w:ascii="Calibri" w:eastAsia="Calibri" w:hAnsi="Calibri" w:cs="Calibri"/>
          <w:kern w:val="2"/>
          <w14:ligatures w14:val="standardContextual"/>
        </w:rPr>
        <w:t xml:space="preserve"> </w:t>
      </w:r>
      <w:r w:rsidRPr="00F353EB">
        <w:rPr>
          <w:rFonts w:ascii="Calibri" w:eastAsia="Calibri" w:hAnsi="Calibri" w:cs="Calibri"/>
          <w:kern w:val="2"/>
          <w14:ligatures w14:val="standardContextual"/>
        </w:rPr>
        <w:t>Appellate decisions on the issues and questions that AI poses will largely determine its permissible uses and limitations</w:t>
      </w:r>
      <w:r w:rsidR="003B3691">
        <w:rPr>
          <w:rFonts w:ascii="Calibri" w:eastAsia="Calibri" w:hAnsi="Calibri" w:cs="Calibri"/>
          <w:kern w:val="2"/>
          <w14:ligatures w14:val="standardContextual"/>
        </w:rPr>
        <w:t xml:space="preserve">. This will either </w:t>
      </w:r>
      <w:r w:rsidRPr="00F353EB">
        <w:rPr>
          <w:rFonts w:ascii="Calibri" w:eastAsia="Calibri" w:hAnsi="Calibri" w:cs="Calibri"/>
          <w:kern w:val="2"/>
          <w14:ligatures w14:val="standardContextual"/>
        </w:rPr>
        <w:t xml:space="preserve">amplify or mute </w:t>
      </w:r>
      <w:r w:rsidR="003B3691">
        <w:rPr>
          <w:rFonts w:ascii="Calibri" w:eastAsia="Calibri" w:hAnsi="Calibri" w:cs="Calibri"/>
          <w:kern w:val="2"/>
          <w14:ligatures w14:val="standardContextual"/>
        </w:rPr>
        <w:t>the</w:t>
      </w:r>
      <w:r w:rsidRPr="00F353EB">
        <w:rPr>
          <w:rFonts w:ascii="Calibri" w:eastAsia="Calibri" w:hAnsi="Calibri" w:cs="Calibri"/>
          <w:kern w:val="2"/>
          <w14:ligatures w14:val="standardContextual"/>
        </w:rPr>
        <w:t xml:space="preserve"> effect</w:t>
      </w:r>
      <w:r w:rsidR="003B3691">
        <w:rPr>
          <w:rFonts w:ascii="Calibri" w:eastAsia="Calibri" w:hAnsi="Calibri" w:cs="Calibri"/>
          <w:kern w:val="2"/>
          <w14:ligatures w14:val="standardContextual"/>
        </w:rPr>
        <w:t>s of AI</w:t>
      </w:r>
      <w:r w:rsidRPr="00F353EB">
        <w:rPr>
          <w:rFonts w:ascii="Calibri" w:eastAsia="Calibri" w:hAnsi="Calibri" w:cs="Calibri"/>
          <w:kern w:val="2"/>
          <w14:ligatures w14:val="standardContextual"/>
        </w:rPr>
        <w:t xml:space="preserve"> on the rights and consequences engaged.</w:t>
      </w:r>
      <w:r w:rsidR="003B3691">
        <w:rPr>
          <w:rFonts w:ascii="Calibri" w:eastAsia="Calibri" w:hAnsi="Calibri" w:cs="Calibri"/>
          <w:kern w:val="2"/>
          <w14:ligatures w14:val="standardContextual"/>
        </w:rPr>
        <w:t xml:space="preserve"> D</w:t>
      </w:r>
      <w:r w:rsidRPr="00F353EB">
        <w:rPr>
          <w:rFonts w:ascii="Calibri" w:eastAsia="Calibri" w:hAnsi="Calibri" w:cs="Calibri"/>
          <w:kern w:val="2"/>
          <w14:ligatures w14:val="standardContextual"/>
        </w:rPr>
        <w:t>ecisions rendered on appeal will further reverberate through future trials, investigations, and other adjacent sectors of the criminal justice system</w:t>
      </w:r>
      <w:r w:rsidR="003B3691">
        <w:rPr>
          <w:rFonts w:ascii="Calibri" w:eastAsia="Calibri" w:hAnsi="Calibri" w:cs="Calibri"/>
          <w:kern w:val="2"/>
          <w14:ligatures w14:val="standardContextual"/>
        </w:rPr>
        <w:t xml:space="preserve">. This is </w:t>
      </w:r>
      <w:r w:rsidRPr="00F353EB">
        <w:rPr>
          <w:rFonts w:ascii="Calibri" w:eastAsia="Calibri" w:hAnsi="Calibri" w:cs="Calibri"/>
          <w:kern w:val="2"/>
          <w14:ligatures w14:val="standardContextual"/>
        </w:rPr>
        <w:t>especially</w:t>
      </w:r>
      <w:r w:rsidR="003B3691">
        <w:rPr>
          <w:rFonts w:ascii="Calibri" w:eastAsia="Calibri" w:hAnsi="Calibri" w:cs="Calibri"/>
          <w:kern w:val="2"/>
          <w14:ligatures w14:val="standardContextual"/>
        </w:rPr>
        <w:t xml:space="preserve"> the case</w:t>
      </w:r>
      <w:r w:rsidRPr="00F353EB">
        <w:rPr>
          <w:rFonts w:ascii="Calibri" w:eastAsia="Calibri" w:hAnsi="Calibri" w:cs="Calibri"/>
          <w:kern w:val="2"/>
          <w14:ligatures w14:val="standardContextual"/>
        </w:rPr>
        <w:t xml:space="preserve"> as AI becomes increasingly ubiquitous and the legal principles articulated by appellate courts are applied.</w:t>
      </w:r>
    </w:p>
    <w:p w14:paraId="5608C47D" w14:textId="77777777" w:rsidR="003A058D" w:rsidRDefault="00630390" w:rsidP="00F353EB">
      <w:pPr>
        <w:spacing w:after="160" w:line="259" w:lineRule="auto"/>
        <w:rPr>
          <w:rFonts w:ascii="Calibri" w:eastAsia="Calibri" w:hAnsi="Calibri" w:cs="Calibri"/>
          <w:kern w:val="2"/>
          <w14:ligatures w14:val="standardContextual"/>
        </w:rPr>
      </w:pPr>
      <w:r w:rsidRPr="00F353EB">
        <w:rPr>
          <w:rFonts w:ascii="Calibri" w:eastAsia="Calibri" w:hAnsi="Calibri" w:cs="Calibri"/>
          <w:kern w:val="2"/>
          <w14:ligatures w14:val="standardContextual"/>
        </w:rPr>
        <w:t xml:space="preserve">Rights of appeal to all levels of court are set out in the </w:t>
      </w:r>
      <w:r w:rsidRPr="00F353EB">
        <w:rPr>
          <w:rFonts w:ascii="Calibri" w:eastAsia="Calibri" w:hAnsi="Calibri" w:cs="Calibri"/>
          <w:i/>
          <w:iCs/>
          <w:kern w:val="2"/>
          <w14:ligatures w14:val="standardContextual"/>
        </w:rPr>
        <w:t>Criminal Code Part XXI.</w:t>
      </w:r>
      <w:r w:rsidR="003B3691">
        <w:rPr>
          <w:rFonts w:ascii="Calibri" w:eastAsia="Calibri" w:hAnsi="Calibri" w:cs="Calibri"/>
          <w:i/>
          <w:iCs/>
          <w:kern w:val="2"/>
          <w14:ligatures w14:val="standardContextual"/>
        </w:rPr>
        <w:t xml:space="preserve"> </w:t>
      </w:r>
      <w:r w:rsidRPr="00F353EB">
        <w:rPr>
          <w:rFonts w:ascii="Calibri" w:eastAsia="Calibri" w:hAnsi="Calibri" w:cs="Calibri"/>
          <w:kern w:val="2"/>
          <w14:ligatures w14:val="standardContextual"/>
        </w:rPr>
        <w:t xml:space="preserve">In the context of indictable offences and appeals to the court of appeal, when the legal criteria specified in the </w:t>
      </w:r>
      <w:r w:rsidRPr="00F353EB">
        <w:rPr>
          <w:rFonts w:ascii="Calibri" w:eastAsia="Calibri" w:hAnsi="Calibri" w:cs="Calibri"/>
          <w:i/>
          <w:iCs/>
          <w:kern w:val="2"/>
          <w14:ligatures w14:val="standardContextual"/>
        </w:rPr>
        <w:t>Criminal Code</w:t>
      </w:r>
      <w:r w:rsidRPr="00F353EB">
        <w:rPr>
          <w:rFonts w:ascii="Calibri" w:eastAsia="Calibri" w:hAnsi="Calibri" w:cs="Calibri"/>
          <w:kern w:val="2"/>
          <w14:ligatures w14:val="standardContextual"/>
        </w:rPr>
        <w:t xml:space="preserve"> are met, all those convicted of an offence may appeal against conviction and / or sentence (s.675(1)) and against a verdict of not criminally responsible on account of mental disorder or unfit to stand trial (s.675(3)). The Attorney General may appeal against acquittals and verdicts of not criminally responsible, orders quashing an indictment or failing or refusing to exercise jurisdiction, orders for stays, and sentences (s.676(1)).</w:t>
      </w:r>
    </w:p>
    <w:p w14:paraId="48DE1A59" w14:textId="5CD0EC5E" w:rsidR="00630390" w:rsidRPr="00F353EB" w:rsidRDefault="00630390" w:rsidP="00F353EB">
      <w:pPr>
        <w:spacing w:after="160" w:line="259" w:lineRule="auto"/>
        <w:rPr>
          <w:rFonts w:ascii="Calibri" w:eastAsia="Calibri" w:hAnsi="Calibri" w:cs="Calibri"/>
          <w:kern w:val="2"/>
          <w14:ligatures w14:val="standardContextual"/>
        </w:rPr>
      </w:pPr>
      <w:r w:rsidRPr="00F353EB">
        <w:rPr>
          <w:rFonts w:ascii="Calibri" w:eastAsia="Calibri" w:hAnsi="Calibri" w:cs="Calibri"/>
          <w:kern w:val="2"/>
          <w14:ligatures w14:val="standardContextual"/>
        </w:rPr>
        <w:t>The Attorney General may also appeal to the court of appeal against:</w:t>
      </w:r>
    </w:p>
    <w:p w14:paraId="0BA59B78" w14:textId="4FD19308" w:rsidR="00630390" w:rsidRPr="00F353EB" w:rsidRDefault="00C530FD" w:rsidP="00F353EB">
      <w:pPr>
        <w:numPr>
          <w:ilvl w:val="0"/>
          <w:numId w:val="127"/>
        </w:numPr>
        <w:spacing w:after="160" w:line="259" w:lineRule="auto"/>
        <w:contextualSpacing/>
        <w:rPr>
          <w:rFonts w:ascii="Calibri" w:eastAsia="Calibri" w:hAnsi="Calibri" w:cs="Calibri"/>
          <w:kern w:val="2"/>
          <w14:ligatures w14:val="standardContextual"/>
        </w:rPr>
      </w:pPr>
      <w:r>
        <w:rPr>
          <w:rFonts w:ascii="Calibri" w:eastAsia="Calibri" w:hAnsi="Calibri" w:cs="Calibri"/>
          <w:kern w:val="2"/>
          <w14:ligatures w14:val="standardContextual"/>
        </w:rPr>
        <w:t>A</w:t>
      </w:r>
      <w:r w:rsidR="00630390" w:rsidRPr="00F353EB">
        <w:rPr>
          <w:rFonts w:ascii="Calibri" w:eastAsia="Calibri" w:hAnsi="Calibri" w:cs="Calibri"/>
          <w:kern w:val="2"/>
          <w14:ligatures w14:val="standardContextual"/>
        </w:rPr>
        <w:t xml:space="preserve"> verdict that an accused is unfit to stand trial (s.676(3))</w:t>
      </w:r>
      <w:r>
        <w:rPr>
          <w:rFonts w:ascii="Calibri" w:eastAsia="Calibri" w:hAnsi="Calibri" w:cs="Calibri"/>
          <w:kern w:val="2"/>
          <w14:ligatures w14:val="standardContextual"/>
        </w:rPr>
        <w:t>;</w:t>
      </w:r>
    </w:p>
    <w:p w14:paraId="6B49FF44" w14:textId="1E915705" w:rsidR="00630390" w:rsidRPr="00F353EB" w:rsidRDefault="00C530FD" w:rsidP="00F353EB">
      <w:pPr>
        <w:numPr>
          <w:ilvl w:val="0"/>
          <w:numId w:val="127"/>
        </w:numPr>
        <w:spacing w:after="160" w:line="259" w:lineRule="auto"/>
        <w:contextualSpacing/>
        <w:rPr>
          <w:rFonts w:ascii="Calibri" w:eastAsia="Calibri" w:hAnsi="Calibri" w:cs="Calibri"/>
          <w:kern w:val="2"/>
          <w14:ligatures w14:val="standardContextual"/>
        </w:rPr>
      </w:pPr>
      <w:r>
        <w:rPr>
          <w:rFonts w:ascii="Calibri" w:eastAsia="Calibri" w:hAnsi="Calibri" w:cs="Calibri"/>
          <w:kern w:val="2"/>
          <w14:ligatures w14:val="standardContextual"/>
        </w:rPr>
        <w:t>I</w:t>
      </w:r>
      <w:r w:rsidR="00630390" w:rsidRPr="00F353EB">
        <w:rPr>
          <w:rFonts w:ascii="Calibri" w:eastAsia="Calibri" w:hAnsi="Calibri" w:cs="Calibri"/>
          <w:kern w:val="2"/>
          <w14:ligatures w14:val="standardContextual"/>
        </w:rPr>
        <w:t>n respect of a conviction for second degree murder against the number of years of parole ineligibility (being less that twenty-five) that has been imposed (s.676(4))</w:t>
      </w:r>
      <w:r>
        <w:rPr>
          <w:rFonts w:ascii="Calibri" w:eastAsia="Calibri" w:hAnsi="Calibri" w:cs="Calibri"/>
          <w:kern w:val="2"/>
          <w14:ligatures w14:val="standardContextual"/>
        </w:rPr>
        <w:t>;</w:t>
      </w:r>
    </w:p>
    <w:p w14:paraId="10D2C825" w14:textId="48C40E38" w:rsidR="00630390" w:rsidRPr="00F353EB" w:rsidRDefault="00C530FD" w:rsidP="00F353EB">
      <w:pPr>
        <w:numPr>
          <w:ilvl w:val="0"/>
          <w:numId w:val="127"/>
        </w:numPr>
        <w:spacing w:after="160" w:line="259" w:lineRule="auto"/>
        <w:contextualSpacing/>
        <w:rPr>
          <w:rFonts w:ascii="Calibri" w:eastAsia="Calibri" w:hAnsi="Calibri" w:cs="Calibri"/>
          <w:kern w:val="2"/>
          <w14:ligatures w14:val="standardContextual"/>
        </w:rPr>
      </w:pPr>
      <w:r>
        <w:rPr>
          <w:rFonts w:ascii="Calibri" w:eastAsia="Calibri" w:hAnsi="Calibri" w:cs="Calibri"/>
          <w:kern w:val="2"/>
          <w14:ligatures w14:val="standardContextual"/>
        </w:rPr>
        <w:t>A</w:t>
      </w:r>
      <w:r w:rsidR="00630390" w:rsidRPr="00F353EB">
        <w:rPr>
          <w:rFonts w:ascii="Calibri" w:eastAsia="Calibri" w:hAnsi="Calibri" w:cs="Calibri"/>
          <w:kern w:val="2"/>
          <w14:ligatures w14:val="standardContextual"/>
        </w:rPr>
        <w:t>gainst a decision not to make an order under s.743.6 (applicable to sentences of two years or more)</w:t>
      </w:r>
      <w:r w:rsidR="00630390" w:rsidRPr="00F353EB">
        <w:rPr>
          <w:rFonts w:ascii="Calibri" w:eastAsia="Calibri" w:hAnsi="Calibri" w:cs="Calibri"/>
          <w:color w:val="333333"/>
          <w:kern w:val="2"/>
          <w:shd w:val="clear" w:color="auto" w:fill="FFFFFF"/>
          <w14:ligatures w14:val="standardContextual"/>
        </w:rPr>
        <w:t xml:space="preserve"> stipulating that the portion of the sentence that must be served before the offender may be released on full parole is one half of the sentence or ten years, whichever is less </w:t>
      </w:r>
      <w:r w:rsidR="00630390" w:rsidRPr="00F353EB">
        <w:rPr>
          <w:rFonts w:ascii="Calibri" w:eastAsia="Calibri" w:hAnsi="Calibri" w:cs="Calibri"/>
          <w:kern w:val="2"/>
          <w14:ligatures w14:val="standardContextual"/>
        </w:rPr>
        <w:t>(s.676(5))</w:t>
      </w:r>
      <w:r>
        <w:rPr>
          <w:rFonts w:ascii="Calibri" w:eastAsia="Calibri" w:hAnsi="Calibri" w:cs="Calibri"/>
          <w:kern w:val="2"/>
          <w14:ligatures w14:val="standardContextual"/>
        </w:rPr>
        <w:t>;</w:t>
      </w:r>
      <w:r w:rsidR="00630390" w:rsidRPr="00F353EB">
        <w:rPr>
          <w:rFonts w:ascii="Calibri" w:eastAsia="Calibri" w:hAnsi="Calibri" w:cs="Calibri"/>
          <w:kern w:val="2"/>
          <w14:ligatures w14:val="standardContextual"/>
        </w:rPr>
        <w:t xml:space="preserve"> and</w:t>
      </w:r>
    </w:p>
    <w:p w14:paraId="0154F143" w14:textId="2F1A49E3" w:rsidR="00630390" w:rsidRPr="00F353EB" w:rsidRDefault="00C530FD" w:rsidP="00F353EB">
      <w:pPr>
        <w:numPr>
          <w:ilvl w:val="0"/>
          <w:numId w:val="127"/>
        </w:numPr>
        <w:spacing w:after="160" w:line="259" w:lineRule="auto"/>
        <w:contextualSpacing/>
        <w:rPr>
          <w:rFonts w:ascii="Calibri" w:eastAsia="Calibri" w:hAnsi="Calibri" w:cs="Calibri"/>
          <w:kern w:val="2"/>
          <w14:ligatures w14:val="standardContextual"/>
        </w:rPr>
      </w:pPr>
      <w:r>
        <w:rPr>
          <w:rFonts w:ascii="Calibri" w:eastAsia="Calibri" w:hAnsi="Calibri" w:cs="Calibri"/>
          <w:kern w:val="2"/>
          <w14:ligatures w14:val="standardContextual"/>
        </w:rPr>
        <w:t>A</w:t>
      </w:r>
      <w:r w:rsidR="00630390" w:rsidRPr="00F353EB">
        <w:rPr>
          <w:rFonts w:ascii="Calibri" w:eastAsia="Calibri" w:hAnsi="Calibri" w:cs="Calibri"/>
          <w:kern w:val="2"/>
          <w14:ligatures w14:val="standardContextual"/>
        </w:rPr>
        <w:t xml:space="preserve">gainst a decision not to make an order under s.745.51(1) regarding consecutive periods of parole ineligibility where offender has been convicted of multiple murders (s.676(6)).   </w:t>
      </w:r>
    </w:p>
    <w:p w14:paraId="2EF00188" w14:textId="77777777" w:rsidR="00C530FD" w:rsidRDefault="00C530FD" w:rsidP="00F353EB">
      <w:pPr>
        <w:spacing w:after="160" w:line="259" w:lineRule="auto"/>
        <w:rPr>
          <w:rFonts w:ascii="Calibri" w:eastAsia="Calibri" w:hAnsi="Calibri" w:cs="Calibri"/>
          <w:kern w:val="2"/>
          <w14:ligatures w14:val="standardContextual"/>
        </w:rPr>
      </w:pPr>
      <w:r>
        <w:rPr>
          <w:rFonts w:ascii="Calibri" w:eastAsia="Calibri" w:hAnsi="Calibri" w:cs="Calibri"/>
          <w:kern w:val="2"/>
          <w14:ligatures w14:val="standardContextual"/>
        </w:rPr>
        <w:br/>
      </w:r>
      <w:r w:rsidR="00630390" w:rsidRPr="00F353EB">
        <w:rPr>
          <w:rFonts w:ascii="Calibri" w:eastAsia="Calibri" w:hAnsi="Calibri" w:cs="Calibri"/>
          <w:kern w:val="2"/>
          <w14:ligatures w14:val="standardContextual"/>
        </w:rPr>
        <w:t xml:space="preserve">In Ontario, appeals by the Attorney General are further constrained by the policy articulated in the </w:t>
      </w:r>
      <w:r w:rsidR="00630390" w:rsidRPr="00C530FD">
        <w:rPr>
          <w:rFonts w:ascii="Calibri" w:eastAsia="Calibri" w:hAnsi="Calibri" w:cs="Calibri"/>
          <w:i/>
          <w:iCs/>
          <w:kern w:val="2"/>
          <w14:ligatures w14:val="standardContextual"/>
        </w:rPr>
        <w:t>Crown Prosecution Manual</w:t>
      </w:r>
      <w:r w:rsidR="00630390" w:rsidRPr="00F353EB">
        <w:rPr>
          <w:rFonts w:ascii="Calibri" w:eastAsia="Calibri" w:hAnsi="Calibri" w:cs="Calibri"/>
          <w:kern w:val="2"/>
          <w14:ligatures w14:val="standardContextual"/>
        </w:rPr>
        <w:t>, which states:</w:t>
      </w:r>
    </w:p>
    <w:p w14:paraId="32B84532" w14:textId="48779D6A" w:rsidR="00630390" w:rsidRPr="00C530FD" w:rsidRDefault="00630390" w:rsidP="00C530FD">
      <w:pPr>
        <w:pStyle w:val="Quote"/>
        <w:jc w:val="left"/>
        <w:rPr>
          <w:i w:val="0"/>
          <w:iCs w:val="0"/>
        </w:rPr>
      </w:pPr>
      <w:r w:rsidRPr="00C530FD">
        <w:rPr>
          <w:i w:val="0"/>
          <w:iCs w:val="0"/>
        </w:rPr>
        <w:lastRenderedPageBreak/>
        <w:t>“</w:t>
      </w:r>
      <w:r w:rsidRPr="00C530FD">
        <w:rPr>
          <w:rFonts w:cs="Arial"/>
          <w:i w:val="0"/>
          <w:iCs w:val="0"/>
        </w:rPr>
        <w:t xml:space="preserve">Not every unfavourable ruling, judgment or sentence can or should be appealed. </w:t>
      </w:r>
      <w:r w:rsidRPr="00C530FD">
        <w:rPr>
          <w:i w:val="0"/>
          <w:iCs w:val="0"/>
        </w:rPr>
        <w:t>Even if the strict legal criteria for an appeal is met, a Crown appeal will not be commenced unless a thorough and considered review of the circumstances of the case, the state of the law, and the public interest has been conducted.”</w:t>
      </w:r>
      <w:r w:rsidRPr="00C530FD">
        <w:rPr>
          <w:i w:val="0"/>
          <w:iCs w:val="0"/>
          <w:vertAlign w:val="superscript"/>
        </w:rPr>
        <w:endnoteReference w:id="185"/>
      </w:r>
      <w:r w:rsidR="00C530FD" w:rsidRPr="00C530FD">
        <w:rPr>
          <w:i w:val="0"/>
          <w:iCs w:val="0"/>
        </w:rPr>
        <w:br/>
      </w:r>
    </w:p>
    <w:p w14:paraId="50119DAC" w14:textId="77777777" w:rsidR="00630390" w:rsidRPr="00F353EB" w:rsidRDefault="00630390" w:rsidP="00F353EB">
      <w:pPr>
        <w:spacing w:after="160" w:line="259" w:lineRule="auto"/>
        <w:rPr>
          <w:rFonts w:ascii="Calibri" w:eastAsia="Calibri" w:hAnsi="Calibri" w:cs="Calibri"/>
          <w:b/>
          <w:bCs/>
          <w:kern w:val="2"/>
          <w14:ligatures w14:val="standardContextual"/>
        </w:rPr>
      </w:pPr>
      <w:r w:rsidRPr="00F353EB">
        <w:rPr>
          <w:rFonts w:ascii="Calibri" w:eastAsia="Calibri" w:hAnsi="Calibri" w:cs="Calibri"/>
          <w:b/>
          <w:bCs/>
          <w:kern w:val="2"/>
          <w14:ligatures w14:val="standardContextual"/>
        </w:rPr>
        <w:t>Section 686 (1) Appeals against Conviction and the Curative Proviso</w:t>
      </w:r>
    </w:p>
    <w:p w14:paraId="4EDAB6A9" w14:textId="79D8E26D" w:rsidR="00630390" w:rsidRPr="00F353EB" w:rsidRDefault="00630390" w:rsidP="00F353EB">
      <w:pPr>
        <w:spacing w:after="160" w:line="259" w:lineRule="auto"/>
        <w:rPr>
          <w:rFonts w:ascii="Calibri" w:eastAsia="Calibri" w:hAnsi="Calibri" w:cs="Calibri"/>
          <w:color w:val="333333"/>
          <w:kern w:val="2"/>
          <w:shd w:val="clear" w:color="auto" w:fill="FFFFFF"/>
          <w14:ligatures w14:val="standardContextual"/>
        </w:rPr>
      </w:pPr>
      <w:r w:rsidRPr="00F353EB">
        <w:rPr>
          <w:rFonts w:ascii="Calibri" w:eastAsia="Calibri" w:hAnsi="Calibri" w:cs="Calibri"/>
          <w:kern w:val="2"/>
          <w14:ligatures w14:val="standardContextual"/>
        </w:rPr>
        <w:t>Section 686(1)(a) bestows the power upon the court of appeal to allow an appeal against conviction, a verdict of unfit to stand trial or not criminally responsible on account of mental disorder, where the court is of the opinion that the verdict is unreasonable or cannot be supported by the evidence, the judgment of trial court should be set aside on the ground of a wrong decision on a question of law, or on any ground that there was a miscarriage of justice.</w:t>
      </w:r>
      <w:r w:rsidR="004579DE">
        <w:rPr>
          <w:rFonts w:ascii="Calibri" w:eastAsia="Calibri" w:hAnsi="Calibri" w:cs="Calibri"/>
          <w:kern w:val="2"/>
          <w14:ligatures w14:val="standardContextual"/>
        </w:rPr>
        <w:t xml:space="preserve"> </w:t>
      </w:r>
      <w:r w:rsidRPr="00F353EB">
        <w:rPr>
          <w:rFonts w:ascii="Calibri" w:eastAsia="Calibri" w:hAnsi="Calibri" w:cs="Calibri"/>
          <w:kern w:val="2"/>
          <w14:ligatures w14:val="standardContextual"/>
        </w:rPr>
        <w:t>However, section 686(1)(b) proscribes that the court of appeal may dismiss the appeal, where the appeal is not decided in favour of the appellant on any ground mentioned in s. 686(1)(a); the appellant was properly convicted on part of the indictment; notwithstanding any procedural irregularity at trial, the appellant suffered no prejudice; and where as per s.686(1)(b)(iii), known as “</w:t>
      </w:r>
      <w:r w:rsidRPr="00F353EB">
        <w:rPr>
          <w:rFonts w:ascii="Calibri" w:eastAsia="Calibri" w:hAnsi="Calibri" w:cs="Calibri"/>
          <w:i/>
          <w:iCs/>
          <w:kern w:val="2"/>
          <w14:ligatures w14:val="standardContextual"/>
        </w:rPr>
        <w:t>the</w:t>
      </w:r>
      <w:r w:rsidRPr="00F353EB">
        <w:rPr>
          <w:rFonts w:ascii="Calibri" w:eastAsia="Calibri" w:hAnsi="Calibri" w:cs="Calibri"/>
          <w:kern w:val="2"/>
          <w14:ligatures w14:val="standardContextual"/>
        </w:rPr>
        <w:t xml:space="preserve"> </w:t>
      </w:r>
      <w:r w:rsidRPr="00F353EB">
        <w:rPr>
          <w:rFonts w:ascii="Calibri" w:eastAsia="Calibri" w:hAnsi="Calibri" w:cs="Calibri"/>
          <w:i/>
          <w:iCs/>
          <w:kern w:val="2"/>
          <w14:ligatures w14:val="standardContextual"/>
        </w:rPr>
        <w:t>curative proviso”</w:t>
      </w:r>
      <w:r w:rsidRPr="00F353EB">
        <w:rPr>
          <w:rFonts w:ascii="Calibri" w:eastAsia="Calibri" w:hAnsi="Calibri" w:cs="Calibri"/>
          <w:kern w:val="2"/>
          <w14:ligatures w14:val="standardContextual"/>
        </w:rPr>
        <w:t xml:space="preserve">, </w:t>
      </w:r>
      <w:r w:rsidRPr="00F353EB">
        <w:rPr>
          <w:rFonts w:ascii="Calibri" w:eastAsia="Calibri" w:hAnsi="Calibri" w:cs="Calibri"/>
          <w:color w:val="333333"/>
          <w:kern w:val="2"/>
          <w:shd w:val="clear" w:color="auto" w:fill="FFFFFF"/>
          <w14:ligatures w14:val="standardContextual"/>
        </w:rPr>
        <w:t>notwithstanding that the court is of the opinion that on any ground mentioned in subparagraph 686(1)(a)(ii) (wrong decision on a question of law), the appeal might be decided in favour of the appellant, the court is also of the opinion that no substantial wrong or miscarriage of justice has occurred.</w:t>
      </w:r>
    </w:p>
    <w:p w14:paraId="379E4FCE" w14:textId="6AF455D6" w:rsidR="00630390" w:rsidRDefault="00630390" w:rsidP="00F353EB">
      <w:pPr>
        <w:spacing w:after="160" w:line="259" w:lineRule="auto"/>
        <w:rPr>
          <w:rFonts w:ascii="Calibri" w:eastAsia="Calibri" w:hAnsi="Calibri" w:cs="Calibri"/>
          <w:kern w:val="2"/>
          <w14:ligatures w14:val="standardContextual"/>
        </w:rPr>
      </w:pPr>
      <w:r w:rsidRPr="00F353EB">
        <w:rPr>
          <w:rFonts w:ascii="Calibri" w:eastAsia="Calibri" w:hAnsi="Calibri" w:cs="Calibri"/>
          <w:kern w:val="2"/>
          <w14:ligatures w14:val="standardContextual"/>
        </w:rPr>
        <w:t>Many of the legal questions explored elsewhere in this paper will first be adjudicated at trial. They will then be reposed and reconsidered under appellate courts’ differing evidentiary standards and adjudicative frameworks.</w:t>
      </w:r>
      <w:r w:rsidR="004579DE">
        <w:rPr>
          <w:rFonts w:ascii="Calibri" w:eastAsia="Calibri" w:hAnsi="Calibri" w:cs="Calibri"/>
          <w:kern w:val="2"/>
          <w14:ligatures w14:val="standardContextual"/>
        </w:rPr>
        <w:t xml:space="preserve"> </w:t>
      </w:r>
      <w:r w:rsidRPr="00F353EB">
        <w:rPr>
          <w:rFonts w:ascii="Calibri" w:eastAsia="Calibri" w:hAnsi="Calibri" w:cs="Calibri"/>
          <w:kern w:val="2"/>
          <w14:ligatures w14:val="standardContextual"/>
        </w:rPr>
        <w:t>Some questions, including those that follow, arise as the impact of AI and the criminal law’s appellate structure intersect.</w:t>
      </w:r>
    </w:p>
    <w:p w14:paraId="6684ACF8" w14:textId="65B9DA6D" w:rsidR="00924098" w:rsidRPr="00924098" w:rsidRDefault="00924098" w:rsidP="00F353EB">
      <w:pPr>
        <w:spacing w:after="160" w:line="259" w:lineRule="auto"/>
        <w:rPr>
          <w:rFonts w:ascii="Calibri" w:eastAsia="Calibri" w:hAnsi="Calibri" w:cs="Calibri"/>
          <w:b/>
          <w:bCs/>
          <w:kern w:val="2"/>
          <w14:ligatures w14:val="standardContextual"/>
        </w:rPr>
      </w:pPr>
      <w:r w:rsidRPr="00924098">
        <w:rPr>
          <w:rFonts w:ascii="Calibri" w:eastAsia="Calibri" w:hAnsi="Calibri" w:cs="Calibri"/>
          <w:b/>
          <w:bCs/>
          <w:kern w:val="2"/>
          <w14:ligatures w14:val="standardContextual"/>
        </w:rPr>
        <w:t>Time Limits on Appeal</w:t>
      </w:r>
      <w:r>
        <w:rPr>
          <w:rFonts w:ascii="Calibri" w:eastAsia="Calibri" w:hAnsi="Calibri" w:cs="Calibri"/>
          <w:b/>
          <w:bCs/>
          <w:kern w:val="2"/>
          <w14:ligatures w14:val="standardContextual"/>
        </w:rPr>
        <w:t xml:space="preserve"> and Delays Due to Complexity</w:t>
      </w:r>
    </w:p>
    <w:p w14:paraId="0EF51F9A" w14:textId="77777777" w:rsidR="004579DE" w:rsidRDefault="004579DE" w:rsidP="00F353EB">
      <w:pPr>
        <w:spacing w:after="160" w:line="259" w:lineRule="auto"/>
        <w:rPr>
          <w:rFonts w:ascii="Calibri" w:eastAsia="Calibri" w:hAnsi="Calibri" w:cs="Calibri"/>
          <w:kern w:val="2"/>
          <w14:ligatures w14:val="standardContextual"/>
        </w:rPr>
      </w:pPr>
      <w:r>
        <w:rPr>
          <w:rFonts w:ascii="Calibri" w:eastAsia="Calibri" w:hAnsi="Calibri" w:cs="Calibri"/>
          <w:kern w:val="2"/>
          <w14:ligatures w14:val="standardContextual"/>
        </w:rPr>
        <w:t>First, t</w:t>
      </w:r>
      <w:r w:rsidR="00630390" w:rsidRPr="00F353EB">
        <w:rPr>
          <w:rFonts w:ascii="Calibri" w:eastAsia="Calibri" w:hAnsi="Calibri" w:cs="Calibri"/>
          <w:kern w:val="2"/>
          <w14:ligatures w14:val="standardContextual"/>
        </w:rPr>
        <w:t>he time limits for criminal litigants to file notice of appeal are relatively brief (frequently thirty (30) days; in some cases, fifteen (15) days).</w:t>
      </w:r>
      <w:r>
        <w:rPr>
          <w:rFonts w:ascii="Calibri" w:eastAsia="Calibri" w:hAnsi="Calibri" w:cs="Calibri"/>
          <w:kern w:val="2"/>
          <w14:ligatures w14:val="standardContextual"/>
        </w:rPr>
        <w:t xml:space="preserve"> </w:t>
      </w:r>
      <w:r w:rsidR="00630390" w:rsidRPr="00F353EB">
        <w:rPr>
          <w:rFonts w:ascii="Calibri" w:eastAsia="Calibri" w:hAnsi="Calibri" w:cs="Calibri"/>
          <w:kern w:val="2"/>
          <w14:ligatures w14:val="standardContextual"/>
        </w:rPr>
        <w:t xml:space="preserve">Extension of time to appeal requires demonstrating a </w:t>
      </w:r>
      <w:r w:rsidR="00630390" w:rsidRPr="004579DE">
        <w:rPr>
          <w:rFonts w:ascii="Calibri" w:eastAsia="Calibri" w:hAnsi="Calibri" w:cs="Calibri"/>
          <w:i/>
          <w:iCs/>
          <w:kern w:val="2"/>
          <w14:ligatures w14:val="standardContextual"/>
        </w:rPr>
        <w:t>bona fide</w:t>
      </w:r>
      <w:r w:rsidR="00630390" w:rsidRPr="00F353EB">
        <w:rPr>
          <w:rFonts w:ascii="Calibri" w:eastAsia="Calibri" w:hAnsi="Calibri" w:cs="Calibri"/>
          <w:kern w:val="2"/>
          <w14:ligatures w14:val="standardContextual"/>
        </w:rPr>
        <w:t xml:space="preserve"> intention to appeal within the appeal period; that the applicant has accounted for or explained the delay and that there is merit to the proposed appeal</w:t>
      </w:r>
      <w:r w:rsidR="00630390" w:rsidRPr="00F353EB">
        <w:rPr>
          <w:rFonts w:ascii="Calibri" w:eastAsia="Calibri" w:hAnsi="Calibri" w:cs="Times New Roman"/>
          <w:kern w:val="2"/>
          <w14:ligatures w14:val="standardContextual"/>
        </w:rPr>
        <w:t>.</w:t>
      </w:r>
      <w:r w:rsidR="00630390" w:rsidRPr="00F353EB">
        <w:rPr>
          <w:rFonts w:ascii="Calibri" w:eastAsia="Calibri" w:hAnsi="Calibri" w:cs="Times New Roman"/>
          <w:kern w:val="2"/>
          <w:vertAlign w:val="superscript"/>
          <w14:ligatures w14:val="standardContextual"/>
        </w:rPr>
        <w:endnoteReference w:id="186"/>
      </w:r>
      <w:r>
        <w:rPr>
          <w:rFonts w:ascii="Calibri" w:eastAsia="Calibri" w:hAnsi="Calibri" w:cs="Times New Roman"/>
          <w:kern w:val="2"/>
          <w14:ligatures w14:val="standardContextual"/>
        </w:rPr>
        <w:t xml:space="preserve"> </w:t>
      </w:r>
      <w:r w:rsidR="00630390" w:rsidRPr="00F353EB">
        <w:rPr>
          <w:rFonts w:ascii="Calibri" w:eastAsia="Calibri" w:hAnsi="Calibri" w:cs="Times New Roman"/>
          <w:kern w:val="2"/>
          <w14:ligatures w14:val="standardContextual"/>
        </w:rPr>
        <w:t>It has also been recognized that an extension of time to file Notice of Appeal should be granted when it is in the interests of justice to do so</w:t>
      </w:r>
      <w:r w:rsidR="00630390" w:rsidRPr="00F353EB">
        <w:rPr>
          <w:rFonts w:ascii="Calibri" w:eastAsia="Calibri" w:hAnsi="Calibri" w:cs="Calibri"/>
          <w:kern w:val="2"/>
          <w14:ligatures w14:val="standardContextual"/>
        </w:rPr>
        <w:t>.</w:t>
      </w:r>
      <w:r w:rsidR="00630390" w:rsidRPr="00F353EB">
        <w:rPr>
          <w:rFonts w:ascii="Calibri" w:eastAsia="Calibri" w:hAnsi="Calibri" w:cs="Calibri"/>
          <w:kern w:val="2"/>
          <w:vertAlign w:val="superscript"/>
          <w14:ligatures w14:val="standardContextual"/>
        </w:rPr>
        <w:endnoteReference w:id="187"/>
      </w:r>
      <w:r w:rsidR="00630390" w:rsidRPr="00F353EB">
        <w:rPr>
          <w:rFonts w:ascii="Calibri" w:eastAsia="Calibri" w:hAnsi="Calibri" w:cs="Calibri"/>
          <w:kern w:val="2"/>
          <w14:ligatures w14:val="standardContextual"/>
        </w:rPr>
        <w:t xml:space="preserve"> </w:t>
      </w:r>
    </w:p>
    <w:p w14:paraId="4F686694" w14:textId="64CB40E5" w:rsidR="00630390" w:rsidRPr="00F353EB" w:rsidRDefault="00630390" w:rsidP="00F353EB">
      <w:pPr>
        <w:spacing w:after="160" w:line="259" w:lineRule="auto"/>
        <w:rPr>
          <w:rFonts w:ascii="Calibri" w:eastAsia="Calibri" w:hAnsi="Calibri" w:cs="Calibri"/>
          <w:kern w:val="2"/>
          <w14:ligatures w14:val="standardContextual"/>
        </w:rPr>
      </w:pPr>
      <w:r w:rsidRPr="00F353EB">
        <w:rPr>
          <w:rFonts w:ascii="Calibri" w:eastAsia="Calibri" w:hAnsi="Calibri" w:cs="Calibri"/>
          <w:kern w:val="2"/>
          <w14:ligatures w14:val="standardContextual"/>
        </w:rPr>
        <w:t xml:space="preserve">With respect to </w:t>
      </w:r>
      <w:r w:rsidR="004579DE">
        <w:rPr>
          <w:rFonts w:ascii="Calibri" w:eastAsia="Calibri" w:hAnsi="Calibri" w:cs="Calibri"/>
          <w:kern w:val="2"/>
          <w14:ligatures w14:val="standardContextual"/>
        </w:rPr>
        <w:t>AI</w:t>
      </w:r>
      <w:r w:rsidRPr="00F353EB">
        <w:rPr>
          <w:rFonts w:ascii="Calibri" w:eastAsia="Calibri" w:hAnsi="Calibri" w:cs="Calibri"/>
          <w:kern w:val="2"/>
          <w14:ligatures w14:val="standardContextual"/>
        </w:rPr>
        <w:t>, consider</w:t>
      </w:r>
      <w:r w:rsidR="004579DE">
        <w:rPr>
          <w:rFonts w:ascii="Calibri" w:eastAsia="Calibri" w:hAnsi="Calibri" w:cs="Calibri"/>
          <w:kern w:val="2"/>
          <w14:ligatures w14:val="standardContextual"/>
        </w:rPr>
        <w:t xml:space="preserve"> the following</w:t>
      </w:r>
      <w:r w:rsidRPr="00F353EB">
        <w:rPr>
          <w:rFonts w:ascii="Calibri" w:eastAsia="Calibri" w:hAnsi="Calibri" w:cs="Calibri"/>
          <w:kern w:val="2"/>
          <w14:ligatures w14:val="standardContextual"/>
        </w:rPr>
        <w:t>:</w:t>
      </w:r>
    </w:p>
    <w:p w14:paraId="73342650" w14:textId="48AB4B0D" w:rsidR="00630390" w:rsidRPr="00F353EB" w:rsidRDefault="00630390" w:rsidP="00F353EB">
      <w:pPr>
        <w:numPr>
          <w:ilvl w:val="1"/>
          <w:numId w:val="123"/>
        </w:numPr>
        <w:spacing w:after="160" w:line="259" w:lineRule="auto"/>
        <w:contextualSpacing/>
        <w:rPr>
          <w:rFonts w:ascii="Calibri" w:eastAsia="Calibri" w:hAnsi="Calibri" w:cs="Times New Roman"/>
          <w:kern w:val="2"/>
          <w14:ligatures w14:val="standardContextual"/>
        </w:rPr>
      </w:pPr>
      <w:r w:rsidRPr="00F353EB">
        <w:rPr>
          <w:rFonts w:ascii="Calibri" w:eastAsia="Calibri" w:hAnsi="Calibri" w:cs="Times New Roman"/>
          <w:kern w:val="2"/>
          <w14:ligatures w14:val="standardContextual"/>
        </w:rPr>
        <w:t>How will appellate courts exercise their discretion to extend time to file notice of appeal when the impacts of AI upon the rights and consequences to the litigants may not immediately be known?</w:t>
      </w:r>
      <w:r w:rsidR="004579DE">
        <w:rPr>
          <w:rFonts w:ascii="Calibri" w:eastAsia="Calibri" w:hAnsi="Calibri" w:cs="Times New Roman"/>
          <w:kern w:val="2"/>
          <w14:ligatures w14:val="standardContextual"/>
        </w:rPr>
        <w:t xml:space="preserve"> Cases including </w:t>
      </w:r>
      <w:r w:rsidRPr="00F353EB">
        <w:rPr>
          <w:rFonts w:ascii="Calibri" w:eastAsia="Calibri" w:hAnsi="Calibri" w:cs="Times New Roman"/>
          <w:i/>
          <w:iCs/>
          <w:kern w:val="2"/>
          <w14:ligatures w14:val="standardContextual"/>
        </w:rPr>
        <w:t xml:space="preserve">Garland </w:t>
      </w:r>
      <w:r w:rsidRPr="00F353EB">
        <w:rPr>
          <w:rFonts w:ascii="Calibri" w:eastAsia="Calibri" w:hAnsi="Calibri" w:cs="Times New Roman"/>
          <w:kern w:val="2"/>
          <w14:ligatures w14:val="standardContextual"/>
        </w:rPr>
        <w:t>and</w:t>
      </w:r>
      <w:r w:rsidRPr="00F353EB">
        <w:rPr>
          <w:rFonts w:ascii="Calibri" w:eastAsia="Calibri" w:hAnsi="Calibri" w:cs="Times New Roman"/>
          <w:i/>
          <w:iCs/>
          <w:kern w:val="2"/>
          <w14:ligatures w14:val="standardContextual"/>
        </w:rPr>
        <w:t xml:space="preserve"> Hamilton</w:t>
      </w:r>
      <w:r w:rsidRPr="00F353EB">
        <w:rPr>
          <w:rFonts w:ascii="Calibri" w:eastAsia="Calibri" w:hAnsi="Calibri" w:cs="Times New Roman"/>
          <w:kern w:val="2"/>
          <w14:ligatures w14:val="standardContextual"/>
        </w:rPr>
        <w:t xml:space="preserve"> would suggest that an extension of time will be granted, but this assumes that the </w:t>
      </w:r>
      <w:r w:rsidRPr="00F353EB">
        <w:rPr>
          <w:rFonts w:ascii="Calibri" w:eastAsia="Calibri" w:hAnsi="Calibri" w:cs="Times New Roman"/>
          <w:kern w:val="2"/>
          <w14:ligatures w14:val="standardContextual"/>
        </w:rPr>
        <w:lastRenderedPageBreak/>
        <w:t>litigants can effectively articulate the basis for the delay and that the appellate court considering the extension understands the reasons given and the complexity of AI sufficiently well to understand why the basis for appeal did not crystalize until after the notice period had expired.</w:t>
      </w:r>
    </w:p>
    <w:p w14:paraId="32AEB024" w14:textId="34F9E512" w:rsidR="00630390" w:rsidRPr="00F353EB" w:rsidRDefault="00630390" w:rsidP="00F353EB">
      <w:pPr>
        <w:numPr>
          <w:ilvl w:val="1"/>
          <w:numId w:val="123"/>
        </w:numPr>
        <w:spacing w:after="160" w:line="259" w:lineRule="auto"/>
        <w:contextualSpacing/>
        <w:rPr>
          <w:rFonts w:ascii="Calibri" w:eastAsia="Calibri" w:hAnsi="Calibri" w:cs="Times New Roman"/>
          <w:kern w:val="2"/>
          <w14:ligatures w14:val="standardContextual"/>
        </w:rPr>
      </w:pPr>
      <w:r w:rsidRPr="00F353EB">
        <w:rPr>
          <w:rFonts w:ascii="Calibri" w:eastAsia="Calibri" w:hAnsi="Calibri" w:cs="Times New Roman"/>
          <w:kern w:val="2"/>
          <w14:ligatures w14:val="standardContextual"/>
        </w:rPr>
        <w:t xml:space="preserve">Will the proliferation of AI </w:t>
      </w:r>
      <w:r w:rsidR="000C0C23">
        <w:rPr>
          <w:rFonts w:ascii="Calibri" w:eastAsia="Calibri" w:hAnsi="Calibri" w:cs="Times New Roman"/>
          <w:kern w:val="2"/>
          <w14:ligatures w14:val="standardContextual"/>
        </w:rPr>
        <w:t>require</w:t>
      </w:r>
      <w:r w:rsidRPr="00F353EB">
        <w:rPr>
          <w:rFonts w:ascii="Calibri" w:eastAsia="Calibri" w:hAnsi="Calibri" w:cs="Times New Roman"/>
          <w:kern w:val="2"/>
          <w14:ligatures w14:val="standardContextual"/>
        </w:rPr>
        <w:t xml:space="preserve"> modification to the rules and formally extending the time to file notice of appeal for all concerned? Or should time to file be expanded only for self-represented and vulnerable accused? If provisions regarding time to file notice are not formally extended, should extensions be granted as a matter of course where AI is implicated in the failure to file on time?</w:t>
      </w:r>
      <w:r w:rsidR="000C0C23">
        <w:rPr>
          <w:rFonts w:ascii="Calibri" w:eastAsia="Calibri" w:hAnsi="Calibri" w:cs="Times New Roman"/>
          <w:kern w:val="2"/>
          <w14:ligatures w14:val="standardContextual"/>
        </w:rPr>
        <w:t xml:space="preserve"> </w:t>
      </w:r>
      <w:r w:rsidRPr="00F353EB">
        <w:rPr>
          <w:rFonts w:ascii="Calibri" w:eastAsia="Calibri" w:hAnsi="Calibri" w:cs="Times New Roman"/>
          <w:kern w:val="2"/>
          <w14:ligatures w14:val="standardContextual"/>
        </w:rPr>
        <w:t>If so, how will the requisite involvement of AI be measured and defined?  How will such a framework be managed as AI becomes ubiquitous?</w:t>
      </w:r>
    </w:p>
    <w:p w14:paraId="72A83043" w14:textId="484DF174" w:rsidR="00630390" w:rsidRPr="00F353EB" w:rsidRDefault="00630390" w:rsidP="00F353EB">
      <w:pPr>
        <w:numPr>
          <w:ilvl w:val="1"/>
          <w:numId w:val="123"/>
        </w:numPr>
        <w:spacing w:after="160" w:line="259" w:lineRule="auto"/>
        <w:contextualSpacing/>
        <w:rPr>
          <w:rFonts w:ascii="Calibri" w:eastAsia="Calibri" w:hAnsi="Calibri" w:cs="Times New Roman"/>
          <w:kern w:val="2"/>
          <w14:ligatures w14:val="standardContextual"/>
        </w:rPr>
      </w:pPr>
      <w:r w:rsidRPr="00F353EB">
        <w:rPr>
          <w:rFonts w:ascii="Calibri" w:eastAsia="Calibri" w:hAnsi="Calibri" w:cs="Times New Roman"/>
          <w:kern w:val="2"/>
          <w14:ligatures w14:val="standardContextual"/>
        </w:rPr>
        <w:t>Will the legal</w:t>
      </w:r>
      <w:r w:rsidR="000C0C23">
        <w:rPr>
          <w:rFonts w:ascii="Calibri" w:eastAsia="Calibri" w:hAnsi="Calibri" w:cs="Times New Roman"/>
          <w:kern w:val="2"/>
          <w14:ligatures w14:val="standardContextual"/>
        </w:rPr>
        <w:t>, social and regulatory</w:t>
      </w:r>
      <w:r w:rsidRPr="00F353EB">
        <w:rPr>
          <w:rFonts w:ascii="Calibri" w:eastAsia="Calibri" w:hAnsi="Calibri" w:cs="Times New Roman"/>
          <w:kern w:val="2"/>
          <w14:ligatures w14:val="standardContextual"/>
        </w:rPr>
        <w:t xml:space="preserve"> importance of appellate guidance on issues regarding AI’s impact alter the calculation around the general rule </w:t>
      </w:r>
      <w:r w:rsidR="000C0C23">
        <w:rPr>
          <w:rFonts w:ascii="Calibri" w:eastAsia="Calibri" w:hAnsi="Calibri" w:cs="Times New Roman"/>
          <w:kern w:val="2"/>
          <w14:ligatures w14:val="standardContextual"/>
        </w:rPr>
        <w:t>governing</w:t>
      </w:r>
      <w:r w:rsidRPr="00F353EB">
        <w:rPr>
          <w:rFonts w:ascii="Calibri" w:eastAsia="Calibri" w:hAnsi="Calibri" w:cs="Times New Roman"/>
          <w:kern w:val="2"/>
          <w14:ligatures w14:val="standardContextual"/>
        </w:rPr>
        <w:t xml:space="preserve"> the finality of trial decisions</w:t>
      </w:r>
      <w:r w:rsidR="000C0C23">
        <w:rPr>
          <w:rFonts w:ascii="Calibri" w:eastAsia="Calibri" w:hAnsi="Calibri" w:cs="Times New Roman"/>
          <w:kern w:val="2"/>
          <w14:ligatures w14:val="standardContextual"/>
        </w:rPr>
        <w:t xml:space="preserve"> as</w:t>
      </w:r>
      <w:r w:rsidRPr="00F353EB">
        <w:rPr>
          <w:rFonts w:ascii="Calibri" w:eastAsia="Calibri" w:hAnsi="Calibri" w:cs="Times New Roman"/>
          <w:kern w:val="2"/>
          <w14:ligatures w14:val="standardContextual"/>
        </w:rPr>
        <w:t xml:space="preserve"> a manifestation of the broader societal interest</w:t>
      </w:r>
      <w:r w:rsidR="000C0C23">
        <w:rPr>
          <w:rFonts w:ascii="Calibri" w:eastAsia="Calibri" w:hAnsi="Calibri" w:cs="Times New Roman"/>
          <w:kern w:val="2"/>
          <w14:ligatures w14:val="standardContextual"/>
        </w:rPr>
        <w:t>s</w:t>
      </w:r>
      <w:r w:rsidRPr="00F353EB">
        <w:rPr>
          <w:rFonts w:ascii="Calibri" w:eastAsia="Calibri" w:hAnsi="Calibri" w:cs="Times New Roman"/>
          <w:kern w:val="2"/>
          <w14:ligatures w14:val="standardContextual"/>
        </w:rPr>
        <w:t xml:space="preserve"> </w:t>
      </w:r>
      <w:r w:rsidR="000C0C23">
        <w:rPr>
          <w:rFonts w:ascii="Calibri" w:eastAsia="Calibri" w:hAnsi="Calibri" w:cs="Times New Roman"/>
          <w:kern w:val="2"/>
          <w14:ligatures w14:val="standardContextual"/>
        </w:rPr>
        <w:t>that consider more than</w:t>
      </w:r>
      <w:r w:rsidRPr="00F353EB">
        <w:rPr>
          <w:rFonts w:ascii="Calibri" w:eastAsia="Calibri" w:hAnsi="Calibri" w:cs="Times New Roman"/>
          <w:kern w:val="2"/>
          <w14:ligatures w14:val="standardContextual"/>
        </w:rPr>
        <w:t xml:space="preserve"> an accused’s interest in challenging a decision at tria</w:t>
      </w:r>
      <w:r w:rsidRPr="000C0C23">
        <w:rPr>
          <w:rFonts w:ascii="Calibri" w:eastAsia="Calibri" w:hAnsi="Calibri" w:cs="Times New Roman"/>
          <w:kern w:val="2"/>
          <w14:ligatures w14:val="standardContextual"/>
        </w:rPr>
        <w:t>l</w:t>
      </w:r>
      <w:r w:rsidR="000C0C23" w:rsidRPr="000C0C23">
        <w:rPr>
          <w:rFonts w:ascii="Calibri" w:eastAsia="Calibri" w:hAnsi="Calibri" w:cs="Times New Roman"/>
          <w:kern w:val="2"/>
          <w14:ligatures w14:val="standardContextual"/>
        </w:rPr>
        <w:t>?</w:t>
      </w:r>
      <w:r w:rsidRPr="000C0C23">
        <w:rPr>
          <w:rFonts w:ascii="Calibri" w:eastAsia="Calibri" w:hAnsi="Calibri" w:cs="Times New Roman"/>
          <w:kern w:val="2"/>
          <w:vertAlign w:val="superscript"/>
          <w14:ligatures w14:val="standardContextual"/>
        </w:rPr>
        <w:endnoteReference w:id="188"/>
      </w:r>
      <w:r w:rsidRPr="00F353EB" w:rsidDel="007B7C05">
        <w:rPr>
          <w:rFonts w:ascii="Calibri" w:eastAsia="Calibri" w:hAnsi="Calibri" w:cs="Times New Roman"/>
          <w:kern w:val="2"/>
          <w14:ligatures w14:val="standardContextual"/>
        </w:rPr>
        <w:t xml:space="preserve"> </w:t>
      </w:r>
    </w:p>
    <w:p w14:paraId="39507CB7" w14:textId="77777777" w:rsidR="00630390" w:rsidRPr="00F353EB" w:rsidRDefault="00630390" w:rsidP="00F353EB">
      <w:pPr>
        <w:spacing w:after="160" w:line="259" w:lineRule="auto"/>
        <w:ind w:left="720"/>
        <w:contextualSpacing/>
        <w:rPr>
          <w:rFonts w:ascii="Calibri" w:eastAsia="Calibri" w:hAnsi="Calibri" w:cs="Calibri"/>
          <w:i/>
          <w:iCs/>
          <w:kern w:val="2"/>
          <w14:ligatures w14:val="standardContextual"/>
        </w:rPr>
      </w:pPr>
    </w:p>
    <w:p w14:paraId="5FCD546A" w14:textId="077CC16A" w:rsidR="00630390" w:rsidRPr="00F353EB" w:rsidRDefault="00630390" w:rsidP="00F353EB">
      <w:pPr>
        <w:spacing w:after="160" w:line="259" w:lineRule="auto"/>
        <w:rPr>
          <w:rFonts w:ascii="Calibri" w:eastAsia="Calibri" w:hAnsi="Calibri" w:cs="Calibri"/>
          <w:i/>
          <w:iCs/>
          <w:kern w:val="2"/>
          <w14:ligatures w14:val="standardContextual"/>
        </w:rPr>
      </w:pPr>
      <w:r w:rsidRPr="00F353EB">
        <w:rPr>
          <w:rFonts w:ascii="Calibri" w:eastAsia="Calibri" w:hAnsi="Calibri" w:cs="Calibri"/>
          <w:kern w:val="2"/>
          <w14:ligatures w14:val="standardContextual"/>
        </w:rPr>
        <w:t xml:space="preserve">AI enabled products </w:t>
      </w:r>
      <w:r w:rsidR="00924098">
        <w:rPr>
          <w:rFonts w:ascii="Calibri" w:eastAsia="Calibri" w:hAnsi="Calibri" w:cs="Calibri"/>
          <w:kern w:val="2"/>
          <w14:ligatures w14:val="standardContextual"/>
        </w:rPr>
        <w:t xml:space="preserve">also </w:t>
      </w:r>
      <w:r w:rsidRPr="00F353EB">
        <w:rPr>
          <w:rFonts w:ascii="Calibri" w:eastAsia="Calibri" w:hAnsi="Calibri" w:cs="Calibri"/>
          <w:kern w:val="2"/>
          <w14:ligatures w14:val="standardContextual"/>
        </w:rPr>
        <w:t xml:space="preserve">promise efficiencies and claim </w:t>
      </w:r>
      <w:r w:rsidR="000C0C23">
        <w:rPr>
          <w:rFonts w:ascii="Calibri" w:eastAsia="Calibri" w:hAnsi="Calibri" w:cs="Calibri"/>
          <w:kern w:val="2"/>
          <w14:ligatures w14:val="standardContextual"/>
        </w:rPr>
        <w:t>to expedite</w:t>
      </w:r>
      <w:r w:rsidRPr="00F353EB">
        <w:rPr>
          <w:rFonts w:ascii="Calibri" w:eastAsia="Calibri" w:hAnsi="Calibri" w:cs="Calibri"/>
          <w:kern w:val="2"/>
          <w14:ligatures w14:val="standardContextual"/>
        </w:rPr>
        <w:t xml:space="preserve"> the time necessary to identify alleged legal errors, produce and review transcripts, file Notices of Appeal and prepare factums. Yet, our experience with technology has shown that complexities injected into pre-existing systems, the challenges of change management, and the time required for human players to adapt processes and develop new skills serve to counteract and slow gains.  </w:t>
      </w:r>
    </w:p>
    <w:p w14:paraId="5F622602" w14:textId="77777777" w:rsidR="000C0C23" w:rsidRPr="000C0C23" w:rsidRDefault="000C0C23" w:rsidP="00F353EB">
      <w:pPr>
        <w:numPr>
          <w:ilvl w:val="0"/>
          <w:numId w:val="131"/>
        </w:numPr>
        <w:spacing w:after="160" w:line="259" w:lineRule="auto"/>
        <w:contextualSpacing/>
        <w:rPr>
          <w:rFonts w:ascii="Calibri" w:eastAsia="Calibri" w:hAnsi="Calibri" w:cs="Calibri"/>
          <w:i/>
          <w:iCs/>
          <w:kern w:val="2"/>
          <w14:ligatures w14:val="standardContextual"/>
        </w:rPr>
      </w:pPr>
      <w:r w:rsidRPr="00F353EB">
        <w:rPr>
          <w:rFonts w:ascii="Calibri" w:eastAsia="Calibri" w:hAnsi="Calibri" w:cs="Calibri"/>
          <w:kern w:val="2"/>
          <w14:ligatures w14:val="standardContextual"/>
        </w:rPr>
        <w:t xml:space="preserve">Can an AI infused criminal justice system give effect to the </w:t>
      </w:r>
      <w:r w:rsidRPr="00F353EB">
        <w:rPr>
          <w:rFonts w:ascii="Calibri" w:eastAsia="Calibri" w:hAnsi="Calibri" w:cs="Calibri"/>
          <w:i/>
          <w:iCs/>
          <w:kern w:val="2"/>
          <w14:ligatures w14:val="standardContextual"/>
        </w:rPr>
        <w:t>R. v. Jordan</w:t>
      </w:r>
      <w:r w:rsidRPr="00F353EB">
        <w:rPr>
          <w:rFonts w:ascii="Calibri" w:eastAsia="Calibri" w:hAnsi="Calibri" w:cs="Calibri"/>
          <w:kern w:val="2"/>
          <w:vertAlign w:val="superscript"/>
          <w14:ligatures w14:val="standardContextual"/>
        </w:rPr>
        <w:endnoteReference w:id="189"/>
      </w:r>
      <w:r w:rsidRPr="00F353EB">
        <w:rPr>
          <w:rFonts w:ascii="Calibri" w:eastAsia="Calibri" w:hAnsi="Calibri" w:cs="Calibri"/>
          <w:i/>
          <w:iCs/>
          <w:kern w:val="2"/>
          <w14:ligatures w14:val="standardContextual"/>
        </w:rPr>
        <w:t xml:space="preserve"> </w:t>
      </w:r>
      <w:r w:rsidRPr="00F353EB">
        <w:rPr>
          <w:rFonts w:ascii="Calibri" w:eastAsia="Calibri" w:hAnsi="Calibri" w:cs="Calibri"/>
          <w:kern w:val="2"/>
          <w14:ligatures w14:val="standardContextual"/>
        </w:rPr>
        <w:t>definition of trial within a reasonable time?</w:t>
      </w:r>
    </w:p>
    <w:p w14:paraId="2A2CD408" w14:textId="30F5C3B8" w:rsidR="000C0C23" w:rsidRPr="000C0C23" w:rsidRDefault="000C0C23" w:rsidP="00F353EB">
      <w:pPr>
        <w:numPr>
          <w:ilvl w:val="0"/>
          <w:numId w:val="131"/>
        </w:numPr>
        <w:spacing w:after="160" w:line="259" w:lineRule="auto"/>
        <w:contextualSpacing/>
        <w:rPr>
          <w:rFonts w:ascii="Calibri" w:eastAsia="Calibri" w:hAnsi="Calibri" w:cs="Calibri"/>
          <w:i/>
          <w:iCs/>
          <w:kern w:val="2"/>
          <w14:ligatures w14:val="standardContextual"/>
        </w:rPr>
      </w:pPr>
      <w:r w:rsidRPr="00F353EB">
        <w:rPr>
          <w:rFonts w:ascii="Calibri" w:eastAsia="Calibri" w:hAnsi="Calibri" w:cs="Calibri"/>
          <w:kern w:val="2"/>
          <w14:ligatures w14:val="standardContextual"/>
        </w:rPr>
        <w:t>Will the complexity of the technology and the uncertainty of the courts’ ultimate stance on AI issues, protract litigation at trial, enhance backlog, and result in proliferation of appeals?</w:t>
      </w:r>
    </w:p>
    <w:p w14:paraId="2B6EACE1" w14:textId="4AA69D45" w:rsidR="00630390" w:rsidRPr="000C0C23" w:rsidRDefault="00630390" w:rsidP="000C0C23">
      <w:pPr>
        <w:numPr>
          <w:ilvl w:val="0"/>
          <w:numId w:val="131"/>
        </w:numPr>
        <w:spacing w:after="160" w:line="259" w:lineRule="auto"/>
        <w:contextualSpacing/>
        <w:rPr>
          <w:rFonts w:ascii="Calibri" w:eastAsia="Calibri" w:hAnsi="Calibri" w:cs="Calibri"/>
          <w:i/>
          <w:iCs/>
          <w:kern w:val="2"/>
          <w14:ligatures w14:val="standardContextual"/>
        </w:rPr>
      </w:pPr>
      <w:r w:rsidRPr="00F353EB">
        <w:rPr>
          <w:rFonts w:ascii="Calibri" w:eastAsia="Calibri" w:hAnsi="Calibri" w:cs="Calibri"/>
          <w:kern w:val="2"/>
          <w14:ligatures w14:val="standardContextual"/>
        </w:rPr>
        <w:t>Will AI enhance or prolong time to disposition on appeal?</w:t>
      </w:r>
    </w:p>
    <w:p w14:paraId="4FEB0FF9" w14:textId="77777777" w:rsidR="00630390" w:rsidRPr="00F353EB" w:rsidRDefault="00630390" w:rsidP="00F353EB">
      <w:pPr>
        <w:spacing w:after="160" w:line="259" w:lineRule="auto"/>
        <w:ind w:left="1440"/>
        <w:contextualSpacing/>
        <w:rPr>
          <w:rFonts w:ascii="Calibri" w:eastAsia="Calibri" w:hAnsi="Calibri" w:cs="Calibri"/>
          <w:i/>
          <w:iCs/>
          <w:kern w:val="2"/>
          <w14:ligatures w14:val="standardContextual"/>
        </w:rPr>
      </w:pPr>
    </w:p>
    <w:p w14:paraId="0575CD04" w14:textId="3DF67374" w:rsidR="00924098" w:rsidRPr="00924098" w:rsidRDefault="00924098" w:rsidP="000C0C23">
      <w:pPr>
        <w:spacing w:after="160" w:line="259" w:lineRule="auto"/>
        <w:rPr>
          <w:rFonts w:ascii="Calibri" w:eastAsia="Calibri" w:hAnsi="Calibri" w:cs="Calibri"/>
          <w:b/>
          <w:bCs/>
          <w:kern w:val="2"/>
          <w14:ligatures w14:val="standardContextual"/>
        </w:rPr>
      </w:pPr>
      <w:r>
        <w:rPr>
          <w:rFonts w:ascii="Calibri" w:eastAsia="Calibri" w:hAnsi="Calibri" w:cs="Calibri"/>
          <w:b/>
          <w:bCs/>
          <w:kern w:val="2"/>
          <w14:ligatures w14:val="standardContextual"/>
        </w:rPr>
        <w:t>The Preservation of Evidence and Fresh Evidence in Light of Evolving AI Systems</w:t>
      </w:r>
    </w:p>
    <w:p w14:paraId="6CA1B693" w14:textId="29937F5A" w:rsidR="00630390" w:rsidRPr="00F353EB" w:rsidRDefault="000C0C23" w:rsidP="000C0C23">
      <w:pPr>
        <w:spacing w:after="160" w:line="259" w:lineRule="auto"/>
        <w:rPr>
          <w:rFonts w:ascii="Calibri" w:eastAsia="Calibri" w:hAnsi="Calibri" w:cs="Calibri"/>
          <w:kern w:val="2"/>
          <w14:ligatures w14:val="standardContextual"/>
        </w:rPr>
      </w:pPr>
      <w:r>
        <w:rPr>
          <w:rFonts w:ascii="Calibri" w:eastAsia="Calibri" w:hAnsi="Calibri" w:cs="Calibri"/>
          <w:kern w:val="2"/>
          <w14:ligatures w14:val="standardContextual"/>
        </w:rPr>
        <w:t xml:space="preserve">A </w:t>
      </w:r>
      <w:r w:rsidR="00924098">
        <w:rPr>
          <w:rFonts w:ascii="Calibri" w:eastAsia="Calibri" w:hAnsi="Calibri" w:cs="Calibri"/>
          <w:kern w:val="2"/>
          <w14:ligatures w14:val="standardContextual"/>
        </w:rPr>
        <w:t>second</w:t>
      </w:r>
      <w:r>
        <w:rPr>
          <w:rFonts w:ascii="Calibri" w:eastAsia="Calibri" w:hAnsi="Calibri" w:cs="Calibri"/>
          <w:kern w:val="2"/>
          <w14:ligatures w14:val="standardContextual"/>
        </w:rPr>
        <w:t xml:space="preserve"> concern related to how AI systems evolve</w:t>
      </w:r>
      <w:r w:rsidR="00630390" w:rsidRPr="00F353EB">
        <w:rPr>
          <w:rFonts w:ascii="Calibri" w:eastAsia="Calibri" w:hAnsi="Calibri" w:cs="Calibri"/>
          <w:kern w:val="2"/>
          <w14:ligatures w14:val="standardContextual"/>
        </w:rPr>
        <w:t>, datasets change, and machine learning continues</w:t>
      </w:r>
      <w:r>
        <w:rPr>
          <w:rFonts w:ascii="Calibri" w:eastAsia="Calibri" w:hAnsi="Calibri" w:cs="Calibri"/>
          <w:kern w:val="2"/>
          <w14:ligatures w14:val="standardContextual"/>
        </w:rPr>
        <w:t>. This raises significant concerns for AI on appeal. For instance:</w:t>
      </w:r>
    </w:p>
    <w:p w14:paraId="12E625FB" w14:textId="2FB93853" w:rsidR="00630390" w:rsidRPr="00F353EB" w:rsidRDefault="00630390" w:rsidP="00F353EB">
      <w:pPr>
        <w:numPr>
          <w:ilvl w:val="0"/>
          <w:numId w:val="130"/>
        </w:numPr>
        <w:spacing w:after="160" w:line="259" w:lineRule="auto"/>
        <w:contextualSpacing/>
        <w:rPr>
          <w:rFonts w:ascii="Calibri" w:eastAsia="Calibri" w:hAnsi="Calibri" w:cs="Calibri"/>
          <w:kern w:val="2"/>
          <w14:ligatures w14:val="standardContextual"/>
        </w:rPr>
      </w:pPr>
      <w:r w:rsidRPr="00F353EB">
        <w:rPr>
          <w:rFonts w:ascii="Calibri" w:eastAsia="Calibri" w:hAnsi="Calibri" w:cs="Calibri"/>
          <w:kern w:val="2"/>
          <w14:ligatures w14:val="standardContextual"/>
        </w:rPr>
        <w:t>How will exhibits be filed at trial and preserved, pending adjudication on appeal?</w:t>
      </w:r>
      <w:r w:rsidR="000C0C23">
        <w:rPr>
          <w:rFonts w:ascii="Calibri" w:eastAsia="Calibri" w:hAnsi="Calibri" w:cs="Calibri"/>
          <w:kern w:val="2"/>
          <w14:ligatures w14:val="standardContextual"/>
        </w:rPr>
        <w:t xml:space="preserve"> How will “point in time” versions of an AI system or its training data be preserved from the time it was used</w:t>
      </w:r>
      <w:r w:rsidR="0013682D">
        <w:rPr>
          <w:rFonts w:ascii="Calibri" w:eastAsia="Calibri" w:hAnsi="Calibri" w:cs="Calibri"/>
          <w:kern w:val="2"/>
          <w14:ligatures w14:val="standardContextual"/>
        </w:rPr>
        <w:t xml:space="preserve"> to the time it is (or could be) reviewed</w:t>
      </w:r>
      <w:r w:rsidR="000C0C23">
        <w:rPr>
          <w:rFonts w:ascii="Calibri" w:eastAsia="Calibri" w:hAnsi="Calibri" w:cs="Calibri"/>
          <w:kern w:val="2"/>
          <w14:ligatures w14:val="standardContextual"/>
        </w:rPr>
        <w:t xml:space="preserve">? </w:t>
      </w:r>
    </w:p>
    <w:p w14:paraId="477377B0" w14:textId="77777777" w:rsidR="0013682D" w:rsidRDefault="0013682D" w:rsidP="00F353EB">
      <w:pPr>
        <w:numPr>
          <w:ilvl w:val="0"/>
          <w:numId w:val="130"/>
        </w:numPr>
        <w:spacing w:after="160" w:line="259" w:lineRule="auto"/>
        <w:contextualSpacing/>
        <w:rPr>
          <w:rFonts w:ascii="Calibri" w:eastAsia="Calibri" w:hAnsi="Calibri" w:cs="Calibri"/>
          <w:kern w:val="2"/>
          <w14:ligatures w14:val="standardContextual"/>
        </w:rPr>
      </w:pPr>
      <w:r w:rsidRPr="00F353EB">
        <w:rPr>
          <w:rFonts w:ascii="Calibri" w:eastAsia="Calibri" w:hAnsi="Calibri" w:cs="Calibri"/>
          <w:kern w:val="2"/>
          <w14:ligatures w14:val="standardContextual"/>
        </w:rPr>
        <w:t xml:space="preserve">What adaptations to the core concepts of an “exhibit” and “the record” may be required? </w:t>
      </w:r>
    </w:p>
    <w:p w14:paraId="0761AEDD" w14:textId="6C8D56A7" w:rsidR="0013682D" w:rsidRDefault="0013682D" w:rsidP="00F353EB">
      <w:pPr>
        <w:numPr>
          <w:ilvl w:val="0"/>
          <w:numId w:val="130"/>
        </w:numPr>
        <w:spacing w:after="160" w:line="259" w:lineRule="auto"/>
        <w:contextualSpacing/>
        <w:rPr>
          <w:rFonts w:ascii="Calibri" w:eastAsia="Calibri" w:hAnsi="Calibri" w:cs="Calibri"/>
          <w:kern w:val="2"/>
          <w14:ligatures w14:val="standardContextual"/>
        </w:rPr>
      </w:pPr>
      <w:r w:rsidRPr="00F353EB">
        <w:rPr>
          <w:rFonts w:ascii="Calibri" w:eastAsia="Calibri" w:hAnsi="Calibri" w:cs="Calibri"/>
          <w:kern w:val="2"/>
          <w14:ligatures w14:val="standardContextual"/>
        </w:rPr>
        <w:t xml:space="preserve">Will the test for </w:t>
      </w:r>
      <w:r>
        <w:rPr>
          <w:rFonts w:ascii="Calibri" w:eastAsia="Calibri" w:hAnsi="Calibri" w:cs="Calibri"/>
          <w:kern w:val="2"/>
          <w14:ligatures w14:val="standardContextual"/>
        </w:rPr>
        <w:t>“</w:t>
      </w:r>
      <w:r w:rsidRPr="00F353EB">
        <w:rPr>
          <w:rFonts w:ascii="Calibri" w:eastAsia="Calibri" w:hAnsi="Calibri" w:cs="Calibri"/>
          <w:kern w:val="2"/>
          <w14:ligatures w14:val="standardContextual"/>
        </w:rPr>
        <w:t>fresh evidence</w:t>
      </w:r>
      <w:r>
        <w:rPr>
          <w:rFonts w:ascii="Calibri" w:eastAsia="Calibri" w:hAnsi="Calibri" w:cs="Calibri"/>
          <w:kern w:val="2"/>
          <w14:ligatures w14:val="standardContextual"/>
        </w:rPr>
        <w:t>”</w:t>
      </w:r>
      <w:r w:rsidRPr="00F353EB">
        <w:rPr>
          <w:rFonts w:ascii="Calibri" w:eastAsia="Calibri" w:hAnsi="Calibri" w:cs="Calibri"/>
          <w:kern w:val="2"/>
          <w14:ligatures w14:val="standardContextual"/>
        </w:rPr>
        <w:t xml:space="preserve"> on appeal need to be altered to account for the practical reality that answers offered by AI may change over time? </w:t>
      </w:r>
    </w:p>
    <w:p w14:paraId="731155DE" w14:textId="77777777" w:rsidR="002C5CAE" w:rsidRDefault="0013682D" w:rsidP="00F353EB">
      <w:pPr>
        <w:spacing w:after="160" w:line="259" w:lineRule="auto"/>
        <w:rPr>
          <w:rFonts w:ascii="Calibri" w:eastAsia="Calibri" w:hAnsi="Calibri" w:cs="Calibri"/>
          <w:kern w:val="2"/>
          <w14:ligatures w14:val="standardContextual"/>
        </w:rPr>
      </w:pPr>
      <w:r>
        <w:rPr>
          <w:rFonts w:ascii="Calibri" w:eastAsia="Calibri" w:hAnsi="Calibri" w:cs="Calibri"/>
          <w:kern w:val="2"/>
          <w14:ligatures w14:val="standardContextual"/>
        </w:rPr>
        <w:lastRenderedPageBreak/>
        <w:br/>
      </w:r>
      <w:r w:rsidR="00630390" w:rsidRPr="00F353EB">
        <w:rPr>
          <w:rFonts w:ascii="Calibri" w:eastAsia="Calibri" w:hAnsi="Calibri" w:cs="Calibri"/>
          <w:kern w:val="2"/>
          <w14:ligatures w14:val="standardContextual"/>
        </w:rPr>
        <w:t>At present, fresh evidence on appeal is admissible if:</w:t>
      </w:r>
    </w:p>
    <w:p w14:paraId="47A789C0" w14:textId="77777777" w:rsidR="002C5CAE" w:rsidRDefault="00630390" w:rsidP="002C5CAE">
      <w:pPr>
        <w:spacing w:after="160" w:line="259" w:lineRule="auto"/>
        <w:ind w:left="426"/>
        <w:rPr>
          <w:rFonts w:ascii="Calibri" w:eastAsia="Calibri" w:hAnsi="Calibri" w:cs="Calibri"/>
          <w:kern w:val="2"/>
          <w14:ligatures w14:val="standardContextual"/>
        </w:rPr>
      </w:pPr>
      <w:r w:rsidRPr="00F353EB">
        <w:rPr>
          <w:rFonts w:ascii="Calibri" w:eastAsia="Calibri" w:hAnsi="Calibri" w:cs="Calibri"/>
          <w:kern w:val="2"/>
          <w14:ligatures w14:val="standardContextual"/>
        </w:rPr>
        <w:t>1) the party adducing it was duly diligent regarding its availability at trial / it was not available at trial;</w:t>
      </w:r>
    </w:p>
    <w:p w14:paraId="4E6CC26B" w14:textId="77777777" w:rsidR="002C5CAE" w:rsidRDefault="00630390" w:rsidP="002C5CAE">
      <w:pPr>
        <w:spacing w:after="160" w:line="259" w:lineRule="auto"/>
        <w:ind w:left="426"/>
        <w:rPr>
          <w:rFonts w:ascii="Calibri" w:eastAsia="Calibri" w:hAnsi="Calibri" w:cs="Calibri"/>
          <w:kern w:val="2"/>
          <w14:ligatures w14:val="standardContextual"/>
        </w:rPr>
      </w:pPr>
      <w:r w:rsidRPr="00F353EB">
        <w:rPr>
          <w:rFonts w:ascii="Calibri" w:eastAsia="Calibri" w:hAnsi="Calibri" w:cs="Calibri"/>
          <w:kern w:val="2"/>
          <w14:ligatures w14:val="standardContextual"/>
        </w:rPr>
        <w:t>2) it is relevant (dispositive or potentially dispositive of an issue on appeal);</w:t>
      </w:r>
    </w:p>
    <w:p w14:paraId="2573A1ED" w14:textId="77777777" w:rsidR="002C5CAE" w:rsidRDefault="00630390" w:rsidP="002C5CAE">
      <w:pPr>
        <w:spacing w:after="160" w:line="259" w:lineRule="auto"/>
        <w:ind w:left="426"/>
        <w:rPr>
          <w:rFonts w:ascii="Calibri" w:eastAsia="Calibri" w:hAnsi="Calibri" w:cs="Calibri"/>
          <w:kern w:val="2"/>
          <w14:ligatures w14:val="standardContextual"/>
        </w:rPr>
      </w:pPr>
      <w:r w:rsidRPr="00F353EB">
        <w:rPr>
          <w:rFonts w:ascii="Calibri" w:eastAsia="Calibri" w:hAnsi="Calibri" w:cs="Calibri"/>
          <w:kern w:val="2"/>
          <w14:ligatures w14:val="standardContextual"/>
        </w:rPr>
        <w:t>3) it is credible / reasonably capable of belief;</w:t>
      </w:r>
    </w:p>
    <w:p w14:paraId="0097CAF6" w14:textId="77777777" w:rsidR="002C5CAE" w:rsidRDefault="00630390" w:rsidP="002C5CAE">
      <w:pPr>
        <w:spacing w:after="160" w:line="259" w:lineRule="auto"/>
        <w:ind w:left="426"/>
        <w:rPr>
          <w:rFonts w:ascii="Calibri" w:eastAsia="Calibri" w:hAnsi="Calibri" w:cs="Calibri"/>
          <w:kern w:val="2"/>
          <w14:ligatures w14:val="standardContextual"/>
        </w:rPr>
      </w:pPr>
      <w:r w:rsidRPr="00F353EB">
        <w:rPr>
          <w:rFonts w:ascii="Calibri" w:eastAsia="Calibri" w:hAnsi="Calibri" w:cs="Calibri"/>
          <w:kern w:val="2"/>
          <w14:ligatures w14:val="standardContextual"/>
        </w:rPr>
        <w:t>4) believed, it could reasonably, when taken with the other evidence, have affected the result at trial.</w:t>
      </w:r>
    </w:p>
    <w:p w14:paraId="515E9416" w14:textId="5A51E02F" w:rsidR="00630390" w:rsidRPr="00F353EB" w:rsidRDefault="00630390" w:rsidP="00F353EB">
      <w:pPr>
        <w:spacing w:after="160" w:line="259" w:lineRule="auto"/>
        <w:rPr>
          <w:rFonts w:ascii="Calibri" w:eastAsia="Calibri" w:hAnsi="Calibri" w:cs="Calibri"/>
          <w:kern w:val="2"/>
          <w14:ligatures w14:val="standardContextual"/>
        </w:rPr>
      </w:pPr>
      <w:r w:rsidRPr="00F353EB">
        <w:rPr>
          <w:rFonts w:ascii="Calibri" w:eastAsia="Calibri" w:hAnsi="Calibri" w:cs="Calibri"/>
          <w:kern w:val="2"/>
          <w14:ligatures w14:val="standardContextual"/>
        </w:rPr>
        <w:t>The due diligence component of the test is not</w:t>
      </w:r>
      <w:r w:rsidR="0013682D">
        <w:rPr>
          <w:rFonts w:ascii="Calibri" w:eastAsia="Calibri" w:hAnsi="Calibri" w:cs="Calibri"/>
          <w:kern w:val="2"/>
          <w14:ligatures w14:val="standardContextual"/>
        </w:rPr>
        <w:t xml:space="preserve"> </w:t>
      </w:r>
      <w:r w:rsidRPr="00F353EB">
        <w:rPr>
          <w:rFonts w:ascii="Calibri" w:eastAsia="Calibri" w:hAnsi="Calibri" w:cs="Calibri"/>
          <w:kern w:val="2"/>
          <w14:ligatures w14:val="standardContextual"/>
        </w:rPr>
        <w:t xml:space="preserve">mandatory in the criminal law </w:t>
      </w:r>
      <w:r w:rsidR="00A92CEE" w:rsidRPr="00F353EB">
        <w:rPr>
          <w:rFonts w:ascii="Calibri" w:eastAsia="Calibri" w:hAnsi="Calibri" w:cs="Calibri"/>
          <w:kern w:val="2"/>
          <w14:ligatures w14:val="standardContextual"/>
        </w:rPr>
        <w:t>context,</w:t>
      </w:r>
      <w:r w:rsidRPr="00F353EB">
        <w:rPr>
          <w:rFonts w:ascii="Calibri" w:eastAsia="Calibri" w:hAnsi="Calibri" w:cs="Calibri"/>
          <w:kern w:val="2"/>
          <w14:ligatures w14:val="standardContextual"/>
        </w:rPr>
        <w:t xml:space="preserve"> but the remaining three criteria must be met.</w:t>
      </w:r>
      <w:r w:rsidRPr="00F353EB">
        <w:rPr>
          <w:rFonts w:ascii="Calibri" w:eastAsia="Calibri" w:hAnsi="Calibri" w:cs="Calibri"/>
          <w:kern w:val="2"/>
          <w:vertAlign w:val="superscript"/>
          <w14:ligatures w14:val="standardContextual"/>
        </w:rPr>
        <w:endnoteReference w:id="190"/>
      </w:r>
      <w:r w:rsidRPr="00F353EB">
        <w:rPr>
          <w:rFonts w:ascii="Calibri" w:eastAsia="Calibri" w:hAnsi="Calibri" w:cs="Calibri"/>
          <w:kern w:val="2"/>
          <w14:ligatures w14:val="standardContextual"/>
        </w:rPr>
        <w:t xml:space="preserve"> Pursuant to s.683(1) of the Criminal Code an appellate court may admit fresh evidence on appeal where it is in the interests of justice to do so</w:t>
      </w:r>
      <w:r w:rsidR="0013682D">
        <w:rPr>
          <w:rFonts w:ascii="Calibri" w:eastAsia="Calibri" w:hAnsi="Calibri" w:cs="Calibri"/>
          <w:kern w:val="2"/>
          <w14:ligatures w14:val="standardContextual"/>
        </w:rPr>
        <w:t>:</w:t>
      </w:r>
    </w:p>
    <w:p w14:paraId="3463E809" w14:textId="77777777" w:rsidR="00630390" w:rsidRPr="0013682D" w:rsidRDefault="00630390" w:rsidP="00F353EB">
      <w:pPr>
        <w:tabs>
          <w:tab w:val="left" w:pos="2160"/>
        </w:tabs>
        <w:spacing w:before="120" w:after="240"/>
        <w:ind w:left="1440" w:right="1440"/>
        <w:jc w:val="both"/>
        <w:rPr>
          <w:rFonts w:ascii="Calibri" w:eastAsia="Times New Roman" w:hAnsi="Calibri" w:cs="Calibri"/>
        </w:rPr>
      </w:pPr>
      <w:r w:rsidRPr="0013682D">
        <w:rPr>
          <w:rFonts w:ascii="Calibri" w:eastAsia="Times New Roman" w:hAnsi="Calibri" w:cs="Calibri"/>
        </w:rPr>
        <w:t>The “interests of justice” control the admission of all evidence offered on appeal.  That phrase signals a broad discretion to admit evidence following a context-sensitive inquiry into the totality of the circumstances.</w:t>
      </w:r>
      <w:r w:rsidRPr="0013682D">
        <w:rPr>
          <w:rFonts w:ascii="Calibri" w:eastAsia="Times New Roman" w:hAnsi="Calibri" w:cs="Calibri"/>
          <w:vertAlign w:val="superscript"/>
        </w:rPr>
        <w:endnoteReference w:id="191"/>
      </w:r>
    </w:p>
    <w:p w14:paraId="77C96527" w14:textId="17BCFC3D" w:rsidR="00630390" w:rsidRPr="00F353EB" w:rsidRDefault="00630390" w:rsidP="00F353EB">
      <w:pPr>
        <w:spacing w:after="160" w:line="259" w:lineRule="auto"/>
        <w:rPr>
          <w:rFonts w:ascii="Calibri" w:eastAsia="Calibri" w:hAnsi="Calibri" w:cs="Calibri"/>
          <w:kern w:val="2"/>
          <w14:ligatures w14:val="standardContextual"/>
        </w:rPr>
      </w:pPr>
      <w:r w:rsidRPr="00F353EB">
        <w:rPr>
          <w:rFonts w:ascii="Calibri" w:eastAsia="Calibri" w:hAnsi="Calibri" w:cs="Times New Roman"/>
          <w:kern w:val="2"/>
          <w14:ligatures w14:val="standardContextual"/>
        </w:rPr>
        <w:t>Thus, in criminal cases, it is recognized that</w:t>
      </w:r>
      <w:r w:rsidRPr="0013682D">
        <w:rPr>
          <w:rFonts w:ascii="Calibri" w:eastAsia="Calibri" w:hAnsi="Calibri" w:cs="Times New Roman"/>
          <w:kern w:val="2"/>
          <w14:ligatures w14:val="standardContextual"/>
        </w:rPr>
        <w:t xml:space="preserve"> it is not ordinarily in the interests of justice to maintain the verdict simply because an appellant failed to exercise due diligence.</w:t>
      </w:r>
      <w:r w:rsidRPr="0013682D">
        <w:rPr>
          <w:rFonts w:ascii="Calibri" w:eastAsia="Calibri" w:hAnsi="Calibri" w:cs="Times New Roman"/>
          <w:kern w:val="2"/>
          <w:vertAlign w:val="superscript"/>
          <w14:ligatures w14:val="standardContextual"/>
        </w:rPr>
        <w:endnoteReference w:id="192"/>
      </w:r>
    </w:p>
    <w:p w14:paraId="043A78BD" w14:textId="77777777" w:rsidR="00630390" w:rsidRPr="00F353EB" w:rsidRDefault="00630390" w:rsidP="00F353EB">
      <w:pPr>
        <w:spacing w:after="160" w:line="259" w:lineRule="auto"/>
        <w:rPr>
          <w:rFonts w:ascii="Calibri" w:eastAsia="Calibri" w:hAnsi="Calibri" w:cs="Calibri"/>
          <w:color w:val="212121"/>
          <w:kern w:val="2"/>
          <w:shd w:val="clear" w:color="auto" w:fill="FFFFFF"/>
          <w14:ligatures w14:val="standardContextual"/>
        </w:rPr>
      </w:pPr>
      <w:r w:rsidRPr="00F353EB">
        <w:rPr>
          <w:rFonts w:ascii="Calibri" w:eastAsia="Calibri" w:hAnsi="Calibri" w:cs="Calibri"/>
          <w:kern w:val="2"/>
          <w14:ligatures w14:val="standardContextual"/>
        </w:rPr>
        <w:t xml:space="preserve">Rules concerning sources and types of evidence are more flexible in relation to sentencing.  But the criteria for admitting fresh evidence on appeal are the same regardless of whether the appeal relates to a verdict or sentence.  This standard is important because </w:t>
      </w:r>
      <w:r w:rsidRPr="00F353EB">
        <w:rPr>
          <w:rFonts w:ascii="Calibri" w:eastAsia="Calibri" w:hAnsi="Calibri" w:cs="Calibri"/>
          <w:color w:val="212121"/>
          <w:kern w:val="2"/>
          <w:shd w:val="clear" w:color="auto" w:fill="FFFFFF"/>
          <w14:ligatures w14:val="standardContextual"/>
        </w:rPr>
        <w:t>the integrity of the criminal process and the role of appeal courts could be jeopardized by the routine admission of fresh evidence on appeal.</w:t>
      </w:r>
      <w:r w:rsidRPr="00F353EB">
        <w:rPr>
          <w:rFonts w:ascii="Calibri" w:eastAsia="Calibri" w:hAnsi="Calibri" w:cs="Calibri"/>
          <w:color w:val="212121"/>
          <w:kern w:val="2"/>
          <w:shd w:val="clear" w:color="auto" w:fill="FFFFFF"/>
          <w:vertAlign w:val="superscript"/>
          <w14:ligatures w14:val="standardContextual"/>
        </w:rPr>
        <w:endnoteReference w:id="193"/>
      </w:r>
      <w:r w:rsidRPr="00F353EB">
        <w:rPr>
          <w:rFonts w:ascii="Calibri" w:eastAsia="Calibri" w:hAnsi="Calibri" w:cs="Calibri"/>
          <w:color w:val="212121"/>
          <w:kern w:val="2"/>
          <w:shd w:val="clear" w:color="auto" w:fill="FFFFFF"/>
          <w14:ligatures w14:val="standardContextual"/>
        </w:rPr>
        <w:t xml:space="preserve">  </w:t>
      </w:r>
    </w:p>
    <w:p w14:paraId="5236AFF8" w14:textId="1EEA0CA2" w:rsidR="00630390" w:rsidRPr="00F353EB" w:rsidRDefault="00630390" w:rsidP="00F353EB">
      <w:pPr>
        <w:spacing w:after="160" w:line="259" w:lineRule="auto"/>
        <w:rPr>
          <w:rFonts w:ascii="Calibri" w:eastAsia="Calibri" w:hAnsi="Calibri" w:cs="Calibri"/>
          <w:kern w:val="2"/>
          <w14:ligatures w14:val="standardContextual"/>
        </w:rPr>
      </w:pPr>
      <w:r w:rsidRPr="00F353EB">
        <w:rPr>
          <w:rFonts w:ascii="Calibri" w:eastAsia="Calibri" w:hAnsi="Calibri" w:cs="Calibri"/>
          <w:color w:val="212121"/>
          <w:kern w:val="2"/>
          <w:shd w:val="clear" w:color="auto" w:fill="FFFFFF"/>
          <w14:ligatures w14:val="standardContextual"/>
        </w:rPr>
        <w:t>The ever-evolving nature of artificial intelligence seems certain to increase the tension that already exists at the appellate level around maintaining the finality of trial decisions versus admitting fresh evidence on appeal when that evidence has the potential to undermine the verdict’s validity.</w:t>
      </w:r>
      <w:r w:rsidR="0013682D">
        <w:rPr>
          <w:rFonts w:ascii="Calibri" w:eastAsia="Calibri" w:hAnsi="Calibri" w:cs="Calibri"/>
          <w:color w:val="212121"/>
          <w:kern w:val="2"/>
          <w:shd w:val="clear" w:color="auto" w:fill="FFFFFF"/>
          <w14:ligatures w14:val="standardContextual"/>
        </w:rPr>
        <w:t xml:space="preserve"> </w:t>
      </w:r>
      <w:r w:rsidRPr="00F353EB">
        <w:rPr>
          <w:rFonts w:ascii="Calibri" w:eastAsia="Calibri" w:hAnsi="Calibri" w:cs="Calibri"/>
          <w:color w:val="212121"/>
          <w:kern w:val="2"/>
          <w:shd w:val="clear" w:color="auto" w:fill="FFFFFF"/>
          <w14:ligatures w14:val="standardContextual"/>
        </w:rPr>
        <w:t>Will this tension be left to appellate courts and the development of common law jurisprudence to resolve?</w:t>
      </w:r>
      <w:r w:rsidR="0013682D">
        <w:rPr>
          <w:rFonts w:ascii="Calibri" w:eastAsia="Calibri" w:hAnsi="Calibri" w:cs="Calibri"/>
          <w:color w:val="212121"/>
          <w:kern w:val="2"/>
          <w:shd w:val="clear" w:color="auto" w:fill="FFFFFF"/>
          <w14:ligatures w14:val="standardContextual"/>
        </w:rPr>
        <w:t xml:space="preserve"> </w:t>
      </w:r>
      <w:r w:rsidRPr="00F353EB">
        <w:rPr>
          <w:rFonts w:ascii="Calibri" w:eastAsia="Calibri" w:hAnsi="Calibri" w:cs="Calibri"/>
          <w:color w:val="212121"/>
          <w:kern w:val="2"/>
          <w:shd w:val="clear" w:color="auto" w:fill="FFFFFF"/>
          <w14:ligatures w14:val="standardContextual"/>
        </w:rPr>
        <w:t>Or will legislative and regulatory measures (short of outright prohibition) be introduced to address the conflict between the above legal principles when an underlying data set or algorithm changes, and relevant AI behaviour and outcomes are different following trial.</w:t>
      </w:r>
    </w:p>
    <w:p w14:paraId="3FB084F1" w14:textId="026BE54F" w:rsidR="00B57B19" w:rsidRPr="00B57B19" w:rsidRDefault="00B57B19" w:rsidP="00F353EB">
      <w:pPr>
        <w:spacing w:after="160" w:line="259" w:lineRule="auto"/>
        <w:rPr>
          <w:rFonts w:ascii="Calibri" w:eastAsia="Calibri" w:hAnsi="Calibri" w:cs="Calibri"/>
          <w:b/>
          <w:bCs/>
          <w:kern w:val="2"/>
          <w14:ligatures w14:val="standardContextual"/>
        </w:rPr>
      </w:pPr>
      <w:r w:rsidRPr="00B57B19">
        <w:rPr>
          <w:rFonts w:ascii="Calibri" w:eastAsia="Calibri" w:hAnsi="Calibri" w:cs="Calibri"/>
          <w:b/>
          <w:bCs/>
          <w:kern w:val="2"/>
          <w14:ligatures w14:val="standardContextual"/>
        </w:rPr>
        <w:t xml:space="preserve">The Accused’s Right </w:t>
      </w:r>
      <w:r>
        <w:rPr>
          <w:rFonts w:ascii="Calibri" w:eastAsia="Calibri" w:hAnsi="Calibri" w:cs="Calibri"/>
          <w:b/>
          <w:bCs/>
          <w:kern w:val="2"/>
          <w14:ligatures w14:val="standardContextual"/>
        </w:rPr>
        <w:t>t</w:t>
      </w:r>
      <w:r w:rsidRPr="00B57B19">
        <w:rPr>
          <w:rFonts w:ascii="Calibri" w:eastAsia="Calibri" w:hAnsi="Calibri" w:cs="Calibri"/>
          <w:b/>
          <w:bCs/>
          <w:kern w:val="2"/>
          <w14:ligatures w14:val="standardContextual"/>
        </w:rPr>
        <w:t xml:space="preserve">o </w:t>
      </w:r>
      <w:r>
        <w:rPr>
          <w:rFonts w:ascii="Calibri" w:eastAsia="Calibri" w:hAnsi="Calibri" w:cs="Calibri"/>
          <w:b/>
          <w:bCs/>
          <w:kern w:val="2"/>
          <w14:ligatures w14:val="standardContextual"/>
        </w:rPr>
        <w:t>b</w:t>
      </w:r>
      <w:r w:rsidRPr="00B57B19">
        <w:rPr>
          <w:rFonts w:ascii="Calibri" w:eastAsia="Calibri" w:hAnsi="Calibri" w:cs="Calibri"/>
          <w:b/>
          <w:bCs/>
          <w:kern w:val="2"/>
          <w14:ligatures w14:val="standardContextual"/>
        </w:rPr>
        <w:t xml:space="preserve">e Present </w:t>
      </w:r>
      <w:r>
        <w:rPr>
          <w:rFonts w:ascii="Calibri" w:eastAsia="Calibri" w:hAnsi="Calibri" w:cs="Calibri"/>
          <w:b/>
          <w:bCs/>
          <w:kern w:val="2"/>
          <w14:ligatures w14:val="standardContextual"/>
        </w:rPr>
        <w:t>a</w:t>
      </w:r>
      <w:r w:rsidRPr="00B57B19">
        <w:rPr>
          <w:rFonts w:ascii="Calibri" w:eastAsia="Calibri" w:hAnsi="Calibri" w:cs="Calibri"/>
          <w:b/>
          <w:bCs/>
          <w:kern w:val="2"/>
          <w14:ligatures w14:val="standardContextual"/>
        </w:rPr>
        <w:t>t Trial</w:t>
      </w:r>
    </w:p>
    <w:p w14:paraId="0C3A298D" w14:textId="77777777" w:rsidR="00B57B19" w:rsidRDefault="00DC5D7A" w:rsidP="00F353EB">
      <w:pPr>
        <w:spacing w:after="160" w:line="259" w:lineRule="auto"/>
        <w:rPr>
          <w:rFonts w:ascii="Calibri" w:eastAsia="Calibri" w:hAnsi="Calibri" w:cs="Calibri"/>
          <w:kern w:val="2"/>
          <w14:ligatures w14:val="standardContextual"/>
        </w:rPr>
      </w:pPr>
      <w:r>
        <w:rPr>
          <w:rFonts w:ascii="Calibri" w:eastAsia="Calibri" w:hAnsi="Calibri" w:cs="Calibri"/>
          <w:kern w:val="2"/>
          <w14:ligatures w14:val="standardContextual"/>
        </w:rPr>
        <w:t xml:space="preserve">A </w:t>
      </w:r>
      <w:r w:rsidR="00B57B19">
        <w:rPr>
          <w:rFonts w:ascii="Calibri" w:eastAsia="Calibri" w:hAnsi="Calibri" w:cs="Calibri"/>
          <w:kern w:val="2"/>
          <w14:ligatures w14:val="standardContextual"/>
        </w:rPr>
        <w:t>third</w:t>
      </w:r>
      <w:r>
        <w:rPr>
          <w:rFonts w:ascii="Calibri" w:eastAsia="Calibri" w:hAnsi="Calibri" w:cs="Calibri"/>
          <w:kern w:val="2"/>
          <w14:ligatures w14:val="standardContextual"/>
        </w:rPr>
        <w:t xml:space="preserve"> concern with AI on appeal questions whether </w:t>
      </w:r>
      <w:r w:rsidR="00630390" w:rsidRPr="00F353EB">
        <w:rPr>
          <w:rFonts w:ascii="Calibri" w:eastAsia="Calibri" w:hAnsi="Calibri" w:cs="Calibri"/>
          <w:kern w:val="2"/>
          <w14:ligatures w14:val="standardContextual"/>
        </w:rPr>
        <w:t xml:space="preserve">the introduction of evidence premised upon </w:t>
      </w:r>
      <w:r>
        <w:rPr>
          <w:rFonts w:ascii="Calibri" w:eastAsia="Calibri" w:hAnsi="Calibri" w:cs="Calibri"/>
          <w:kern w:val="2"/>
          <w14:ligatures w14:val="standardContextual"/>
        </w:rPr>
        <w:t>“</w:t>
      </w:r>
      <w:r w:rsidR="00630390" w:rsidRPr="00F353EB">
        <w:rPr>
          <w:rFonts w:ascii="Calibri" w:eastAsia="Calibri" w:hAnsi="Calibri" w:cs="Calibri"/>
          <w:kern w:val="2"/>
          <w14:ligatures w14:val="standardContextual"/>
        </w:rPr>
        <w:t>black box</w:t>
      </w:r>
      <w:r>
        <w:rPr>
          <w:rFonts w:ascii="Calibri" w:eastAsia="Calibri" w:hAnsi="Calibri" w:cs="Calibri"/>
          <w:kern w:val="2"/>
          <w14:ligatures w14:val="standardContextual"/>
        </w:rPr>
        <w:t>”</w:t>
      </w:r>
      <w:r w:rsidR="00630390" w:rsidRPr="00F353EB">
        <w:rPr>
          <w:rFonts w:ascii="Calibri" w:eastAsia="Calibri" w:hAnsi="Calibri" w:cs="Calibri"/>
          <w:kern w:val="2"/>
          <w14:ligatures w14:val="standardContextual"/>
        </w:rPr>
        <w:t xml:space="preserve"> </w:t>
      </w:r>
      <w:r>
        <w:rPr>
          <w:rFonts w:ascii="Calibri" w:eastAsia="Calibri" w:hAnsi="Calibri" w:cs="Calibri"/>
          <w:kern w:val="2"/>
          <w14:ligatures w14:val="standardContextual"/>
        </w:rPr>
        <w:t>systems</w:t>
      </w:r>
      <w:r w:rsidR="00630390" w:rsidRPr="00F353EB">
        <w:rPr>
          <w:rFonts w:ascii="Calibri" w:eastAsia="Calibri" w:hAnsi="Calibri" w:cs="Calibri"/>
          <w:kern w:val="2"/>
          <w14:ligatures w14:val="standardContextual"/>
        </w:rPr>
        <w:t xml:space="preserve"> may amount to a violation of the accused’s right to be present at his/her trial.</w:t>
      </w:r>
    </w:p>
    <w:p w14:paraId="445E8F5B" w14:textId="38BF4362" w:rsidR="00B414BB" w:rsidRDefault="00630390" w:rsidP="00F353EB">
      <w:pPr>
        <w:spacing w:after="160" w:line="259" w:lineRule="auto"/>
        <w:rPr>
          <w:rFonts w:ascii="Calibri" w:eastAsia="Calibri" w:hAnsi="Calibri" w:cs="Calibri"/>
          <w:kern w:val="2"/>
          <w14:ligatures w14:val="standardContextual"/>
        </w:rPr>
      </w:pPr>
      <w:r w:rsidRPr="00F353EB">
        <w:rPr>
          <w:rFonts w:ascii="Calibri" w:eastAsia="Calibri" w:hAnsi="Calibri" w:cs="Calibri"/>
          <w:kern w:val="2"/>
          <w14:ligatures w14:val="standardContextual"/>
        </w:rPr>
        <w:lastRenderedPageBreak/>
        <w:t>This argument has been cited as a basis for prohibiting or limiting use of AI in the criminal law context.</w:t>
      </w:r>
      <w:r w:rsidR="00DC5D7A">
        <w:rPr>
          <w:rFonts w:ascii="Calibri" w:eastAsia="Calibri" w:hAnsi="Calibri" w:cs="Calibri"/>
          <w:kern w:val="2"/>
          <w14:ligatures w14:val="standardContextual"/>
        </w:rPr>
        <w:t xml:space="preserve"> </w:t>
      </w:r>
      <w:r w:rsidRPr="00F353EB">
        <w:rPr>
          <w:rFonts w:ascii="Calibri" w:eastAsia="Calibri" w:hAnsi="Calibri" w:cs="Calibri"/>
          <w:kern w:val="2"/>
          <w14:ligatures w14:val="standardContextual"/>
        </w:rPr>
        <w:t>In the absence of an outright prohibition, consider the potential success of this argument on appeal.</w:t>
      </w:r>
      <w:r w:rsidR="00B57B19">
        <w:rPr>
          <w:rFonts w:ascii="Calibri" w:eastAsia="Calibri" w:hAnsi="Calibri" w:cs="Calibri"/>
          <w:kern w:val="2"/>
          <w14:ligatures w14:val="standardContextual"/>
        </w:rPr>
        <w:t xml:space="preserve"> </w:t>
      </w:r>
      <w:r w:rsidRPr="00F353EB">
        <w:rPr>
          <w:rFonts w:ascii="Calibri" w:eastAsia="Calibri" w:hAnsi="Calibri" w:cs="Calibri"/>
          <w:kern w:val="2"/>
          <w14:ligatures w14:val="standardContextual"/>
        </w:rPr>
        <w:t>Will black box algorithms be deemed to amount to “some loss of jurisdiction”</w:t>
      </w:r>
      <w:r w:rsidR="00B57B19">
        <w:rPr>
          <w:rFonts w:ascii="Calibri" w:eastAsia="Calibri" w:hAnsi="Calibri" w:cs="Calibri"/>
          <w:kern w:val="2"/>
          <w14:ligatures w14:val="standardContextual"/>
        </w:rPr>
        <w:t xml:space="preserve"> that is </w:t>
      </w:r>
      <w:r w:rsidRPr="00F353EB">
        <w:rPr>
          <w:rFonts w:ascii="Calibri" w:eastAsia="Calibri" w:hAnsi="Calibri" w:cs="Calibri"/>
          <w:kern w:val="2"/>
          <w14:ligatures w14:val="standardContextual"/>
        </w:rPr>
        <w:t>“tolerable in the absence of prejudice”?</w:t>
      </w:r>
      <w:r w:rsidR="00B57B19">
        <w:rPr>
          <w:rFonts w:ascii="Calibri" w:eastAsia="Calibri" w:hAnsi="Calibri" w:cs="Calibri"/>
          <w:kern w:val="2"/>
          <w14:ligatures w14:val="standardContextual"/>
        </w:rPr>
        <w:t xml:space="preserve"> </w:t>
      </w:r>
      <w:r w:rsidRPr="00F353EB">
        <w:rPr>
          <w:rFonts w:ascii="Calibri" w:eastAsia="Calibri" w:hAnsi="Calibri" w:cs="Calibri"/>
          <w:kern w:val="2"/>
          <w14:ligatures w14:val="standardContextual"/>
        </w:rPr>
        <w:t>Will the “exclusion” be deemed inadvertent exclusion of the accused from unimportant parts of the trial?</w:t>
      </w:r>
      <w:r w:rsidRPr="00F353EB">
        <w:rPr>
          <w:rFonts w:ascii="Calibri" w:eastAsia="Calibri" w:hAnsi="Calibri" w:cs="Calibri"/>
          <w:kern w:val="2"/>
          <w:vertAlign w:val="superscript"/>
          <w14:ligatures w14:val="standardContextual"/>
        </w:rPr>
        <w:endnoteReference w:id="194"/>
      </w:r>
      <w:r w:rsidRPr="00F353EB">
        <w:rPr>
          <w:rFonts w:ascii="Calibri" w:eastAsia="Calibri" w:hAnsi="Calibri" w:cs="Segoe UI"/>
          <w:kern w:val="2"/>
          <w14:ligatures w14:val="standardContextual"/>
        </w:rPr>
        <w:t xml:space="preserve"> </w:t>
      </w:r>
      <w:r w:rsidRPr="00F353EB">
        <w:rPr>
          <w:rFonts w:ascii="Calibri" w:eastAsia="Calibri" w:hAnsi="Calibri" w:cs="Calibri"/>
          <w:kern w:val="2"/>
          <w14:ligatures w14:val="standardContextual"/>
        </w:rPr>
        <w:t xml:space="preserve">Or will the infringement of the accused’s right to be present justify exclusion of such evidence or, in the clearest of cases, a stay of proceedings? If so, under what section of the </w:t>
      </w:r>
      <w:r w:rsidRPr="00B414BB">
        <w:rPr>
          <w:rFonts w:ascii="Calibri" w:eastAsia="Calibri" w:hAnsi="Calibri" w:cs="Calibri"/>
          <w:i/>
          <w:iCs/>
          <w:kern w:val="2"/>
          <w14:ligatures w14:val="standardContextual"/>
        </w:rPr>
        <w:t>Charter</w:t>
      </w:r>
      <w:r w:rsidRPr="00F353EB">
        <w:rPr>
          <w:rFonts w:ascii="Calibri" w:eastAsia="Calibri" w:hAnsi="Calibri" w:cs="Calibri"/>
          <w:kern w:val="2"/>
          <w14:ligatures w14:val="standardContextual"/>
        </w:rPr>
        <w:t xml:space="preserve"> will the claim for a remedy lie? Section 7 (right to life, liberty and security of the person </w:t>
      </w:r>
      <w:r w:rsidRPr="00F353EB">
        <w:rPr>
          <w:rFonts w:ascii="Calibri" w:eastAsia="Calibri" w:hAnsi="Calibri" w:cs="Calibri"/>
          <w:color w:val="333333"/>
          <w:kern w:val="2"/>
          <w:shd w:val="clear" w:color="auto" w:fill="FFFFFF"/>
          <w14:ligatures w14:val="standardContextual"/>
        </w:rPr>
        <w:t>and the right not to be deprived thereof except in accordance with the principles of fundamental justice)</w:t>
      </w:r>
      <w:r w:rsidRPr="00F353EB">
        <w:rPr>
          <w:rFonts w:ascii="Calibri" w:eastAsia="Calibri" w:hAnsi="Calibri" w:cs="Calibri"/>
          <w:kern w:val="2"/>
          <w14:ligatures w14:val="standardContextual"/>
        </w:rPr>
        <w:t>? Section 11(d) (</w:t>
      </w:r>
      <w:r w:rsidRPr="00F353EB">
        <w:rPr>
          <w:rFonts w:ascii="Calibri" w:eastAsia="Calibri" w:hAnsi="Calibri" w:cs="Calibri"/>
          <w:color w:val="333333"/>
          <w:kern w:val="2"/>
          <w:shd w:val="clear" w:color="auto" w:fill="FFFFFF"/>
          <w14:ligatures w14:val="standardContextual"/>
        </w:rPr>
        <w:t>to be presumed innocent until proven guilty according to law in a fair and public hearing by an independent and impartial tribunal)</w:t>
      </w:r>
      <w:r w:rsidRPr="00F353EB">
        <w:rPr>
          <w:rFonts w:ascii="Calibri" w:eastAsia="Calibri" w:hAnsi="Calibri" w:cs="Calibri"/>
          <w:kern w:val="2"/>
          <w14:ligatures w14:val="standardContextual"/>
        </w:rPr>
        <w:t xml:space="preserve">?  </w:t>
      </w:r>
    </w:p>
    <w:p w14:paraId="0F8C2D4D" w14:textId="2F861580" w:rsidR="00B414BB" w:rsidRPr="00B414BB" w:rsidRDefault="00B414BB" w:rsidP="00F353EB">
      <w:pPr>
        <w:spacing w:after="160" w:line="259" w:lineRule="auto"/>
        <w:rPr>
          <w:rFonts w:ascii="Calibri" w:eastAsia="Calibri" w:hAnsi="Calibri" w:cs="Calibri"/>
          <w:b/>
          <w:bCs/>
          <w:kern w:val="2"/>
          <w14:ligatures w14:val="standardContextual"/>
        </w:rPr>
      </w:pPr>
      <w:r w:rsidRPr="00B414BB">
        <w:rPr>
          <w:rFonts w:ascii="Calibri" w:eastAsia="Calibri" w:hAnsi="Calibri" w:cs="Calibri"/>
          <w:b/>
          <w:bCs/>
          <w:kern w:val="2"/>
          <w14:ligatures w14:val="standardContextual"/>
        </w:rPr>
        <w:t xml:space="preserve">Appellate </w:t>
      </w:r>
      <w:r>
        <w:rPr>
          <w:rFonts w:ascii="Calibri" w:eastAsia="Calibri" w:hAnsi="Calibri" w:cs="Calibri"/>
          <w:b/>
          <w:bCs/>
          <w:kern w:val="2"/>
          <w14:ligatures w14:val="standardContextual"/>
        </w:rPr>
        <w:t xml:space="preserve">Legal </w:t>
      </w:r>
      <w:r w:rsidRPr="00B414BB">
        <w:rPr>
          <w:rFonts w:ascii="Calibri" w:eastAsia="Calibri" w:hAnsi="Calibri" w:cs="Calibri"/>
          <w:b/>
          <w:bCs/>
          <w:kern w:val="2"/>
          <w14:ligatures w14:val="standardContextual"/>
        </w:rPr>
        <w:t>Standards</w:t>
      </w:r>
      <w:r>
        <w:rPr>
          <w:rFonts w:ascii="Calibri" w:eastAsia="Calibri" w:hAnsi="Calibri" w:cs="Calibri"/>
          <w:b/>
          <w:bCs/>
          <w:kern w:val="2"/>
          <w14:ligatures w14:val="standardContextual"/>
        </w:rPr>
        <w:t xml:space="preserve"> and Grounds of Appeal</w:t>
      </w:r>
    </w:p>
    <w:p w14:paraId="2BD4A6E9" w14:textId="77777777" w:rsidR="00B414BB" w:rsidRDefault="00B414BB" w:rsidP="00F353EB">
      <w:pPr>
        <w:spacing w:after="160" w:line="259" w:lineRule="auto"/>
        <w:rPr>
          <w:rFonts w:ascii="Calibri" w:eastAsia="Calibri" w:hAnsi="Calibri" w:cs="Calibri"/>
          <w:kern w:val="2"/>
          <w14:ligatures w14:val="standardContextual"/>
        </w:rPr>
      </w:pPr>
      <w:r>
        <w:rPr>
          <w:rFonts w:ascii="Calibri" w:eastAsia="Calibri" w:hAnsi="Calibri" w:cs="Calibri"/>
          <w:kern w:val="2"/>
          <w14:ligatures w14:val="standardContextual"/>
        </w:rPr>
        <w:t>A fourth concern with AI on appeal questions h</w:t>
      </w:r>
      <w:r w:rsidR="00630390" w:rsidRPr="00F353EB">
        <w:rPr>
          <w:rFonts w:ascii="Calibri" w:eastAsia="Calibri" w:hAnsi="Calibri" w:cs="Calibri"/>
          <w:kern w:val="2"/>
          <w14:ligatures w14:val="standardContextual"/>
        </w:rPr>
        <w:t>ow the differing legal standards on appeal</w:t>
      </w:r>
      <w:r>
        <w:rPr>
          <w:rFonts w:ascii="Calibri" w:eastAsia="Calibri" w:hAnsi="Calibri" w:cs="Calibri"/>
          <w:kern w:val="2"/>
          <w14:ligatures w14:val="standardContextual"/>
        </w:rPr>
        <w:t xml:space="preserve"> may </w:t>
      </w:r>
      <w:r w:rsidR="00630390" w:rsidRPr="00F353EB">
        <w:rPr>
          <w:rFonts w:ascii="Calibri" w:eastAsia="Calibri" w:hAnsi="Calibri" w:cs="Calibri"/>
          <w:kern w:val="2"/>
          <w14:ligatures w14:val="standardContextual"/>
        </w:rPr>
        <w:t>serve to mitigate or exacerbate the risks posed by AI</w:t>
      </w:r>
      <w:r>
        <w:rPr>
          <w:rFonts w:ascii="Calibri" w:eastAsia="Calibri" w:hAnsi="Calibri" w:cs="Calibri"/>
          <w:kern w:val="2"/>
          <w14:ligatures w14:val="standardContextual"/>
        </w:rPr>
        <w:t>.</w:t>
      </w:r>
    </w:p>
    <w:p w14:paraId="3771D350" w14:textId="77777777" w:rsidR="00B414BB" w:rsidRDefault="00630390" w:rsidP="00F353EB">
      <w:pPr>
        <w:spacing w:after="160" w:line="259" w:lineRule="auto"/>
        <w:rPr>
          <w:rFonts w:ascii="Calibri" w:eastAsia="Calibri" w:hAnsi="Calibri" w:cs="Calibri"/>
          <w:kern w:val="2"/>
          <w14:ligatures w14:val="standardContextual"/>
        </w:rPr>
      </w:pPr>
      <w:r w:rsidRPr="00F353EB">
        <w:rPr>
          <w:rFonts w:ascii="Calibri" w:eastAsia="Calibri" w:hAnsi="Calibri" w:cs="Calibri"/>
          <w:kern w:val="2"/>
          <w14:ligatures w14:val="standardContextual"/>
        </w:rPr>
        <w:t>A conviction at trial requires proof beyond a reasonable doubt.</w:t>
      </w:r>
      <w:r w:rsidR="00B414BB">
        <w:rPr>
          <w:rFonts w:ascii="Calibri" w:eastAsia="Calibri" w:hAnsi="Calibri" w:cs="Calibri"/>
          <w:kern w:val="2"/>
          <w14:ligatures w14:val="standardContextual"/>
        </w:rPr>
        <w:t xml:space="preserve"> </w:t>
      </w:r>
      <w:r w:rsidRPr="00F353EB">
        <w:rPr>
          <w:rFonts w:ascii="Calibri" w:eastAsia="Calibri" w:hAnsi="Calibri" w:cs="Calibri"/>
          <w:kern w:val="2"/>
          <w14:ligatures w14:val="standardContextual"/>
        </w:rPr>
        <w:t>An accused’s appeal against conviction may be allowed if the verdict was unreasonable, the trial judge made an error of law (provided the s.686(1)(b)(iii) curative proviso does not apply / the verdict would not have been the same) or if there was a miscarriage of justice (s. 686 of the Criminal Code).</w:t>
      </w:r>
    </w:p>
    <w:p w14:paraId="64ADCD84" w14:textId="77777777" w:rsidR="00B414BB" w:rsidRDefault="00630390" w:rsidP="00F353EB">
      <w:pPr>
        <w:spacing w:after="160" w:line="259" w:lineRule="auto"/>
        <w:rPr>
          <w:rFonts w:ascii="Calibri" w:eastAsia="Calibri" w:hAnsi="Calibri" w:cs="Calibri"/>
          <w:kern w:val="2"/>
          <w14:ligatures w14:val="standardContextual"/>
        </w:rPr>
      </w:pPr>
      <w:r w:rsidRPr="00F353EB">
        <w:rPr>
          <w:rFonts w:ascii="Calibri" w:eastAsia="Calibri" w:hAnsi="Calibri" w:cs="Calibri"/>
          <w:kern w:val="2"/>
          <w14:ligatures w14:val="standardContextual"/>
        </w:rPr>
        <w:t>Trial judges acting as gatekeepers are empowered to exclude evidence where its probative value is outweighed by its prejudicial effect.</w:t>
      </w:r>
    </w:p>
    <w:p w14:paraId="2FA5712F" w14:textId="77777777" w:rsidR="00B414BB" w:rsidRDefault="00630390" w:rsidP="00F353EB">
      <w:pPr>
        <w:spacing w:after="160" w:line="259" w:lineRule="auto"/>
        <w:rPr>
          <w:rFonts w:ascii="Calibri" w:eastAsia="Calibri" w:hAnsi="Calibri" w:cs="Calibri"/>
          <w:kern w:val="2"/>
          <w14:ligatures w14:val="standardContextual"/>
        </w:rPr>
      </w:pPr>
      <w:r w:rsidRPr="00F353EB">
        <w:rPr>
          <w:rFonts w:ascii="Calibri" w:eastAsia="Calibri" w:hAnsi="Calibri" w:cs="Calibri"/>
          <w:kern w:val="2"/>
          <w14:ligatures w14:val="standardContextual"/>
        </w:rPr>
        <w:t>Many would suggest that this gatekeeper power combined with the appellate courts’ ability to grant relief in the above circumstances is sufficient to protect accused persons against the risks of AI evidence and their potential to contribute to a wrongful conviction.</w:t>
      </w:r>
      <w:r w:rsidR="00B414BB">
        <w:rPr>
          <w:rFonts w:ascii="Calibri" w:eastAsia="Calibri" w:hAnsi="Calibri" w:cs="Calibri"/>
          <w:kern w:val="2"/>
          <w14:ligatures w14:val="standardContextual"/>
        </w:rPr>
        <w:t xml:space="preserve"> </w:t>
      </w:r>
      <w:r w:rsidRPr="00F353EB">
        <w:rPr>
          <w:rFonts w:ascii="Calibri" w:eastAsia="Calibri" w:hAnsi="Calibri" w:cs="Calibri"/>
          <w:kern w:val="2"/>
          <w14:ligatures w14:val="standardContextual"/>
        </w:rPr>
        <w:t>Others fear that the hidden bias, black box algorithms, and potential for triers to place undue reliance on the “science” and supposed objectivity of artificial intelligence, will overwhelm the traditional safeguards that exist to prevent unjust outcomes.</w:t>
      </w:r>
      <w:r w:rsidR="00B414BB">
        <w:rPr>
          <w:rFonts w:ascii="Calibri" w:eastAsia="Calibri" w:hAnsi="Calibri" w:cs="Calibri"/>
          <w:kern w:val="2"/>
          <w14:ligatures w14:val="standardContextual"/>
        </w:rPr>
        <w:t xml:space="preserve"> </w:t>
      </w:r>
      <w:r w:rsidRPr="00F353EB">
        <w:rPr>
          <w:rFonts w:ascii="Calibri" w:eastAsia="Calibri" w:hAnsi="Calibri" w:cs="Calibri"/>
          <w:kern w:val="2"/>
          <w14:ligatures w14:val="standardContextual"/>
        </w:rPr>
        <w:t xml:space="preserve">All the above may substantially enhance the challenge of establishing an unreasonable verdict when the verdict was premised upon a body of evidence that included </w:t>
      </w:r>
      <w:r w:rsidR="00B414BB">
        <w:rPr>
          <w:rFonts w:ascii="Calibri" w:eastAsia="Calibri" w:hAnsi="Calibri" w:cs="Calibri"/>
          <w:kern w:val="2"/>
          <w14:ligatures w14:val="standardContextual"/>
        </w:rPr>
        <w:t>AI</w:t>
      </w:r>
      <w:r w:rsidRPr="00F353EB">
        <w:rPr>
          <w:rFonts w:ascii="Calibri" w:eastAsia="Calibri" w:hAnsi="Calibri" w:cs="Calibri"/>
          <w:kern w:val="2"/>
          <w14:ligatures w14:val="standardContextual"/>
        </w:rPr>
        <w:t>.</w:t>
      </w:r>
    </w:p>
    <w:p w14:paraId="28953A8B" w14:textId="0C4671CD" w:rsidR="00630390" w:rsidRPr="00F353EB" w:rsidRDefault="00B414BB" w:rsidP="00B414BB">
      <w:pPr>
        <w:spacing w:after="160" w:line="259" w:lineRule="auto"/>
        <w:rPr>
          <w:rFonts w:ascii="Calibri" w:eastAsia="Calibri" w:hAnsi="Calibri" w:cs="Calibri"/>
          <w:kern w:val="2"/>
          <w14:ligatures w14:val="standardContextual"/>
        </w:rPr>
      </w:pPr>
      <w:r>
        <w:rPr>
          <w:rFonts w:ascii="Calibri" w:eastAsia="Calibri" w:hAnsi="Calibri" w:cs="Calibri"/>
          <w:kern w:val="2"/>
          <w14:ligatures w14:val="standardContextual"/>
        </w:rPr>
        <w:t>In addition to these concerns, t</w:t>
      </w:r>
      <w:r w:rsidR="00630390" w:rsidRPr="00F353EB">
        <w:rPr>
          <w:rFonts w:ascii="Calibri" w:eastAsia="Calibri" w:hAnsi="Calibri" w:cs="Calibri"/>
          <w:kern w:val="2"/>
          <w14:ligatures w14:val="standardContextual"/>
        </w:rPr>
        <w:t>he</w:t>
      </w:r>
      <w:r>
        <w:rPr>
          <w:rFonts w:ascii="Calibri" w:eastAsia="Calibri" w:hAnsi="Calibri" w:cs="Calibri"/>
          <w:kern w:val="2"/>
          <w14:ligatures w14:val="standardContextual"/>
        </w:rPr>
        <w:t xml:space="preserve">re are additional </w:t>
      </w:r>
      <w:r w:rsidR="00630390" w:rsidRPr="00F353EB">
        <w:rPr>
          <w:rFonts w:ascii="Calibri" w:eastAsia="Calibri" w:hAnsi="Calibri" w:cs="Calibri"/>
          <w:kern w:val="2"/>
          <w14:ligatures w14:val="standardContextual"/>
        </w:rPr>
        <w:t>grounds of appeal that may be applicable to challenge the admission of AI at trial</w:t>
      </w:r>
      <w:r>
        <w:rPr>
          <w:rFonts w:ascii="Calibri" w:eastAsia="Calibri" w:hAnsi="Calibri" w:cs="Calibri"/>
          <w:kern w:val="2"/>
          <w14:ligatures w14:val="standardContextual"/>
        </w:rPr>
        <w:t>. These are set out below.</w:t>
      </w:r>
      <w:r w:rsidR="00630390" w:rsidRPr="00F353EB">
        <w:rPr>
          <w:rFonts w:ascii="Calibri" w:eastAsia="Calibri" w:hAnsi="Calibri" w:cs="Calibri"/>
          <w:kern w:val="2"/>
          <w14:ligatures w14:val="standardContextual"/>
        </w:rPr>
        <w:t xml:space="preserve"> Consider the challenges of establishing each ground of appeal as per the test/s articulated.</w:t>
      </w:r>
      <w:r>
        <w:rPr>
          <w:rFonts w:ascii="Calibri" w:eastAsia="Calibri" w:hAnsi="Calibri" w:cs="Calibri"/>
          <w:kern w:val="2"/>
          <w14:ligatures w14:val="standardContextual"/>
        </w:rPr>
        <w:t xml:space="preserve"> Also c</w:t>
      </w:r>
      <w:r w:rsidR="00630390" w:rsidRPr="00F353EB">
        <w:rPr>
          <w:rFonts w:ascii="Calibri" w:eastAsia="Calibri" w:hAnsi="Calibri" w:cs="Calibri"/>
          <w:kern w:val="2"/>
          <w14:ligatures w14:val="standardContextual"/>
        </w:rPr>
        <w:t>onsider whether those challenges could be overcome by a self-represented or vulnerable accused.</w:t>
      </w:r>
    </w:p>
    <w:p w14:paraId="0D1E8E6E" w14:textId="70F9BF56" w:rsidR="00630390" w:rsidRPr="00B414BB" w:rsidRDefault="00630390" w:rsidP="00C81EC2">
      <w:pPr>
        <w:numPr>
          <w:ilvl w:val="0"/>
          <w:numId w:val="129"/>
        </w:numPr>
        <w:spacing w:after="160" w:line="259" w:lineRule="auto"/>
        <w:contextualSpacing/>
        <w:rPr>
          <w:rFonts w:ascii="Calibri" w:eastAsia="Calibri" w:hAnsi="Calibri" w:cs="Calibri"/>
          <w:kern w:val="2"/>
          <w14:ligatures w14:val="standardContextual"/>
        </w:rPr>
      </w:pPr>
      <w:r w:rsidRPr="00B414BB">
        <w:rPr>
          <w:rFonts w:ascii="Calibri" w:eastAsia="Calibri" w:hAnsi="Calibri" w:cs="Calibri"/>
          <w:b/>
          <w:bCs/>
          <w:kern w:val="2"/>
          <w14:ligatures w14:val="standardContextual"/>
        </w:rPr>
        <w:lastRenderedPageBreak/>
        <w:t>Ineffective assistance of counsel</w:t>
      </w:r>
      <w:r w:rsidR="00B414BB" w:rsidRPr="00B414BB">
        <w:rPr>
          <w:rFonts w:ascii="Calibri" w:eastAsia="Calibri" w:hAnsi="Calibri" w:cs="Calibri"/>
          <w:b/>
          <w:bCs/>
          <w:kern w:val="2"/>
          <w14:ligatures w14:val="standardContextual"/>
        </w:rPr>
        <w:t xml:space="preserve">: </w:t>
      </w:r>
      <w:r w:rsidRPr="00B414BB">
        <w:rPr>
          <w:rFonts w:ascii="Calibri" w:eastAsia="Calibri" w:hAnsi="Calibri" w:cs="Calibri"/>
          <w:kern w:val="2"/>
          <w14:ligatures w14:val="standardContextual"/>
        </w:rPr>
        <w:t>Ineffective assistance of counsel is a principle of fundamental justice, premised upon the common law, s. 650(3) of the Criminal Code, and ss. 7 and 11(d) of the Charter.</w:t>
      </w:r>
      <w:r w:rsidRPr="00F353EB">
        <w:rPr>
          <w:rFonts w:ascii="Calibri" w:eastAsia="Calibri" w:hAnsi="Calibri" w:cs="Calibri"/>
          <w:kern w:val="2"/>
          <w:vertAlign w:val="superscript"/>
          <w14:ligatures w14:val="standardContextual"/>
        </w:rPr>
        <w:endnoteReference w:id="195"/>
      </w:r>
      <w:r w:rsidR="00B414BB">
        <w:rPr>
          <w:rFonts w:ascii="Calibri" w:eastAsia="Calibri" w:hAnsi="Calibri" w:cs="Calibri"/>
          <w:kern w:val="2"/>
          <w14:ligatures w14:val="standardContextual"/>
        </w:rPr>
        <w:t xml:space="preserve"> </w:t>
      </w:r>
      <w:r w:rsidRPr="00B414BB">
        <w:rPr>
          <w:rFonts w:ascii="Calibri" w:eastAsia="Calibri" w:hAnsi="Calibri" w:cs="Calibri"/>
          <w:kern w:val="2"/>
          <w14:ligatures w14:val="standardContextual"/>
        </w:rPr>
        <w:t>Proof requires the appellant to establish three things on a balance of probabilities:</w:t>
      </w:r>
    </w:p>
    <w:p w14:paraId="684AB6F9" w14:textId="77777777" w:rsidR="00630390" w:rsidRPr="00F353EB" w:rsidRDefault="00630390" w:rsidP="00F353EB">
      <w:pPr>
        <w:numPr>
          <w:ilvl w:val="0"/>
          <w:numId w:val="134"/>
        </w:numPr>
        <w:spacing w:after="160" w:line="259" w:lineRule="auto"/>
        <w:contextualSpacing/>
        <w:rPr>
          <w:rFonts w:ascii="Calibri" w:eastAsia="Calibri" w:hAnsi="Calibri" w:cs="Calibri"/>
          <w:i/>
          <w:iCs/>
          <w:kern w:val="2"/>
          <w14:ligatures w14:val="standardContextual"/>
        </w:rPr>
      </w:pPr>
      <w:r w:rsidRPr="00F353EB">
        <w:rPr>
          <w:rFonts w:ascii="Calibri" w:eastAsia="Calibri" w:hAnsi="Calibri" w:cs="Calibri"/>
          <w:kern w:val="2"/>
          <w14:ligatures w14:val="standardContextual"/>
        </w:rPr>
        <w:t>the</w:t>
      </w:r>
      <w:r w:rsidRPr="00F353EB">
        <w:rPr>
          <w:rFonts w:ascii="Calibri" w:eastAsia="Calibri" w:hAnsi="Calibri" w:cs="Calibri"/>
          <w:i/>
          <w:iCs/>
          <w:kern w:val="2"/>
          <w14:ligatures w14:val="standardContextual"/>
        </w:rPr>
        <w:t xml:space="preserve"> factual component </w:t>
      </w:r>
      <w:r w:rsidRPr="00F353EB">
        <w:rPr>
          <w:rFonts w:ascii="Calibri" w:eastAsia="Calibri" w:hAnsi="Calibri" w:cs="Calibri"/>
          <w:kern w:val="2"/>
          <w14:ligatures w14:val="standardContextual"/>
        </w:rPr>
        <w:t>on which the claim is grounded</w:t>
      </w:r>
    </w:p>
    <w:p w14:paraId="155A6452" w14:textId="77777777" w:rsidR="00630390" w:rsidRPr="00F353EB" w:rsidRDefault="00630390" w:rsidP="00F353EB">
      <w:pPr>
        <w:numPr>
          <w:ilvl w:val="0"/>
          <w:numId w:val="134"/>
        </w:numPr>
        <w:spacing w:after="160" w:line="259" w:lineRule="auto"/>
        <w:contextualSpacing/>
        <w:rPr>
          <w:rFonts w:ascii="Calibri" w:eastAsia="Calibri" w:hAnsi="Calibri" w:cs="Calibri"/>
          <w:kern w:val="2"/>
          <w14:ligatures w14:val="standardContextual"/>
        </w:rPr>
      </w:pPr>
      <w:r w:rsidRPr="00F353EB">
        <w:rPr>
          <w:rFonts w:ascii="Calibri" w:eastAsia="Calibri" w:hAnsi="Calibri" w:cs="Calibri"/>
          <w:kern w:val="2"/>
          <w14:ligatures w14:val="standardContextual"/>
        </w:rPr>
        <w:t xml:space="preserve">the </w:t>
      </w:r>
      <w:r w:rsidRPr="00F353EB">
        <w:rPr>
          <w:rFonts w:ascii="Calibri" w:eastAsia="Calibri" w:hAnsi="Calibri" w:cs="Calibri"/>
          <w:i/>
          <w:iCs/>
          <w:kern w:val="2"/>
          <w14:ligatures w14:val="standardContextual"/>
        </w:rPr>
        <w:t xml:space="preserve">performance component / </w:t>
      </w:r>
      <w:r w:rsidRPr="00F353EB">
        <w:rPr>
          <w:rFonts w:ascii="Calibri" w:eastAsia="Calibri" w:hAnsi="Calibri" w:cs="Calibri"/>
          <w:kern w:val="2"/>
          <w14:ligatures w14:val="standardContextual"/>
        </w:rPr>
        <w:t xml:space="preserve">the incompetence of the representation </w:t>
      </w:r>
    </w:p>
    <w:p w14:paraId="13433771" w14:textId="77777777" w:rsidR="00B414BB" w:rsidRDefault="00630390" w:rsidP="00F353EB">
      <w:pPr>
        <w:numPr>
          <w:ilvl w:val="0"/>
          <w:numId w:val="134"/>
        </w:numPr>
        <w:spacing w:after="160" w:line="259" w:lineRule="auto"/>
        <w:contextualSpacing/>
        <w:rPr>
          <w:rFonts w:ascii="Calibri" w:eastAsia="Calibri" w:hAnsi="Calibri" w:cs="Calibri"/>
          <w:i/>
          <w:iCs/>
          <w:kern w:val="2"/>
          <w14:ligatures w14:val="standardContextual"/>
        </w:rPr>
      </w:pPr>
      <w:r w:rsidRPr="00F353EB">
        <w:rPr>
          <w:rFonts w:ascii="Calibri" w:eastAsia="Calibri" w:hAnsi="Calibri" w:cs="Calibri"/>
          <w:kern w:val="2"/>
          <w14:ligatures w14:val="standardContextual"/>
        </w:rPr>
        <w:t xml:space="preserve">the </w:t>
      </w:r>
      <w:r w:rsidRPr="00F353EB">
        <w:rPr>
          <w:rFonts w:ascii="Calibri" w:eastAsia="Calibri" w:hAnsi="Calibri" w:cs="Calibri"/>
          <w:i/>
          <w:iCs/>
          <w:kern w:val="2"/>
          <w14:ligatures w14:val="standardContextual"/>
        </w:rPr>
        <w:t xml:space="preserve">prejudice component </w:t>
      </w:r>
      <w:r w:rsidRPr="00F353EB">
        <w:rPr>
          <w:rFonts w:ascii="Calibri" w:eastAsia="Calibri" w:hAnsi="Calibri" w:cs="Calibri"/>
          <w:kern w:val="2"/>
          <w14:ligatures w14:val="standardContextual"/>
        </w:rPr>
        <w:t>/ a miscarriage of justice as a result of the representation by trial counsel.</w:t>
      </w:r>
      <w:r w:rsidRPr="00F353EB">
        <w:rPr>
          <w:rFonts w:ascii="Calibri" w:eastAsia="Calibri" w:hAnsi="Calibri" w:cs="Calibri"/>
          <w:kern w:val="2"/>
          <w:vertAlign w:val="superscript"/>
          <w14:ligatures w14:val="standardContextual"/>
        </w:rPr>
        <w:endnoteReference w:id="196"/>
      </w:r>
    </w:p>
    <w:p w14:paraId="48AA1FA7" w14:textId="5EE85CF6" w:rsidR="00630390" w:rsidRDefault="00630390" w:rsidP="00B414BB">
      <w:pPr>
        <w:spacing w:after="160" w:line="259" w:lineRule="auto"/>
        <w:ind w:left="720"/>
        <w:contextualSpacing/>
        <w:rPr>
          <w:rFonts w:ascii="Calibri" w:eastAsia="Calibri" w:hAnsi="Calibri" w:cs="Calibri"/>
          <w:kern w:val="2"/>
          <w14:ligatures w14:val="standardContextual"/>
        </w:rPr>
      </w:pPr>
      <w:r w:rsidRPr="00B414BB">
        <w:rPr>
          <w:rFonts w:ascii="Calibri" w:eastAsia="Calibri" w:hAnsi="Calibri" w:cs="Calibri"/>
          <w:kern w:val="2"/>
          <w14:ligatures w14:val="standardContextual"/>
        </w:rPr>
        <w:t>When proved, the conviction will be quashed and a new trial ordered pursuant to s.686(1)(a)(iii) of the Criminal Code.</w:t>
      </w:r>
      <w:r w:rsidRPr="00F353EB">
        <w:rPr>
          <w:rFonts w:ascii="Calibri" w:eastAsia="Calibri" w:hAnsi="Calibri" w:cs="Calibri"/>
          <w:kern w:val="2"/>
          <w:vertAlign w:val="superscript"/>
          <w14:ligatures w14:val="standardContextual"/>
        </w:rPr>
        <w:endnoteReference w:id="197"/>
      </w:r>
      <w:r w:rsidRPr="00B414BB" w:rsidDel="009645F5">
        <w:rPr>
          <w:rFonts w:ascii="Calibri" w:eastAsia="Calibri" w:hAnsi="Calibri" w:cs="Calibri"/>
          <w:kern w:val="2"/>
          <w14:ligatures w14:val="standardContextual"/>
        </w:rPr>
        <w:t xml:space="preserve"> </w:t>
      </w:r>
    </w:p>
    <w:p w14:paraId="225800F8" w14:textId="77777777" w:rsidR="00B414BB" w:rsidRPr="00B414BB" w:rsidRDefault="00B414BB" w:rsidP="00B414BB">
      <w:pPr>
        <w:spacing w:after="160" w:line="259" w:lineRule="auto"/>
        <w:ind w:left="720"/>
        <w:contextualSpacing/>
        <w:rPr>
          <w:rFonts w:ascii="Calibri" w:eastAsia="Calibri" w:hAnsi="Calibri" w:cs="Calibri"/>
          <w:i/>
          <w:iCs/>
          <w:kern w:val="2"/>
          <w14:ligatures w14:val="standardContextual"/>
        </w:rPr>
      </w:pPr>
    </w:p>
    <w:p w14:paraId="718E30E1" w14:textId="24ED3BF3" w:rsidR="00630390" w:rsidRPr="00B414BB" w:rsidRDefault="00630390" w:rsidP="00425018">
      <w:pPr>
        <w:numPr>
          <w:ilvl w:val="0"/>
          <w:numId w:val="129"/>
        </w:numPr>
        <w:spacing w:after="160" w:line="259" w:lineRule="auto"/>
        <w:contextualSpacing/>
        <w:rPr>
          <w:rFonts w:ascii="Arial" w:eastAsia="Calibri" w:hAnsi="Arial" w:cs="Arial"/>
          <w:color w:val="000000"/>
          <w:kern w:val="2"/>
          <w:sz w:val="26"/>
          <w:szCs w:val="26"/>
          <w14:ligatures w14:val="standardContextual"/>
        </w:rPr>
      </w:pPr>
      <w:r w:rsidRPr="00B414BB">
        <w:rPr>
          <w:rFonts w:ascii="Calibri" w:eastAsia="Calibri" w:hAnsi="Calibri" w:cs="Calibri"/>
          <w:b/>
          <w:bCs/>
          <w:kern w:val="2"/>
          <w14:ligatures w14:val="standardContextual"/>
        </w:rPr>
        <w:t>Misapprehension of the evidence</w:t>
      </w:r>
      <w:r w:rsidR="00B414BB" w:rsidRPr="00B414BB">
        <w:rPr>
          <w:rFonts w:ascii="Calibri" w:eastAsia="Calibri" w:hAnsi="Calibri" w:cs="Calibri"/>
          <w:kern w:val="2"/>
          <w14:ligatures w14:val="standardContextual"/>
        </w:rPr>
        <w:t xml:space="preserve">: </w:t>
      </w:r>
      <w:r w:rsidRPr="00B414BB">
        <w:rPr>
          <w:rFonts w:ascii="Calibri" w:eastAsia="Calibri" w:hAnsi="Calibri" w:cs="Calibri"/>
          <w:kern w:val="2"/>
          <w14:ligatures w14:val="standardContextual"/>
        </w:rPr>
        <w:t xml:space="preserve">Misapprehension of the evidence is determined as per </w:t>
      </w:r>
      <w:r w:rsidRPr="00B414BB">
        <w:rPr>
          <w:rFonts w:ascii="Calibri" w:eastAsia="Calibri" w:hAnsi="Calibri" w:cs="Calibri"/>
          <w:i/>
          <w:iCs/>
          <w:color w:val="000000"/>
          <w14:ligatures w14:val="standardContextual"/>
        </w:rPr>
        <w:t>R. v. Theriault</w:t>
      </w:r>
      <w:r w:rsidRPr="00F353EB">
        <w:rPr>
          <w:rFonts w:ascii="Calibri" w:eastAsia="Calibri" w:hAnsi="Calibri" w:cs="Calibri"/>
          <w:color w:val="000000"/>
          <w:vertAlign w:val="superscript"/>
          <w14:ligatures w14:val="standardContextual"/>
        </w:rPr>
        <w:endnoteReference w:id="198"/>
      </w:r>
      <w:r w:rsidRPr="00B414BB">
        <w:rPr>
          <w:rFonts w:ascii="Calibri" w:eastAsia="Calibri" w:hAnsi="Calibri" w:cs="Calibri"/>
          <w:color w:val="000000"/>
          <w14:ligatures w14:val="standardContextual"/>
        </w:rPr>
        <w:t xml:space="preserve"> as follows:</w:t>
      </w:r>
    </w:p>
    <w:p w14:paraId="76F6149B" w14:textId="77777777" w:rsidR="00630390" w:rsidRPr="00F353EB" w:rsidRDefault="00630390" w:rsidP="00F353EB">
      <w:pPr>
        <w:numPr>
          <w:ilvl w:val="0"/>
          <w:numId w:val="132"/>
        </w:numPr>
        <w:spacing w:after="160" w:line="259" w:lineRule="auto"/>
        <w:contextualSpacing/>
        <w:rPr>
          <w:rFonts w:ascii="Calibri" w:eastAsia="Calibri" w:hAnsi="Calibri" w:cs="Calibri"/>
          <w:kern w:val="2"/>
          <w14:ligatures w14:val="standardContextual"/>
        </w:rPr>
      </w:pPr>
      <w:r w:rsidRPr="00F353EB">
        <w:rPr>
          <w:rFonts w:ascii="Calibri" w:eastAsia="Calibri" w:hAnsi="Calibri" w:cs="Calibri"/>
          <w:color w:val="000000"/>
          <w:kern w:val="2"/>
          <w14:ligatures w14:val="standardContextual"/>
        </w:rPr>
        <w:t>Court determines the reasonableness of the verdict (if the verdict is unreasonable, the conviction cannot be sustained).</w:t>
      </w:r>
    </w:p>
    <w:p w14:paraId="59817BAA" w14:textId="77777777" w:rsidR="00630390" w:rsidRPr="00F353EB" w:rsidRDefault="00630390" w:rsidP="00F353EB">
      <w:pPr>
        <w:numPr>
          <w:ilvl w:val="0"/>
          <w:numId w:val="132"/>
        </w:numPr>
        <w:spacing w:after="160" w:line="259" w:lineRule="auto"/>
        <w:contextualSpacing/>
        <w:rPr>
          <w:rFonts w:ascii="Calibri" w:eastAsia="Calibri" w:hAnsi="Calibri" w:cs="Calibri"/>
          <w:kern w:val="2"/>
          <w14:ligatures w14:val="standardContextual"/>
        </w:rPr>
      </w:pPr>
      <w:r w:rsidRPr="00F353EB">
        <w:rPr>
          <w:rFonts w:ascii="Calibri" w:eastAsia="Calibri" w:hAnsi="Calibri" w:cs="Calibri"/>
          <w:color w:val="000000"/>
          <w:kern w:val="2"/>
          <w14:ligatures w14:val="standardContextual"/>
        </w:rPr>
        <w:t>If the verdict is not unreasonable, then court determines whether there was a misapprehension of evidence that occasioned a miscarriage of justice.</w:t>
      </w:r>
      <w:r w:rsidRPr="00F353EB">
        <w:rPr>
          <w:rFonts w:ascii="Calibri" w:eastAsia="Calibri" w:hAnsi="Calibri" w:cs="Calibri"/>
          <w:color w:val="000000"/>
          <w:kern w:val="2"/>
          <w:vertAlign w:val="superscript"/>
          <w14:ligatures w14:val="standardContextual"/>
        </w:rPr>
        <w:endnoteReference w:id="199"/>
      </w:r>
      <w:r w:rsidRPr="00F353EB">
        <w:rPr>
          <w:rFonts w:ascii="Calibri" w:eastAsia="Calibri" w:hAnsi="Calibri" w:cs="Calibri"/>
          <w:color w:val="000000"/>
          <w:kern w:val="2"/>
          <w14:ligatures w14:val="standardContextual"/>
        </w:rPr>
        <w:t xml:space="preserve"> </w:t>
      </w:r>
    </w:p>
    <w:p w14:paraId="5771FE40" w14:textId="77777777" w:rsidR="00630390" w:rsidRPr="00CC5625" w:rsidRDefault="00630390" w:rsidP="00F353EB">
      <w:pPr>
        <w:numPr>
          <w:ilvl w:val="0"/>
          <w:numId w:val="132"/>
        </w:numPr>
        <w:spacing w:after="160" w:line="259" w:lineRule="auto"/>
        <w:contextualSpacing/>
        <w:rPr>
          <w:rFonts w:ascii="Calibri" w:eastAsia="Calibri" w:hAnsi="Calibri" w:cs="Calibri"/>
          <w:kern w:val="2"/>
          <w14:ligatures w14:val="standardContextual"/>
        </w:rPr>
      </w:pPr>
      <w:r w:rsidRPr="00CC5625">
        <w:rPr>
          <w:rFonts w:ascii="Calibri" w:eastAsia="Calibri" w:hAnsi="Calibri" w:cs="Calibri"/>
          <w:color w:val="000000"/>
          <w:kern w:val="2"/>
          <w14:ligatures w14:val="standardContextual"/>
        </w:rPr>
        <w:t>A miscarriage of justice will render a trial unfair where the trial judge “is mistaken as to the substance of material parts of the evidence and those errors play an essential part in the reasoning process resulting in a conviction.”</w:t>
      </w:r>
      <w:r w:rsidRPr="00CC5625">
        <w:rPr>
          <w:rFonts w:ascii="Calibri" w:eastAsia="Calibri" w:hAnsi="Calibri" w:cs="Calibri"/>
          <w:color w:val="000000"/>
          <w:kern w:val="2"/>
          <w:vertAlign w:val="superscript"/>
          <w14:ligatures w14:val="standardContextual"/>
        </w:rPr>
        <w:endnoteReference w:id="200"/>
      </w:r>
      <w:r w:rsidRPr="00CC5625">
        <w:rPr>
          <w:rFonts w:ascii="Calibri" w:eastAsia="Calibri" w:hAnsi="Calibri" w:cs="Calibri"/>
          <w:color w:val="000000"/>
          <w:kern w:val="2"/>
          <w14:ligatures w14:val="standardContextual"/>
        </w:rPr>
        <w:t xml:space="preserve"> </w:t>
      </w:r>
    </w:p>
    <w:p w14:paraId="4B33C0C1" w14:textId="77777777" w:rsidR="00630390" w:rsidRPr="00CC5625" w:rsidRDefault="00630390" w:rsidP="00F353EB">
      <w:pPr>
        <w:numPr>
          <w:ilvl w:val="0"/>
          <w:numId w:val="132"/>
        </w:numPr>
        <w:spacing w:after="160" w:line="259" w:lineRule="auto"/>
        <w:contextualSpacing/>
        <w:rPr>
          <w:rFonts w:ascii="Calibri" w:eastAsia="Calibri" w:hAnsi="Calibri" w:cs="Calibri"/>
          <w:kern w:val="2"/>
          <w14:ligatures w14:val="standardContextual"/>
        </w:rPr>
      </w:pPr>
      <w:r w:rsidRPr="00F353EB">
        <w:rPr>
          <w:rFonts w:ascii="Calibri" w:eastAsia="Calibri" w:hAnsi="Calibri" w:cs="Calibri"/>
          <w:color w:val="000000"/>
          <w:kern w:val="2"/>
          <w14:ligatures w14:val="standardContextual"/>
        </w:rPr>
        <w:t>If no miscarriage of justice, the court must then consider whether the misapprehension rests on an error of law.</w:t>
      </w:r>
      <w:r w:rsidRPr="00F353EB">
        <w:rPr>
          <w:rFonts w:ascii="Calibri" w:eastAsia="Calibri" w:hAnsi="Calibri" w:cs="Calibri"/>
          <w:color w:val="000000"/>
          <w:kern w:val="2"/>
          <w:vertAlign w:val="superscript"/>
          <w14:ligatures w14:val="standardContextual"/>
        </w:rPr>
        <w:endnoteReference w:id="201"/>
      </w:r>
      <w:r w:rsidRPr="00F353EB">
        <w:rPr>
          <w:rFonts w:ascii="Calibri" w:eastAsia="Calibri" w:hAnsi="Calibri" w:cs="Calibri"/>
          <w:color w:val="000000"/>
          <w:kern w:val="2"/>
          <w14:ligatures w14:val="standardContextual"/>
        </w:rPr>
        <w:t xml:space="preserve"> If so, an appellate court may nonetheless dismiss the appeal if the Crown shows that no substantial wrong or miscarriage of justice occurred.</w:t>
      </w:r>
      <w:r w:rsidRPr="00F353EB">
        <w:rPr>
          <w:rFonts w:ascii="Calibri" w:eastAsia="Calibri" w:hAnsi="Calibri" w:cs="Calibri"/>
          <w:color w:val="000000"/>
          <w:kern w:val="2"/>
          <w:vertAlign w:val="superscript"/>
          <w14:ligatures w14:val="standardContextual"/>
        </w:rPr>
        <w:endnoteReference w:id="202"/>
      </w:r>
    </w:p>
    <w:p w14:paraId="672204CF" w14:textId="2966D04B" w:rsidR="00CC5625" w:rsidRPr="00F353EB" w:rsidRDefault="003A058D" w:rsidP="00CC5625">
      <w:pPr>
        <w:spacing w:after="160" w:line="259" w:lineRule="auto"/>
        <w:ind w:left="720"/>
        <w:contextualSpacing/>
        <w:rPr>
          <w:rFonts w:ascii="Calibri" w:eastAsia="Calibri" w:hAnsi="Calibri" w:cs="Calibri"/>
          <w:kern w:val="2"/>
          <w14:ligatures w14:val="standardContextual"/>
        </w:rPr>
      </w:pPr>
      <w:r>
        <w:rPr>
          <w:rFonts w:ascii="Calibri" w:eastAsia="Calibri" w:hAnsi="Calibri" w:cs="Calibri"/>
          <w:color w:val="000000"/>
          <w:kern w:val="2"/>
          <w14:ligatures w14:val="standardContextual"/>
        </w:rPr>
        <w:br/>
      </w:r>
      <w:r w:rsidR="00CC5625">
        <w:rPr>
          <w:rFonts w:ascii="Calibri" w:eastAsia="Calibri" w:hAnsi="Calibri" w:cs="Calibri"/>
          <w:color w:val="000000"/>
          <w:kern w:val="2"/>
          <w14:ligatures w14:val="standardContextual"/>
        </w:rPr>
        <w:t>In relation to AI, there are significant concerns that technological deference to presumed capable artificially “intelligent” systems may color the assessment of a misapprehension of evidence, miscarriage of justice, or an error of law.</w:t>
      </w:r>
    </w:p>
    <w:p w14:paraId="1B768E59" w14:textId="77777777" w:rsidR="00630390" w:rsidRPr="00F353EB" w:rsidRDefault="00630390" w:rsidP="00F353EB">
      <w:pPr>
        <w:spacing w:after="160" w:line="259" w:lineRule="auto"/>
        <w:rPr>
          <w:rFonts w:ascii="Calibri" w:eastAsia="Calibri" w:hAnsi="Calibri" w:cs="Calibri"/>
          <w:kern w:val="2"/>
          <w14:ligatures w14:val="standardContextual"/>
        </w:rPr>
      </w:pPr>
    </w:p>
    <w:p w14:paraId="3ADB103B" w14:textId="6851A1C3" w:rsidR="00630390" w:rsidRPr="00CC5625" w:rsidRDefault="00630390" w:rsidP="00F353EB">
      <w:pPr>
        <w:numPr>
          <w:ilvl w:val="0"/>
          <w:numId w:val="133"/>
        </w:numPr>
        <w:spacing w:after="160" w:line="259" w:lineRule="auto"/>
        <w:contextualSpacing/>
        <w:rPr>
          <w:rFonts w:ascii="Calibri" w:eastAsia="Calibri" w:hAnsi="Calibri" w:cs="Calibri"/>
          <w:b/>
          <w:bCs/>
          <w:kern w:val="2"/>
          <w14:ligatures w14:val="standardContextual"/>
        </w:rPr>
      </w:pPr>
      <w:r w:rsidRPr="00F353EB">
        <w:rPr>
          <w:rFonts w:ascii="Calibri" w:eastAsia="Calibri" w:hAnsi="Calibri" w:cs="Calibri"/>
          <w:b/>
          <w:bCs/>
          <w:kern w:val="2"/>
          <w14:ligatures w14:val="standardContextual"/>
        </w:rPr>
        <w:t>Unreasonable Verdict</w:t>
      </w:r>
      <w:r w:rsidR="00CC5625">
        <w:rPr>
          <w:rFonts w:ascii="Calibri" w:eastAsia="Calibri" w:hAnsi="Calibri" w:cs="Calibri"/>
          <w:b/>
          <w:bCs/>
          <w:kern w:val="2"/>
          <w14:ligatures w14:val="standardContextual"/>
        </w:rPr>
        <w:t xml:space="preserve">: </w:t>
      </w:r>
      <w:r w:rsidRPr="00CC5625">
        <w:rPr>
          <w:rFonts w:ascii="Calibri" w:eastAsia="Calibri" w:hAnsi="Calibri" w:cs="Calibri"/>
          <w:kern w:val="2"/>
          <w14:ligatures w14:val="standardContextual"/>
        </w:rPr>
        <w:t>Whether a verdict is unreasonable is a question of law</w:t>
      </w:r>
      <w:r w:rsidRPr="00F353EB">
        <w:rPr>
          <w:rFonts w:ascii="Calibri" w:eastAsia="Calibri" w:hAnsi="Calibri" w:cs="Calibri"/>
          <w:kern w:val="2"/>
          <w:vertAlign w:val="superscript"/>
          <w14:ligatures w14:val="standardContextual"/>
        </w:rPr>
        <w:endnoteReference w:id="203"/>
      </w:r>
      <w:r w:rsidRPr="00CC5625">
        <w:rPr>
          <w:rFonts w:ascii="Calibri" w:eastAsia="Calibri" w:hAnsi="Calibri" w:cs="Calibri"/>
          <w:kern w:val="2"/>
          <w14:ligatures w14:val="standardContextual"/>
        </w:rPr>
        <w:t xml:space="preserve"> answered by determining “whether the verdict is one that a properly instructed jury acting judicially, could reasonably have rendered”</w:t>
      </w:r>
      <w:r w:rsidRPr="00CC5625">
        <w:rPr>
          <w:rFonts w:ascii="Calibri" w:eastAsia="Calibri" w:hAnsi="Calibri" w:cs="Calibri"/>
          <w:kern w:val="2"/>
          <w:vertAlign w:val="superscript"/>
          <w14:ligatures w14:val="standardContextual"/>
        </w:rPr>
        <w:endnoteReference w:id="204"/>
      </w:r>
      <w:r w:rsidRPr="00CC5625">
        <w:rPr>
          <w:rFonts w:ascii="Calibri" w:eastAsia="Calibri" w:hAnsi="Calibri" w:cs="Calibri"/>
          <w:kern w:val="2"/>
          <w14:ligatures w14:val="standardContextual"/>
        </w:rPr>
        <w:t xml:space="preserve"> or resulted from an “irrational reasoning process.”</w:t>
      </w:r>
      <w:r w:rsidRPr="00CC5625">
        <w:rPr>
          <w:rFonts w:ascii="Calibri" w:eastAsia="Calibri" w:hAnsi="Calibri" w:cs="Calibri"/>
          <w:kern w:val="2"/>
          <w:vertAlign w:val="superscript"/>
          <w14:ligatures w14:val="standardContextual"/>
        </w:rPr>
        <w:endnoteReference w:id="205"/>
      </w:r>
      <w:r w:rsidRPr="00CC5625">
        <w:rPr>
          <w:rFonts w:ascii="Calibri" w:eastAsia="Calibri" w:hAnsi="Calibri" w:cs="Calibri"/>
          <w:kern w:val="2"/>
          <w14:ligatures w14:val="standardContextual"/>
        </w:rPr>
        <w:t xml:space="preserve"> In both circumstances, the appellate court must substitute an acquittal.  Where the verdict is unreasonable due to a logical flaw, the remedy is a new trial.</w:t>
      </w:r>
      <w:r w:rsidRPr="00F353EB">
        <w:rPr>
          <w:rFonts w:ascii="Calibri" w:eastAsia="Calibri" w:hAnsi="Calibri" w:cs="Calibri"/>
          <w:kern w:val="2"/>
          <w:vertAlign w:val="superscript"/>
          <w14:ligatures w14:val="standardContextual"/>
        </w:rPr>
        <w:endnoteReference w:id="206"/>
      </w:r>
      <w:r w:rsidR="003A058D">
        <w:rPr>
          <w:rFonts w:ascii="Calibri" w:eastAsia="Calibri" w:hAnsi="Calibri" w:cs="Calibri"/>
          <w:kern w:val="2"/>
          <w14:ligatures w14:val="standardContextual"/>
        </w:rPr>
        <w:br/>
      </w:r>
    </w:p>
    <w:p w14:paraId="1356FBBA" w14:textId="14C428F4" w:rsidR="00F353EB" w:rsidRPr="00CC5625" w:rsidRDefault="00630390" w:rsidP="00CC5625">
      <w:pPr>
        <w:numPr>
          <w:ilvl w:val="0"/>
          <w:numId w:val="133"/>
        </w:numPr>
        <w:spacing w:after="160" w:line="259" w:lineRule="auto"/>
        <w:contextualSpacing/>
        <w:rPr>
          <w:rFonts w:ascii="Calibri" w:eastAsia="Calibri" w:hAnsi="Calibri" w:cs="Calibri"/>
          <w:b/>
          <w:bCs/>
          <w:kern w:val="2"/>
          <w14:ligatures w14:val="standardContextual"/>
        </w:rPr>
      </w:pPr>
      <w:r w:rsidRPr="00F353EB">
        <w:rPr>
          <w:rFonts w:ascii="Calibri" w:eastAsia="Calibri" w:hAnsi="Calibri" w:cs="Calibri"/>
          <w:b/>
          <w:bCs/>
          <w:kern w:val="2"/>
          <w14:ligatures w14:val="standardContextual"/>
        </w:rPr>
        <w:t>Sentence appeals</w:t>
      </w:r>
      <w:r w:rsidR="00CC5625">
        <w:rPr>
          <w:rFonts w:ascii="Calibri" w:eastAsia="Calibri" w:hAnsi="Calibri" w:cs="Calibri"/>
          <w:b/>
          <w:bCs/>
          <w:kern w:val="2"/>
          <w14:ligatures w14:val="standardContextual"/>
        </w:rPr>
        <w:t xml:space="preserve">: </w:t>
      </w:r>
      <w:r w:rsidRPr="00CC5625">
        <w:rPr>
          <w:rFonts w:ascii="Calibri" w:eastAsia="Calibri" w:hAnsi="Calibri" w:cs="Calibri"/>
          <w:kern w:val="2"/>
          <w14:ligatures w14:val="standardContextual"/>
        </w:rPr>
        <w:t>Sentence appeals in indictable matters are also governed by Part XXI of the Criminal Code</w:t>
      </w:r>
      <w:r w:rsidR="00CC5625">
        <w:rPr>
          <w:rFonts w:ascii="Calibri" w:eastAsia="Calibri" w:hAnsi="Calibri" w:cs="Calibri"/>
          <w:kern w:val="2"/>
          <w14:ligatures w14:val="standardContextual"/>
        </w:rPr>
        <w:t xml:space="preserve"> at s. 687(1).</w:t>
      </w:r>
      <w:r w:rsidR="00CC5625">
        <w:rPr>
          <w:rStyle w:val="EndnoteReference"/>
          <w:rFonts w:ascii="Calibri" w:eastAsia="Calibri" w:hAnsi="Calibri" w:cs="Calibri"/>
          <w:kern w:val="2"/>
          <w14:ligatures w14:val="standardContextual"/>
        </w:rPr>
        <w:endnoteReference w:id="207"/>
      </w:r>
      <w:r w:rsidR="00CC5625">
        <w:rPr>
          <w:rFonts w:ascii="Calibri" w:eastAsia="Calibri" w:hAnsi="Calibri" w:cs="Calibri"/>
          <w:kern w:val="2"/>
          <w14:ligatures w14:val="standardContextual"/>
        </w:rPr>
        <w:t xml:space="preserve"> </w:t>
      </w:r>
      <w:r w:rsidRPr="00CC5625">
        <w:rPr>
          <w:rFonts w:ascii="Calibri" w:eastAsia="Calibri" w:hAnsi="Calibri" w:cs="Calibri"/>
          <w:kern w:val="2"/>
          <w14:ligatures w14:val="standardContextual"/>
        </w:rPr>
        <w:t xml:space="preserve">The standard of appellate review requires that absent an error in principle, failure to consider a relevant factor or </w:t>
      </w:r>
      <w:r w:rsidRPr="00CC5625">
        <w:rPr>
          <w:rFonts w:ascii="Calibri" w:eastAsia="Calibri" w:hAnsi="Calibri" w:cs="Calibri"/>
          <w:kern w:val="2"/>
          <w14:ligatures w14:val="standardContextual"/>
        </w:rPr>
        <w:lastRenderedPageBreak/>
        <w:t>an overemphasis of the appropriate factors, a court of appeal should only intervene to vary a sentence imposed at trial if the sentence imposed at trial is demonstrably unfit.</w:t>
      </w:r>
      <w:r w:rsidRPr="00F353EB">
        <w:rPr>
          <w:rFonts w:ascii="Calibri" w:eastAsia="Calibri" w:hAnsi="Calibri" w:cs="Calibri"/>
          <w:kern w:val="2"/>
          <w:vertAlign w:val="superscript"/>
          <w14:ligatures w14:val="standardContextual"/>
        </w:rPr>
        <w:endnoteReference w:id="208"/>
      </w:r>
      <w:r w:rsidR="00CC5625">
        <w:rPr>
          <w:rFonts w:ascii="Calibri" w:eastAsia="Calibri" w:hAnsi="Calibri" w:cs="Calibri"/>
          <w:b/>
          <w:bCs/>
          <w:kern w:val="2"/>
          <w14:ligatures w14:val="standardContextual"/>
        </w:rPr>
        <w:br/>
      </w:r>
      <w:r w:rsidR="00CC5625">
        <w:rPr>
          <w:rFonts w:ascii="Calibri" w:eastAsia="Calibri" w:hAnsi="Calibri" w:cs="Calibri"/>
          <w:b/>
          <w:bCs/>
          <w:kern w:val="2"/>
          <w14:ligatures w14:val="standardContextual"/>
        </w:rPr>
        <w:br/>
      </w:r>
      <w:r w:rsidR="00F353EB" w:rsidRPr="00CC5625">
        <w:rPr>
          <w:rFonts w:ascii="Calibri" w:eastAsia="Calibri" w:hAnsi="Calibri" w:cs="Calibri"/>
          <w:kern w:val="2"/>
          <w14:ligatures w14:val="standardContextual"/>
        </w:rPr>
        <w:t>Consider how concepts of parity of sentence and the standard of appellate review on sentence appeals might serve as barriers to an accused whose sentence has been unjustly impacted by an AI risk assessment tool premised upon a biased data?</w:t>
      </w:r>
      <w:r w:rsidR="00CC5625">
        <w:rPr>
          <w:rFonts w:ascii="Calibri" w:eastAsia="Calibri" w:hAnsi="Calibri" w:cs="Calibri"/>
          <w:b/>
          <w:bCs/>
          <w:kern w:val="2"/>
          <w14:ligatures w14:val="standardContextual"/>
        </w:rPr>
        <w:t xml:space="preserve"> </w:t>
      </w:r>
      <w:r w:rsidR="00F353EB" w:rsidRPr="00CC5625">
        <w:rPr>
          <w:rFonts w:ascii="Calibri" w:eastAsia="Calibri" w:hAnsi="Calibri" w:cs="Calibri"/>
          <w:kern w:val="2"/>
          <w14:ligatures w14:val="standardContextual"/>
        </w:rPr>
        <w:t>If the accused’s conviction is just and the sentence is on par with that dispensed in like cases with like offenders, is a remedy required? If so, what remedy is appropriate</w:t>
      </w:r>
      <w:r w:rsidR="00CC5625">
        <w:rPr>
          <w:rFonts w:ascii="Calibri" w:eastAsia="Calibri" w:hAnsi="Calibri" w:cs="Calibri"/>
          <w:kern w:val="2"/>
          <w14:ligatures w14:val="standardContextual"/>
        </w:rPr>
        <w:t xml:space="preserve"> 1) </w:t>
      </w:r>
      <w:r w:rsidR="00F353EB" w:rsidRPr="00CC5625">
        <w:rPr>
          <w:rFonts w:ascii="Calibri" w:eastAsia="Calibri" w:hAnsi="Calibri" w:cs="Calibri"/>
          <w:kern w:val="2"/>
          <w14:ligatures w14:val="standardContextual"/>
        </w:rPr>
        <w:t>for the individual accused in the case under appeal</w:t>
      </w:r>
      <w:r w:rsidR="00CC5625">
        <w:rPr>
          <w:rFonts w:ascii="Calibri" w:eastAsia="Calibri" w:hAnsi="Calibri" w:cs="Calibri"/>
          <w:kern w:val="2"/>
          <w14:ligatures w14:val="standardContextual"/>
        </w:rPr>
        <w:t>, and 2)</w:t>
      </w:r>
      <w:r w:rsidR="00CC5625">
        <w:rPr>
          <w:rFonts w:ascii="Calibri" w:eastAsia="Calibri" w:hAnsi="Calibri" w:cs="Calibri"/>
          <w:b/>
          <w:bCs/>
          <w:kern w:val="2"/>
          <w14:ligatures w14:val="standardContextual"/>
        </w:rPr>
        <w:t xml:space="preserve"> </w:t>
      </w:r>
      <w:r w:rsidR="00F353EB" w:rsidRPr="00CC5625">
        <w:rPr>
          <w:rFonts w:ascii="Calibri" w:eastAsia="Calibri" w:hAnsi="Calibri" w:cs="Calibri"/>
          <w:kern w:val="2"/>
          <w14:ligatures w14:val="standardContextual"/>
        </w:rPr>
        <w:t>to address use of the biased risk assessment tool?</w:t>
      </w:r>
    </w:p>
    <w:p w14:paraId="032AB87D" w14:textId="77777777" w:rsidR="00F353EB" w:rsidRPr="00F353EB" w:rsidRDefault="00F353EB" w:rsidP="00F353EB"/>
    <w:p w14:paraId="3D8238D6" w14:textId="72382E63" w:rsidR="00564FA0" w:rsidRPr="00D6562E" w:rsidRDefault="001E0D8B" w:rsidP="00BA5F36">
      <w:pPr>
        <w:pStyle w:val="Heading1"/>
        <w:rPr>
          <w:rFonts w:asciiTheme="minorHAnsi" w:hAnsiTheme="minorHAnsi" w:cstheme="minorHAnsi"/>
        </w:rPr>
      </w:pPr>
      <w:bookmarkStart w:id="66" w:name="_heading=h.4f1mdlm" w:colFirst="0" w:colLast="0"/>
      <w:bookmarkStart w:id="67" w:name="_Toc176724506"/>
      <w:bookmarkStart w:id="68" w:name="_Toc195598007"/>
      <w:bookmarkEnd w:id="66"/>
      <w:r>
        <w:rPr>
          <w:rFonts w:asciiTheme="minorHAnsi" w:eastAsia="Arial" w:hAnsiTheme="minorHAnsi" w:cstheme="minorHAnsi"/>
        </w:rPr>
        <w:t>4</w:t>
      </w:r>
      <w:r w:rsidR="00BA5F36" w:rsidRPr="00D6562E">
        <w:rPr>
          <w:rFonts w:asciiTheme="minorHAnsi" w:eastAsia="Arial" w:hAnsiTheme="minorHAnsi" w:cstheme="minorHAnsi"/>
        </w:rPr>
        <w:t>.</w:t>
      </w:r>
      <w:r w:rsidR="00BA5F36" w:rsidRPr="00D6562E">
        <w:rPr>
          <w:rFonts w:asciiTheme="minorHAnsi" w:eastAsia="Arial" w:hAnsiTheme="minorHAnsi" w:cstheme="minorHAnsi"/>
        </w:rPr>
        <w:tab/>
      </w:r>
      <w:r w:rsidR="00E90491" w:rsidRPr="00D6562E">
        <w:rPr>
          <w:rFonts w:asciiTheme="minorHAnsi" w:eastAsia="Arial" w:hAnsiTheme="minorHAnsi" w:cstheme="minorHAnsi"/>
        </w:rPr>
        <w:t>Next Steps</w:t>
      </w:r>
      <w:bookmarkEnd w:id="67"/>
      <w:r w:rsidR="004F2E8D">
        <w:rPr>
          <w:rFonts w:asciiTheme="minorHAnsi" w:eastAsia="Arial" w:hAnsiTheme="minorHAnsi" w:cstheme="minorHAnsi"/>
        </w:rPr>
        <w:t xml:space="preserve"> and Consultation Process</w:t>
      </w:r>
      <w:bookmarkEnd w:id="68"/>
    </w:p>
    <w:p w14:paraId="47CB4BD3" w14:textId="77777777" w:rsidR="00BA5F36" w:rsidRPr="00D6562E" w:rsidRDefault="00BA5F36" w:rsidP="0069073E">
      <w:pPr>
        <w:pStyle w:val="Heading2"/>
        <w:rPr>
          <w:rFonts w:asciiTheme="minorHAnsi" w:hAnsiTheme="minorHAnsi" w:cstheme="minorHAnsi"/>
        </w:rPr>
      </w:pPr>
      <w:bookmarkStart w:id="69" w:name="_heading=h.2u6wntf" w:colFirst="0" w:colLast="0"/>
      <w:bookmarkEnd w:id="69"/>
    </w:p>
    <w:p w14:paraId="336B8C9B" w14:textId="77777777" w:rsidR="000D7A41" w:rsidRPr="000D7A41" w:rsidRDefault="000D7A41" w:rsidP="000D7A41">
      <w:pPr>
        <w:keepNext/>
        <w:keepLines/>
        <w:spacing w:before="40" w:line="259" w:lineRule="auto"/>
        <w:outlineLvl w:val="1"/>
        <w:rPr>
          <w:rFonts w:ascii="Calibri" w:eastAsia="Times New Roman" w:hAnsi="Calibri" w:cs="Calibri"/>
          <w:color w:val="2F5496"/>
          <w:sz w:val="26"/>
          <w:szCs w:val="26"/>
          <w:lang w:eastAsia="en-CA"/>
        </w:rPr>
      </w:pPr>
      <w:bookmarkStart w:id="70" w:name="_Toc190436235"/>
      <w:bookmarkStart w:id="71" w:name="_Toc195598008"/>
      <w:r w:rsidRPr="000D7A41">
        <w:rPr>
          <w:rFonts w:ascii="Calibri" w:eastAsia="Times New Roman" w:hAnsi="Calibri" w:cs="Calibri"/>
          <w:color w:val="2F5496"/>
          <w:sz w:val="26"/>
          <w:szCs w:val="26"/>
          <w:lang w:eastAsia="en-CA"/>
        </w:rPr>
        <w:t xml:space="preserve">4.1 </w:t>
      </w:r>
      <w:r w:rsidRPr="000D7A41">
        <w:rPr>
          <w:rFonts w:ascii="Calibri" w:eastAsia="Times New Roman" w:hAnsi="Calibri" w:cs="Calibri"/>
          <w:color w:val="2F5496"/>
          <w:sz w:val="26"/>
          <w:szCs w:val="26"/>
          <w:lang w:eastAsia="en-CA"/>
        </w:rPr>
        <w:tab/>
        <w:t>Consultation Process</w:t>
      </w:r>
      <w:bookmarkEnd w:id="70"/>
      <w:bookmarkEnd w:id="71"/>
    </w:p>
    <w:p w14:paraId="3FFDF3F8" w14:textId="77777777" w:rsidR="000D7A41" w:rsidRPr="000D7A41" w:rsidRDefault="000D7A41" w:rsidP="000D7A41">
      <w:pPr>
        <w:spacing w:after="160" w:line="259" w:lineRule="auto"/>
        <w:jc w:val="both"/>
        <w:rPr>
          <w:rFonts w:ascii="Calibri" w:eastAsia="Calibri" w:hAnsi="Calibri" w:cs="Calibri"/>
          <w:lang w:eastAsia="en-CA"/>
        </w:rPr>
      </w:pPr>
    </w:p>
    <w:p w14:paraId="0C854CE2" w14:textId="77777777" w:rsidR="000D7A41" w:rsidRPr="000D7A41" w:rsidRDefault="000D7A41" w:rsidP="000D7A41">
      <w:pPr>
        <w:spacing w:after="160" w:line="259" w:lineRule="auto"/>
        <w:jc w:val="both"/>
        <w:rPr>
          <w:rFonts w:ascii="Calibri" w:eastAsia="Calibri" w:hAnsi="Calibri" w:cs="Calibri"/>
          <w:lang w:eastAsia="en-CA"/>
        </w:rPr>
      </w:pPr>
      <w:r w:rsidRPr="000D7A41">
        <w:rPr>
          <w:rFonts w:ascii="Calibri" w:eastAsia="Calibri" w:hAnsi="Calibri" w:cs="Calibri"/>
          <w:lang w:eastAsia="en-CA"/>
        </w:rPr>
        <w:t>The LCO’s consultation process starts with the release of this Issues Paper.</w:t>
      </w:r>
    </w:p>
    <w:p w14:paraId="70E34122" w14:textId="77777777" w:rsidR="000D7A41" w:rsidRPr="000D7A41" w:rsidRDefault="000D7A41" w:rsidP="000D7A41">
      <w:pPr>
        <w:spacing w:after="160" w:line="259" w:lineRule="auto"/>
        <w:jc w:val="both"/>
        <w:rPr>
          <w:rFonts w:ascii="Calibri" w:eastAsia="Calibri" w:hAnsi="Calibri" w:cs="Calibri"/>
          <w:lang w:eastAsia="en-CA"/>
        </w:rPr>
      </w:pPr>
      <w:r w:rsidRPr="000D7A41">
        <w:rPr>
          <w:rFonts w:ascii="Calibri" w:eastAsia="Calibri" w:hAnsi="Calibri" w:cs="Calibri"/>
          <w:lang w:eastAsia="en-CA"/>
        </w:rPr>
        <w:t xml:space="preserve">The LCO wants to hear from a broad range of stakeholders including lawyers and legal organizations, NGOs, industry representatives, academics, government and justice system leaders, and individual Ontarians interested in the operation of the criminal justice system. </w:t>
      </w:r>
    </w:p>
    <w:p w14:paraId="594696AF" w14:textId="77777777" w:rsidR="000D7A41" w:rsidRPr="000D7A41" w:rsidRDefault="000D7A41" w:rsidP="000D7A41">
      <w:pPr>
        <w:spacing w:after="160" w:line="256" w:lineRule="auto"/>
        <w:jc w:val="both"/>
        <w:rPr>
          <w:rFonts w:ascii="Calibri" w:eastAsia="Calibri" w:hAnsi="Calibri" w:cs="Calibri"/>
          <w:lang w:eastAsia="en-CA"/>
        </w:rPr>
      </w:pPr>
      <w:r w:rsidRPr="000D7A41">
        <w:rPr>
          <w:rFonts w:ascii="Calibri" w:eastAsia="Calibri" w:hAnsi="Calibri" w:cs="Calibri"/>
          <w:lang w:eastAsia="en-CA"/>
        </w:rPr>
        <w:t>The LCO will be organizing several consultation processes over the next several months. The LCO is strongly committed to partnering with interested organizations and stakeholders to develop consultation initiatives. Individuals or organizations interested in working with the LCO are encouraged to contact our Project Lead.</w:t>
      </w:r>
      <w:r w:rsidRPr="000D7A41">
        <w:rPr>
          <w:rFonts w:ascii="Calibri" w:eastAsia="Calibri" w:hAnsi="Calibri" w:cs="Calibri"/>
          <w:b/>
          <w:lang w:eastAsia="en-CA"/>
        </w:rPr>
        <w:t xml:space="preserve"> </w:t>
      </w:r>
    </w:p>
    <w:p w14:paraId="040F8F9E" w14:textId="77777777" w:rsidR="000D7A41" w:rsidRPr="000D7A41" w:rsidRDefault="000D7A41" w:rsidP="000D7A41">
      <w:pPr>
        <w:spacing w:after="160" w:line="256" w:lineRule="auto"/>
        <w:jc w:val="both"/>
        <w:rPr>
          <w:rFonts w:ascii="Calibri" w:eastAsia="Calibri" w:hAnsi="Calibri" w:cs="Calibri"/>
          <w:lang w:eastAsia="en-CA"/>
        </w:rPr>
      </w:pPr>
      <w:r w:rsidRPr="000D7A41">
        <w:rPr>
          <w:rFonts w:ascii="Calibri" w:eastAsia="Calibri" w:hAnsi="Calibri" w:cs="Calibri"/>
          <w:lang w:eastAsia="en-CA"/>
        </w:rPr>
        <w:t xml:space="preserve">The LCO also encourages written submissions, which can be sent to the LCO’s general email address at </w:t>
      </w:r>
      <w:hyperlink r:id="rId57">
        <w:r w:rsidRPr="000D7A41">
          <w:rPr>
            <w:rFonts w:ascii="Calibri" w:eastAsia="Calibri" w:hAnsi="Calibri" w:cs="Calibri"/>
            <w:color w:val="0563C1"/>
            <w:u w:val="single"/>
            <w:lang w:eastAsia="en-CA"/>
          </w:rPr>
          <w:t>LawCommission@lco-cdo.org</w:t>
        </w:r>
      </w:hyperlink>
      <w:r w:rsidRPr="000D7A41">
        <w:rPr>
          <w:rFonts w:ascii="Calibri" w:eastAsia="Calibri" w:hAnsi="Calibri" w:cs="Calibri"/>
          <w:lang w:eastAsia="en-CA"/>
        </w:rPr>
        <w:t>.</w:t>
      </w:r>
    </w:p>
    <w:p w14:paraId="64056448" w14:textId="15102A2C" w:rsidR="000D7A41" w:rsidRPr="000D7A41" w:rsidRDefault="000D7A41" w:rsidP="000D7A41">
      <w:pPr>
        <w:spacing w:after="160" w:line="256" w:lineRule="auto"/>
        <w:jc w:val="both"/>
        <w:rPr>
          <w:rFonts w:ascii="Calibri" w:eastAsia="Calibri" w:hAnsi="Calibri" w:cs="Calibri"/>
          <w:lang w:eastAsia="en-CA"/>
        </w:rPr>
      </w:pPr>
      <w:r w:rsidRPr="000D7A41">
        <w:rPr>
          <w:rFonts w:ascii="Calibri" w:eastAsia="Calibri" w:hAnsi="Calibri" w:cs="Calibri"/>
          <w:lang w:eastAsia="en-CA"/>
        </w:rPr>
        <w:t xml:space="preserve">The deadline for written submissions is </w:t>
      </w:r>
      <w:r>
        <w:rPr>
          <w:rFonts w:ascii="Calibri" w:eastAsia="Calibri" w:hAnsi="Calibri" w:cs="Calibri"/>
          <w:b/>
          <w:lang w:eastAsia="en-CA"/>
        </w:rPr>
        <w:t>July 7, 2025</w:t>
      </w:r>
      <w:r w:rsidRPr="000D7A41">
        <w:rPr>
          <w:rFonts w:ascii="Calibri" w:eastAsia="Calibri" w:hAnsi="Calibri" w:cs="Calibri"/>
          <w:lang w:eastAsia="en-CA"/>
        </w:rPr>
        <w:t xml:space="preserve">. </w:t>
      </w:r>
    </w:p>
    <w:p w14:paraId="3DE50DBA" w14:textId="77777777" w:rsidR="000D7A41" w:rsidRPr="000D7A41" w:rsidRDefault="000D7A41" w:rsidP="000D7A41">
      <w:pPr>
        <w:spacing w:after="160" w:line="256" w:lineRule="auto"/>
        <w:jc w:val="both"/>
        <w:rPr>
          <w:rFonts w:ascii="Calibri" w:eastAsia="Calibri" w:hAnsi="Calibri" w:cs="Calibri"/>
          <w:lang w:eastAsia="en-CA"/>
        </w:rPr>
      </w:pPr>
      <w:r w:rsidRPr="000D7A41">
        <w:rPr>
          <w:rFonts w:ascii="Calibri" w:eastAsia="Calibri" w:hAnsi="Calibri" w:cs="Calibri"/>
          <w:lang w:eastAsia="en-CA"/>
        </w:rPr>
        <w:t xml:space="preserve">The LCO is committed to sharing ideas and building constructive dialogue. Accordingly, the LCO expects to post written submissions on our project webpage, subject to limited exceptions. Individuals or organizations wishing to provide a written submission may want to contact the LCO for further information prior to their submission. </w:t>
      </w:r>
    </w:p>
    <w:p w14:paraId="174C5DCF" w14:textId="77777777" w:rsidR="000D7A41" w:rsidRPr="000D7A41" w:rsidRDefault="000D7A41" w:rsidP="000D7A41">
      <w:pPr>
        <w:spacing w:after="160" w:line="256" w:lineRule="auto"/>
        <w:jc w:val="both"/>
        <w:rPr>
          <w:rFonts w:ascii="Calibri" w:eastAsia="Calibri" w:hAnsi="Calibri" w:cs="Calibri"/>
          <w:b/>
          <w:lang w:eastAsia="en-CA"/>
        </w:rPr>
      </w:pPr>
      <w:r w:rsidRPr="000D7A41">
        <w:rPr>
          <w:rFonts w:ascii="Calibri" w:eastAsia="Calibri" w:hAnsi="Calibri" w:cs="Calibri"/>
          <w:b/>
          <w:lang w:eastAsia="en-CA"/>
        </w:rPr>
        <w:t>Project Lead and Contacts</w:t>
      </w:r>
    </w:p>
    <w:p w14:paraId="67B77B61" w14:textId="77777777" w:rsidR="000D7A41" w:rsidRPr="000D7A41" w:rsidRDefault="000D7A41" w:rsidP="000D7A41">
      <w:pPr>
        <w:spacing w:after="160" w:line="256" w:lineRule="auto"/>
        <w:jc w:val="both"/>
        <w:rPr>
          <w:rFonts w:ascii="Calibri" w:eastAsia="Calibri" w:hAnsi="Calibri" w:cs="Calibri"/>
          <w:lang w:eastAsia="en-CA"/>
        </w:rPr>
      </w:pPr>
      <w:r w:rsidRPr="000D7A41">
        <w:rPr>
          <w:rFonts w:ascii="Calibri" w:eastAsia="Calibri" w:hAnsi="Calibri" w:cs="Calibri"/>
          <w:lang w:eastAsia="en-CA"/>
        </w:rPr>
        <w:t xml:space="preserve">The LCO’s Project Lead is Ryan Fritsch. Ryan can be contacted at </w:t>
      </w:r>
      <w:hyperlink r:id="rId58">
        <w:r w:rsidRPr="000D7A41">
          <w:rPr>
            <w:rFonts w:ascii="Calibri" w:eastAsia="Calibri" w:hAnsi="Calibri" w:cs="Calibri"/>
            <w:color w:val="0563C1"/>
            <w:u w:val="single"/>
            <w:lang w:eastAsia="en-CA"/>
          </w:rPr>
          <w:t>rfritsch@lco-cdo.org</w:t>
        </w:r>
      </w:hyperlink>
      <w:r w:rsidRPr="000D7A41">
        <w:rPr>
          <w:rFonts w:ascii="Calibri" w:eastAsia="Calibri" w:hAnsi="Calibri" w:cs="Calibri"/>
          <w:lang w:eastAsia="en-CA"/>
        </w:rPr>
        <w:t>.</w:t>
      </w:r>
    </w:p>
    <w:p w14:paraId="05052663" w14:textId="77777777" w:rsidR="000D7A41" w:rsidRPr="000D7A41" w:rsidRDefault="000D7A41" w:rsidP="000D7A41">
      <w:pPr>
        <w:spacing w:after="160" w:line="259" w:lineRule="auto"/>
        <w:jc w:val="both"/>
        <w:rPr>
          <w:rFonts w:ascii="Calibri" w:eastAsia="Calibri" w:hAnsi="Calibri" w:cs="Calibri"/>
          <w:lang w:eastAsia="en-CA"/>
        </w:rPr>
      </w:pPr>
      <w:r w:rsidRPr="000D7A41">
        <w:rPr>
          <w:rFonts w:ascii="Calibri" w:eastAsia="Calibri" w:hAnsi="Calibri" w:cs="Calibri"/>
          <w:lang w:eastAsia="en-CA"/>
        </w:rPr>
        <w:t xml:space="preserve">The LCO can also be contacted at: </w:t>
      </w:r>
    </w:p>
    <w:p w14:paraId="319E57E4" w14:textId="77777777" w:rsidR="000D7A41" w:rsidRPr="000D7A41" w:rsidRDefault="000D7A41" w:rsidP="000D7A41">
      <w:pPr>
        <w:spacing w:line="259" w:lineRule="auto"/>
        <w:rPr>
          <w:rFonts w:ascii="Calibri" w:eastAsia="Calibri" w:hAnsi="Calibri" w:cs="Calibri"/>
          <w:lang w:eastAsia="en-CA"/>
        </w:rPr>
      </w:pPr>
      <w:r w:rsidRPr="000D7A41">
        <w:rPr>
          <w:rFonts w:ascii="Calibri" w:eastAsia="Calibri" w:hAnsi="Calibri" w:cs="Calibri"/>
          <w:lang w:eastAsia="en-CA"/>
        </w:rPr>
        <w:lastRenderedPageBreak/>
        <w:t>Law Commission of Ontario</w:t>
      </w:r>
      <w:r w:rsidRPr="000D7A41">
        <w:rPr>
          <w:rFonts w:ascii="Calibri" w:eastAsia="Calibri" w:hAnsi="Calibri" w:cs="Calibri"/>
          <w:lang w:eastAsia="en-CA"/>
        </w:rPr>
        <w:br/>
        <w:t xml:space="preserve">2032 Ignat Kaneff Building </w:t>
      </w:r>
      <w:r w:rsidRPr="000D7A41">
        <w:rPr>
          <w:rFonts w:ascii="Calibri" w:eastAsia="Calibri" w:hAnsi="Calibri" w:cs="Calibri"/>
          <w:lang w:eastAsia="en-CA"/>
        </w:rPr>
        <w:br/>
        <w:t xml:space="preserve">Osgoode Hall Law School, York University </w:t>
      </w:r>
      <w:r w:rsidRPr="000D7A41">
        <w:rPr>
          <w:rFonts w:ascii="Calibri" w:eastAsia="Calibri" w:hAnsi="Calibri" w:cs="Calibri"/>
          <w:lang w:eastAsia="en-CA"/>
        </w:rPr>
        <w:br/>
        <w:t xml:space="preserve">4700 Keele Street </w:t>
      </w:r>
      <w:r w:rsidRPr="000D7A41">
        <w:rPr>
          <w:rFonts w:ascii="Calibri" w:eastAsia="Calibri" w:hAnsi="Calibri" w:cs="Calibri"/>
          <w:lang w:eastAsia="en-CA"/>
        </w:rPr>
        <w:br/>
        <w:t xml:space="preserve">Toronto, Ontario, Canada </w:t>
      </w:r>
      <w:r w:rsidRPr="000D7A41">
        <w:rPr>
          <w:rFonts w:ascii="Calibri" w:eastAsia="Calibri" w:hAnsi="Calibri" w:cs="Calibri"/>
          <w:lang w:eastAsia="en-CA"/>
        </w:rPr>
        <w:br/>
        <w:t xml:space="preserve">M3J 1P3 </w:t>
      </w:r>
    </w:p>
    <w:p w14:paraId="229E9AF3" w14:textId="77777777" w:rsidR="000D7A41" w:rsidRPr="000D7A41" w:rsidRDefault="000D7A41" w:rsidP="000D7A41">
      <w:pPr>
        <w:spacing w:after="160" w:line="259" w:lineRule="auto"/>
        <w:rPr>
          <w:rFonts w:ascii="Calibri" w:eastAsia="Calibri" w:hAnsi="Calibri" w:cs="Calibri"/>
          <w:lang w:eastAsia="en-CA"/>
        </w:rPr>
      </w:pPr>
      <w:hyperlink r:id="rId59">
        <w:r w:rsidRPr="000D7A41">
          <w:rPr>
            <w:rFonts w:ascii="Calibri" w:eastAsia="Calibri" w:hAnsi="Calibri" w:cs="Calibri"/>
            <w:color w:val="0563C1"/>
            <w:u w:val="single"/>
            <w:lang w:eastAsia="en-CA"/>
          </w:rPr>
          <w:t>LawCommission@lco-cdo.org</w:t>
        </w:r>
      </w:hyperlink>
    </w:p>
    <w:p w14:paraId="613B500B" w14:textId="408BBA2C" w:rsidR="00E25A63" w:rsidRDefault="00E25A63">
      <w:pPr>
        <w:rPr>
          <w:color w:val="2E74B5" w:themeColor="accent1" w:themeShade="BF"/>
          <w:sz w:val="26"/>
          <w:szCs w:val="26"/>
        </w:rPr>
      </w:pPr>
      <w:bookmarkStart w:id="72" w:name="_heading=h.19c6y18" w:colFirst="0" w:colLast="0"/>
      <w:bookmarkEnd w:id="72"/>
      <w:r>
        <w:br w:type="page"/>
      </w:r>
    </w:p>
    <w:p w14:paraId="3B7AA39E" w14:textId="2B27058E" w:rsidR="00564FA0" w:rsidRPr="00D6562E" w:rsidRDefault="004F2E8D" w:rsidP="004F2E8D">
      <w:pPr>
        <w:pStyle w:val="Heading1"/>
        <w:numPr>
          <w:ilvl w:val="0"/>
          <w:numId w:val="153"/>
        </w:numPr>
      </w:pPr>
      <w:bookmarkStart w:id="73" w:name="_Toc195598009"/>
      <w:r>
        <w:lastRenderedPageBreak/>
        <w:t>Endnotes</w:t>
      </w:r>
      <w:bookmarkEnd w:id="73"/>
      <w:r>
        <w:t xml:space="preserve"> </w:t>
      </w:r>
    </w:p>
    <w:p w14:paraId="185C2E67" w14:textId="778481B2" w:rsidR="00564FA0" w:rsidRPr="00D6562E" w:rsidRDefault="00564FA0" w:rsidP="000D7A41">
      <w:pPr>
        <w:spacing w:before="120" w:after="120"/>
      </w:pPr>
    </w:p>
    <w:sectPr w:rsidR="00564FA0" w:rsidRPr="00D6562E">
      <w:headerReference w:type="default" r:id="rId60"/>
      <w:footerReference w:type="default" r:id="rId61"/>
      <w:endnotePr>
        <w:numFmt w:val="decimal"/>
      </w:endnotePr>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3668B" w14:textId="77777777" w:rsidR="00D21DF5" w:rsidRDefault="00D21DF5" w:rsidP="0069073E">
      <w:r>
        <w:separator/>
      </w:r>
    </w:p>
  </w:endnote>
  <w:endnote w:type="continuationSeparator" w:id="0">
    <w:p w14:paraId="64A65D29" w14:textId="77777777" w:rsidR="00D21DF5" w:rsidRDefault="00D21DF5" w:rsidP="0069073E">
      <w:r>
        <w:continuationSeparator/>
      </w:r>
    </w:p>
  </w:endnote>
  <w:endnote w:id="1">
    <w:p w14:paraId="1792903D" w14:textId="0CDF73E1" w:rsidR="00C86A4D" w:rsidRDefault="00C86A4D">
      <w:pPr>
        <w:pStyle w:val="EndnoteText"/>
      </w:pPr>
      <w:r>
        <w:rPr>
          <w:rStyle w:val="EndnoteReference"/>
        </w:rPr>
        <w:endnoteRef/>
      </w:r>
      <w:r>
        <w:t xml:space="preserve"> </w:t>
      </w:r>
      <w:r w:rsidR="0095002C" w:rsidRPr="00E21E10">
        <w:rPr>
          <w:i/>
          <w:iCs/>
          <w:sz w:val="18"/>
          <w:szCs w:val="18"/>
        </w:rPr>
        <w:t>Canadian Charter of Rights and Freedoms</w:t>
      </w:r>
      <w:r w:rsidR="0095002C" w:rsidRPr="00E21E10">
        <w:rPr>
          <w:i/>
          <w:sz w:val="18"/>
          <w:szCs w:val="18"/>
        </w:rPr>
        <w:t>,</w:t>
      </w:r>
      <w:r w:rsidR="0095002C" w:rsidRPr="00E21E10">
        <w:rPr>
          <w:sz w:val="18"/>
          <w:szCs w:val="18"/>
        </w:rPr>
        <w:t xml:space="preserve"> Part I of the </w:t>
      </w:r>
      <w:r w:rsidR="0095002C" w:rsidRPr="00E21E10">
        <w:rPr>
          <w:i/>
          <w:iCs/>
          <w:sz w:val="18"/>
          <w:szCs w:val="18"/>
        </w:rPr>
        <w:t>Constitution Act</w:t>
      </w:r>
      <w:r w:rsidR="0095002C" w:rsidRPr="00E21E10">
        <w:rPr>
          <w:sz w:val="18"/>
          <w:szCs w:val="18"/>
        </w:rPr>
        <w:t xml:space="preserve">, 1982, being Schedule B to the </w:t>
      </w:r>
      <w:r w:rsidR="0095002C" w:rsidRPr="00E21E10">
        <w:rPr>
          <w:i/>
          <w:iCs/>
          <w:sz w:val="18"/>
          <w:szCs w:val="18"/>
        </w:rPr>
        <w:t>Canada Act 1982</w:t>
      </w:r>
      <w:r w:rsidR="0095002C" w:rsidRPr="00E21E10">
        <w:rPr>
          <w:sz w:val="18"/>
          <w:szCs w:val="18"/>
        </w:rPr>
        <w:t xml:space="preserve"> (UK) (1982, c 11)</w:t>
      </w:r>
      <w:r w:rsidR="00364A57">
        <w:rPr>
          <w:sz w:val="18"/>
          <w:szCs w:val="18"/>
        </w:rPr>
        <w:t xml:space="preserve">, online: </w:t>
      </w:r>
      <w:hyperlink r:id="rId1" w:history="1">
        <w:r w:rsidR="00364A57" w:rsidRPr="00455C63">
          <w:rPr>
            <w:rStyle w:val="Hyperlink"/>
            <w:sz w:val="18"/>
            <w:szCs w:val="18"/>
          </w:rPr>
          <w:t>https://www.laws-lois.justice.gc.ca/eng/Const/page-12.html</w:t>
        </w:r>
      </w:hyperlink>
      <w:r w:rsidR="00364A57">
        <w:rPr>
          <w:sz w:val="18"/>
          <w:szCs w:val="18"/>
        </w:rPr>
        <w:t xml:space="preserve">; </w:t>
      </w:r>
      <w:r w:rsidR="0095002C" w:rsidRPr="0095002C">
        <w:rPr>
          <w:i/>
          <w:iCs/>
        </w:rPr>
        <w:t>Canada Evidence Act</w:t>
      </w:r>
      <w:r w:rsidR="0095002C" w:rsidRPr="00E479ED">
        <w:t xml:space="preserve"> (RSC 1985, c. C-5), online:</w:t>
      </w:r>
      <w:r w:rsidR="00364A57">
        <w:t xml:space="preserve"> </w:t>
      </w:r>
      <w:hyperlink r:id="rId2" w:history="1">
        <w:r w:rsidR="00364A57" w:rsidRPr="00455C63">
          <w:rPr>
            <w:rStyle w:val="Hyperlink"/>
          </w:rPr>
          <w:t>https://laws-lois.justice.gc.ca/eng/acts/c-5/</w:t>
        </w:r>
      </w:hyperlink>
      <w:r w:rsidR="00364A57">
        <w:t xml:space="preserve">; </w:t>
      </w:r>
      <w:r w:rsidR="007C2B9A" w:rsidRPr="007C2B9A">
        <w:rPr>
          <w:i/>
          <w:iCs/>
        </w:rPr>
        <w:t>Criminal Code</w:t>
      </w:r>
      <w:r w:rsidR="0095002C">
        <w:t xml:space="preserve"> (</w:t>
      </w:r>
      <w:r w:rsidR="0095002C" w:rsidRPr="0095002C">
        <w:t>RSC</w:t>
      </w:r>
      <w:r w:rsidR="0095002C">
        <w:t xml:space="preserve"> </w:t>
      </w:r>
      <w:r w:rsidR="0095002C" w:rsidRPr="0095002C">
        <w:t>1985, c. C-46)</w:t>
      </w:r>
      <w:r w:rsidR="0095002C">
        <w:t xml:space="preserve">, online: </w:t>
      </w:r>
      <w:hyperlink r:id="rId3" w:history="1">
        <w:r w:rsidR="00CC24EB" w:rsidRPr="00455C63">
          <w:rPr>
            <w:rStyle w:val="Hyperlink"/>
          </w:rPr>
          <w:t>https://laws-lois.justice.gc.ca/eng/acts/C-46/</w:t>
        </w:r>
      </w:hyperlink>
      <w:r w:rsidR="00CC24EB">
        <w:t xml:space="preserve">; </w:t>
      </w:r>
      <w:r w:rsidR="007C2B9A" w:rsidRPr="007C2B9A">
        <w:t xml:space="preserve">and </w:t>
      </w:r>
      <w:r w:rsidR="007C2B9A" w:rsidRPr="007C2B9A">
        <w:rPr>
          <w:i/>
          <w:iCs/>
        </w:rPr>
        <w:t>Courts of Justice Act</w:t>
      </w:r>
      <w:r w:rsidR="00CC24EB">
        <w:t xml:space="preserve"> (</w:t>
      </w:r>
      <w:r w:rsidR="00CC24EB" w:rsidRPr="00CC24EB">
        <w:t>RSO 1990, c. C.43</w:t>
      </w:r>
      <w:r w:rsidR="00CC24EB">
        <w:t xml:space="preserve">), online: </w:t>
      </w:r>
      <w:hyperlink r:id="rId4" w:history="1">
        <w:r w:rsidR="00CC24EB" w:rsidRPr="00455C63">
          <w:rPr>
            <w:rStyle w:val="Hyperlink"/>
          </w:rPr>
          <w:t>https://www.ontario.ca/laws/statute/90c43/v3</w:t>
        </w:r>
      </w:hyperlink>
      <w:r w:rsidR="00CC24EB">
        <w:t xml:space="preserve">. </w:t>
      </w:r>
    </w:p>
  </w:endnote>
  <w:endnote w:id="2">
    <w:p w14:paraId="5297D4FF" w14:textId="2521E0E4" w:rsidR="00BF48B8" w:rsidRDefault="00BF48B8">
      <w:pPr>
        <w:pStyle w:val="EndnoteText"/>
      </w:pPr>
      <w:r>
        <w:rPr>
          <w:rStyle w:val="EndnoteReference"/>
        </w:rPr>
        <w:endnoteRef/>
      </w:r>
      <w:r>
        <w:t xml:space="preserve"> </w:t>
      </w:r>
      <w:r w:rsidRPr="00BF48B8">
        <w:t xml:space="preserve">See </w:t>
      </w:r>
      <w:r>
        <w:t xml:space="preserve">for example: </w:t>
      </w:r>
      <w:r w:rsidRPr="00BF48B8">
        <w:rPr>
          <w:i/>
          <w:iCs/>
        </w:rPr>
        <w:t>R. v. J.L.J.</w:t>
      </w:r>
      <w:r w:rsidRPr="00BF48B8">
        <w:t xml:space="preserve"> </w:t>
      </w:r>
      <w:r>
        <w:t>(</w:t>
      </w:r>
      <w:r w:rsidRPr="00BF48B8">
        <w:t>2000 SCC 51</w:t>
      </w:r>
      <w:r>
        <w:t>)</w:t>
      </w:r>
      <w:r w:rsidRPr="00BF48B8">
        <w:t>.</w:t>
      </w:r>
    </w:p>
  </w:endnote>
  <w:endnote w:id="3">
    <w:p w14:paraId="07147E00" w14:textId="21D3A36A" w:rsidR="003E1876" w:rsidRDefault="003E1876">
      <w:pPr>
        <w:pStyle w:val="EndnoteText"/>
      </w:pPr>
      <w:r>
        <w:rPr>
          <w:rStyle w:val="EndnoteReference"/>
        </w:rPr>
        <w:endnoteRef/>
      </w:r>
      <w:r>
        <w:t xml:space="preserve"> See for example </w:t>
      </w:r>
      <w:r w:rsidRPr="003E1876">
        <w:rPr>
          <w:i/>
          <w:iCs/>
        </w:rPr>
        <w:t>R. v. Dunstan</w:t>
      </w:r>
      <w:r>
        <w:t xml:space="preserve"> (</w:t>
      </w:r>
      <w:r w:rsidRPr="003E1876">
        <w:t>2018 ONSC 4153</w:t>
      </w:r>
      <w:r>
        <w:t xml:space="preserve">); </w:t>
      </w:r>
      <w:r w:rsidRPr="003E1876">
        <w:rPr>
          <w:i/>
          <w:iCs/>
        </w:rPr>
        <w:t>U.S. v. Sterlingov</w:t>
      </w:r>
      <w:r>
        <w:t xml:space="preserve"> (</w:t>
      </w:r>
      <w:r w:rsidRPr="003E1876">
        <w:t>2024 WL 860983</w:t>
      </w:r>
      <w:r>
        <w:t>)</w:t>
      </w:r>
      <w:r w:rsidRPr="003E1876">
        <w:t>.</w:t>
      </w:r>
    </w:p>
  </w:endnote>
  <w:endnote w:id="4">
    <w:p w14:paraId="36AE92AB" w14:textId="329F1A29" w:rsidR="00630390" w:rsidRPr="0044654D" w:rsidRDefault="00630390" w:rsidP="00AA6713">
      <w:pPr>
        <w:rPr>
          <w:color w:val="212121"/>
          <w:sz w:val="20"/>
          <w:szCs w:val="20"/>
        </w:rPr>
      </w:pPr>
      <w:r w:rsidRPr="0044654D">
        <w:rPr>
          <w:rStyle w:val="EndnoteReference"/>
          <w:sz w:val="20"/>
          <w:szCs w:val="20"/>
        </w:rPr>
        <w:endnoteRef/>
      </w:r>
      <w:r w:rsidRPr="0044654D">
        <w:rPr>
          <w:sz w:val="20"/>
          <w:szCs w:val="20"/>
        </w:rPr>
        <w:t xml:space="preserve"> </w:t>
      </w:r>
      <w:r w:rsidRPr="0044654D">
        <w:rPr>
          <w:i/>
          <w:iCs/>
          <w:sz w:val="20"/>
          <w:szCs w:val="20"/>
        </w:rPr>
        <w:t>R</w:t>
      </w:r>
      <w:r w:rsidR="00F54BAD">
        <w:rPr>
          <w:i/>
          <w:iCs/>
          <w:sz w:val="20"/>
          <w:szCs w:val="20"/>
        </w:rPr>
        <w:t>.</w:t>
      </w:r>
      <w:r w:rsidRPr="0044654D">
        <w:rPr>
          <w:i/>
          <w:iCs/>
          <w:sz w:val="20"/>
          <w:szCs w:val="20"/>
        </w:rPr>
        <w:t xml:space="preserve"> v</w:t>
      </w:r>
      <w:r w:rsidR="00F54BAD">
        <w:rPr>
          <w:i/>
          <w:iCs/>
          <w:sz w:val="20"/>
          <w:szCs w:val="20"/>
        </w:rPr>
        <w:t>.</w:t>
      </w:r>
      <w:r w:rsidRPr="0044654D">
        <w:rPr>
          <w:i/>
          <w:iCs/>
          <w:sz w:val="20"/>
          <w:szCs w:val="20"/>
        </w:rPr>
        <w:t xml:space="preserve"> Nikolovski</w:t>
      </w:r>
      <w:r w:rsidRPr="0044654D">
        <w:rPr>
          <w:sz w:val="20"/>
          <w:szCs w:val="20"/>
        </w:rPr>
        <w:t xml:space="preserve"> ([1996] 3 SCR 1197)</w:t>
      </w:r>
      <w:r w:rsidRPr="0044654D">
        <w:rPr>
          <w:color w:val="212121"/>
          <w:sz w:val="20"/>
          <w:szCs w:val="20"/>
          <w:bdr w:val="none" w:sz="0" w:space="0" w:color="auto" w:frame="1"/>
        </w:rPr>
        <w:t xml:space="preserve"> </w:t>
      </w:r>
      <w:r w:rsidRPr="0044654D">
        <w:rPr>
          <w:rStyle w:val="pdf-viewer-line"/>
          <w:rFonts w:eastAsia="Times New Roman"/>
          <w:spacing w:val="-2"/>
          <w:sz w:val="20"/>
          <w:szCs w:val="20"/>
        </w:rPr>
        <w:t>at para 13.</w:t>
      </w:r>
    </w:p>
  </w:endnote>
  <w:endnote w:id="5">
    <w:p w14:paraId="623D8B00" w14:textId="5A71158B" w:rsidR="00630390" w:rsidRPr="0044654D" w:rsidRDefault="00630390" w:rsidP="00AA6713">
      <w:pPr>
        <w:pStyle w:val="EndnoteText"/>
        <w:rPr>
          <w:szCs w:val="20"/>
          <w:lang w:val="en-US"/>
        </w:rPr>
      </w:pPr>
      <w:r w:rsidRPr="0044654D">
        <w:rPr>
          <w:rStyle w:val="EndnoteReference"/>
          <w:szCs w:val="20"/>
        </w:rPr>
        <w:endnoteRef/>
      </w:r>
      <w:r w:rsidRPr="0044654D">
        <w:rPr>
          <w:szCs w:val="20"/>
        </w:rPr>
        <w:t xml:space="preserve"> </w:t>
      </w:r>
      <w:r w:rsidRPr="00F54BAD">
        <w:rPr>
          <w:i/>
          <w:iCs/>
          <w:szCs w:val="20"/>
        </w:rPr>
        <w:t>R</w:t>
      </w:r>
      <w:r w:rsidR="00F54BAD" w:rsidRPr="00F54BAD">
        <w:rPr>
          <w:i/>
          <w:iCs/>
          <w:szCs w:val="20"/>
        </w:rPr>
        <w:t>.</w:t>
      </w:r>
      <w:r w:rsidRPr="00F54BAD">
        <w:rPr>
          <w:i/>
          <w:iCs/>
          <w:szCs w:val="20"/>
        </w:rPr>
        <w:t xml:space="preserve"> v</w:t>
      </w:r>
      <w:r w:rsidR="00F54BAD" w:rsidRPr="00F54BAD">
        <w:rPr>
          <w:i/>
          <w:iCs/>
          <w:szCs w:val="20"/>
        </w:rPr>
        <w:t>.</w:t>
      </w:r>
      <w:r w:rsidRPr="00F54BAD">
        <w:rPr>
          <w:i/>
          <w:iCs/>
          <w:szCs w:val="20"/>
        </w:rPr>
        <w:t xml:space="preserve"> Oakes</w:t>
      </w:r>
      <w:r w:rsidRPr="0044654D">
        <w:rPr>
          <w:szCs w:val="20"/>
        </w:rPr>
        <w:t xml:space="preserve"> ([1986] 1 SCR 103).</w:t>
      </w:r>
    </w:p>
  </w:endnote>
  <w:endnote w:id="6">
    <w:p w14:paraId="02477BB6" w14:textId="49407A27" w:rsidR="00630390" w:rsidRPr="0044654D" w:rsidRDefault="00630390" w:rsidP="00AA6713">
      <w:pPr>
        <w:ind w:right="340"/>
        <w:jc w:val="both"/>
        <w:rPr>
          <w:color w:val="262526"/>
          <w:sz w:val="20"/>
          <w:szCs w:val="20"/>
        </w:rPr>
      </w:pPr>
      <w:r w:rsidRPr="0044654D">
        <w:rPr>
          <w:rStyle w:val="EndnoteReference"/>
          <w:sz w:val="20"/>
          <w:szCs w:val="20"/>
        </w:rPr>
        <w:endnoteRef/>
      </w:r>
      <w:r w:rsidRPr="0044654D">
        <w:rPr>
          <w:sz w:val="20"/>
          <w:szCs w:val="20"/>
        </w:rPr>
        <w:t xml:space="preserve"> </w:t>
      </w:r>
      <w:r w:rsidRPr="0044654D">
        <w:rPr>
          <w:color w:val="262526"/>
          <w:sz w:val="20"/>
          <w:szCs w:val="20"/>
        </w:rPr>
        <w:t xml:space="preserve">Law Commission of Ontario, </w:t>
      </w:r>
      <w:r w:rsidRPr="0044654D">
        <w:rPr>
          <w:i/>
          <w:iCs/>
          <w:color w:val="262526"/>
          <w:sz w:val="20"/>
          <w:szCs w:val="20"/>
        </w:rPr>
        <w:t>AI Case Study: Probabilistic Genotyping DNA Tools in Canadian Criminal Courts</w:t>
      </w:r>
      <w:r w:rsidRPr="0044654D">
        <w:rPr>
          <w:color w:val="262526"/>
          <w:sz w:val="20"/>
          <w:szCs w:val="20"/>
        </w:rPr>
        <w:t xml:space="preserve"> (2021) at 7</w:t>
      </w:r>
      <w:r w:rsidR="00574257">
        <w:rPr>
          <w:color w:val="262526"/>
          <w:sz w:val="20"/>
          <w:szCs w:val="20"/>
        </w:rPr>
        <w:t xml:space="preserve">, online: </w:t>
      </w:r>
      <w:hyperlink r:id="rId5" w:history="1">
        <w:r w:rsidR="00574257" w:rsidRPr="00F9124D">
          <w:rPr>
            <w:rStyle w:val="Hyperlink"/>
            <w:sz w:val="20"/>
            <w:szCs w:val="20"/>
          </w:rPr>
          <w:t>https://www.lco-cdo.org/wp-content/uploads/2021/06/AI-PG-Case-Study-Final-EN-June-2021-2.pdf</w:t>
        </w:r>
      </w:hyperlink>
      <w:r w:rsidR="00574257">
        <w:rPr>
          <w:color w:val="262526"/>
          <w:sz w:val="20"/>
          <w:szCs w:val="20"/>
        </w:rPr>
        <w:t xml:space="preserve">. </w:t>
      </w:r>
    </w:p>
  </w:endnote>
  <w:endnote w:id="7">
    <w:p w14:paraId="0B6199B0" w14:textId="454BB495" w:rsidR="00630390" w:rsidRPr="0044654D" w:rsidRDefault="00630390" w:rsidP="00AA6713">
      <w:pPr>
        <w:pStyle w:val="EndnoteText"/>
        <w:rPr>
          <w:color w:val="262526"/>
          <w:szCs w:val="20"/>
        </w:rPr>
      </w:pPr>
      <w:r w:rsidRPr="0044654D">
        <w:rPr>
          <w:rStyle w:val="EndnoteReference"/>
          <w:szCs w:val="20"/>
        </w:rPr>
        <w:endnoteRef/>
      </w:r>
      <w:r w:rsidRPr="0044654D">
        <w:rPr>
          <w:szCs w:val="20"/>
        </w:rPr>
        <w:t xml:space="preserve"> </w:t>
      </w:r>
      <w:r w:rsidRPr="0044654D">
        <w:rPr>
          <w:color w:val="262526"/>
          <w:szCs w:val="20"/>
        </w:rPr>
        <w:t xml:space="preserve">Law Commission of Ontario, </w:t>
      </w:r>
      <w:r w:rsidRPr="0044654D">
        <w:rPr>
          <w:i/>
          <w:iCs/>
          <w:color w:val="262526"/>
          <w:szCs w:val="20"/>
        </w:rPr>
        <w:t>AI Case Study: Probabilistic Genotyping DNA Tools in Canadian Criminal Courts</w:t>
      </w:r>
      <w:r w:rsidRPr="0044654D">
        <w:rPr>
          <w:color w:val="262526"/>
          <w:szCs w:val="20"/>
        </w:rPr>
        <w:t xml:space="preserve"> (2021) at 7</w:t>
      </w:r>
      <w:r w:rsidR="00574257">
        <w:rPr>
          <w:color w:val="262526"/>
          <w:szCs w:val="20"/>
        </w:rPr>
        <w:t xml:space="preserve">, online: </w:t>
      </w:r>
      <w:hyperlink r:id="rId6" w:history="1">
        <w:r w:rsidR="00574257" w:rsidRPr="00F9124D">
          <w:rPr>
            <w:rStyle w:val="Hyperlink"/>
            <w:szCs w:val="20"/>
          </w:rPr>
          <w:t>https://www.lco-cdo.org/wp-content/uploads/2021/06/AI-PG-Case-Study-Final-EN-June-2021-2.pdf</w:t>
        </w:r>
      </w:hyperlink>
      <w:r w:rsidR="00574257">
        <w:rPr>
          <w:color w:val="262526"/>
          <w:szCs w:val="20"/>
        </w:rPr>
        <w:t>.</w:t>
      </w:r>
    </w:p>
  </w:endnote>
  <w:endnote w:id="8">
    <w:p w14:paraId="74D1C6D1" w14:textId="499AFE3D" w:rsidR="00630390" w:rsidRPr="0044654D" w:rsidRDefault="00630390" w:rsidP="00270F9B">
      <w:pPr>
        <w:pStyle w:val="EndnoteText"/>
        <w:rPr>
          <w:szCs w:val="20"/>
          <w:lang w:val="en-US"/>
        </w:rPr>
      </w:pPr>
      <w:r w:rsidRPr="0044654D">
        <w:rPr>
          <w:rStyle w:val="EndnoteReference"/>
          <w:szCs w:val="20"/>
        </w:rPr>
        <w:endnoteRef/>
      </w:r>
      <w:r w:rsidRPr="0044654D">
        <w:rPr>
          <w:szCs w:val="20"/>
        </w:rPr>
        <w:t xml:space="preserve"> </w:t>
      </w:r>
      <w:r w:rsidRPr="0044654D">
        <w:rPr>
          <w:color w:val="262526"/>
          <w:szCs w:val="20"/>
        </w:rPr>
        <w:t xml:space="preserve">Law Commission of Ontario, </w:t>
      </w:r>
      <w:r w:rsidRPr="0044654D">
        <w:rPr>
          <w:i/>
          <w:iCs/>
          <w:color w:val="262526"/>
          <w:szCs w:val="20"/>
        </w:rPr>
        <w:t>AI Case Study: Probabilistic Genotyping DNA Tools in Canadian Criminal Courts</w:t>
      </w:r>
      <w:r w:rsidRPr="0044654D">
        <w:rPr>
          <w:color w:val="262526"/>
          <w:szCs w:val="20"/>
        </w:rPr>
        <w:t xml:space="preserve"> (2021) at 7</w:t>
      </w:r>
      <w:r w:rsidR="00574257">
        <w:rPr>
          <w:color w:val="262526"/>
          <w:szCs w:val="20"/>
        </w:rPr>
        <w:t xml:space="preserve">, online: </w:t>
      </w:r>
      <w:hyperlink r:id="rId7" w:history="1">
        <w:r w:rsidR="00574257" w:rsidRPr="00F9124D">
          <w:rPr>
            <w:rStyle w:val="Hyperlink"/>
            <w:szCs w:val="20"/>
          </w:rPr>
          <w:t>https://www.lco-cdo.org/wp-content/uploads/2021/06/AI-PG-Case-Study-Final-EN-June-2021-2.pdf</w:t>
        </w:r>
      </w:hyperlink>
      <w:r w:rsidR="00574257">
        <w:rPr>
          <w:color w:val="262526"/>
          <w:szCs w:val="20"/>
        </w:rPr>
        <w:t>.</w:t>
      </w:r>
    </w:p>
  </w:endnote>
  <w:endnote w:id="9">
    <w:p w14:paraId="10620C19" w14:textId="5AAF926E" w:rsidR="00630390" w:rsidRPr="0044654D" w:rsidRDefault="00630390" w:rsidP="00D6562E">
      <w:pPr>
        <w:pStyle w:val="EndnoteText"/>
        <w:rPr>
          <w:szCs w:val="20"/>
        </w:rPr>
      </w:pPr>
      <w:r w:rsidRPr="0044654D">
        <w:rPr>
          <w:rStyle w:val="EndnoteReference"/>
          <w:szCs w:val="20"/>
        </w:rPr>
        <w:endnoteRef/>
      </w:r>
      <w:r w:rsidRPr="0044654D">
        <w:rPr>
          <w:szCs w:val="20"/>
        </w:rPr>
        <w:t xml:space="preserve"> See Paul W Grimm, Maura R Grossman &amp; Gordon V Cormack, “Artificial Intelligence as Evidence” (19:1 Northwestern J Tech and IP 9</w:t>
      </w:r>
      <w:r w:rsidR="00F54BAD">
        <w:rPr>
          <w:szCs w:val="20"/>
        </w:rPr>
        <w:t xml:space="preserve"> (</w:t>
      </w:r>
      <w:r w:rsidR="00F54BAD" w:rsidRPr="00F54BAD">
        <w:rPr>
          <w:szCs w:val="20"/>
        </w:rPr>
        <w:t>2021)</w:t>
      </w:r>
      <w:r w:rsidR="00F54BAD">
        <w:rPr>
          <w:szCs w:val="20"/>
        </w:rPr>
        <w:t>)</w:t>
      </w:r>
      <w:r w:rsidRPr="0044654D">
        <w:rPr>
          <w:szCs w:val="20"/>
        </w:rPr>
        <w:t xml:space="preserve"> at 34-35, online: </w:t>
      </w:r>
      <w:hyperlink r:id="rId8" w:history="1">
        <w:r w:rsidRPr="0044654D">
          <w:rPr>
            <w:rStyle w:val="Hyperlink"/>
            <w:szCs w:val="20"/>
          </w:rPr>
          <w:t>https://scholarlycommons.law.northwestern.edu/njtip/vol19/iss1/2/</w:t>
        </w:r>
      </w:hyperlink>
      <w:r w:rsidRPr="0044654D">
        <w:rPr>
          <w:szCs w:val="20"/>
        </w:rPr>
        <w:t>.</w:t>
      </w:r>
    </w:p>
  </w:endnote>
  <w:endnote w:id="10">
    <w:p w14:paraId="1C76C438" w14:textId="77777777" w:rsidR="00630390" w:rsidRPr="0044654D" w:rsidRDefault="00630390" w:rsidP="00D6562E">
      <w:pPr>
        <w:pStyle w:val="EndnoteText"/>
        <w:rPr>
          <w:szCs w:val="20"/>
        </w:rPr>
      </w:pPr>
      <w:r w:rsidRPr="0044654D">
        <w:rPr>
          <w:rStyle w:val="EndnoteReference"/>
          <w:szCs w:val="20"/>
        </w:rPr>
        <w:endnoteRef/>
      </w:r>
      <w:r w:rsidRPr="0044654D">
        <w:rPr>
          <w:szCs w:val="20"/>
        </w:rPr>
        <w:t xml:space="preserve"> See J Facciola &amp; N Mignanelli, “Artificial Intelligence, Legal Research, and Judicial</w:t>
      </w:r>
    </w:p>
    <w:p w14:paraId="13526779" w14:textId="77777777" w:rsidR="00630390" w:rsidRPr="0044654D" w:rsidRDefault="00630390" w:rsidP="00D6562E">
      <w:pPr>
        <w:pStyle w:val="EndnoteText"/>
        <w:rPr>
          <w:szCs w:val="20"/>
        </w:rPr>
      </w:pPr>
      <w:r w:rsidRPr="0044654D">
        <w:rPr>
          <w:szCs w:val="20"/>
        </w:rPr>
        <w:t xml:space="preserve">Analytics” in </w:t>
      </w:r>
      <w:r w:rsidRPr="0044654D">
        <w:rPr>
          <w:i/>
          <w:iCs/>
          <w:szCs w:val="20"/>
        </w:rPr>
        <w:t>Artificial Intelligence and the Courts: Materials for Judges</w:t>
      </w:r>
      <w:r w:rsidRPr="0044654D">
        <w:rPr>
          <w:szCs w:val="20"/>
        </w:rPr>
        <w:t xml:space="preserve"> (American Association for</w:t>
      </w:r>
    </w:p>
    <w:p w14:paraId="5B58393D" w14:textId="3FBD0709" w:rsidR="00630390" w:rsidRPr="0044654D" w:rsidRDefault="00630390" w:rsidP="00D6562E">
      <w:pPr>
        <w:pStyle w:val="EndnoteText"/>
        <w:rPr>
          <w:szCs w:val="20"/>
          <w:lang w:val="en-US"/>
        </w:rPr>
      </w:pPr>
      <w:r w:rsidRPr="0044654D">
        <w:rPr>
          <w:szCs w:val="20"/>
        </w:rPr>
        <w:t xml:space="preserve">the Advancement of Science, 2022) at 7, </w:t>
      </w:r>
      <w:r w:rsidR="00F54BAD">
        <w:rPr>
          <w:szCs w:val="20"/>
        </w:rPr>
        <w:t>online</w:t>
      </w:r>
      <w:r w:rsidRPr="0044654D">
        <w:rPr>
          <w:szCs w:val="20"/>
        </w:rPr>
        <w:t xml:space="preserve">: </w:t>
      </w:r>
      <w:hyperlink r:id="rId9" w:history="1">
        <w:r w:rsidRPr="0044654D">
          <w:rPr>
            <w:rStyle w:val="Hyperlink"/>
            <w:szCs w:val="20"/>
          </w:rPr>
          <w:t>https://doi.org/10.1126/aaas.adf0787</w:t>
        </w:r>
      </w:hyperlink>
      <w:r w:rsidRPr="0044654D">
        <w:rPr>
          <w:szCs w:val="20"/>
        </w:rPr>
        <w:t>.</w:t>
      </w:r>
    </w:p>
  </w:endnote>
  <w:endnote w:id="11">
    <w:p w14:paraId="6298C069" w14:textId="3F5E8E38" w:rsidR="00630390" w:rsidRPr="0044654D" w:rsidRDefault="00630390" w:rsidP="00D6562E">
      <w:pPr>
        <w:pStyle w:val="EndnoteText"/>
        <w:rPr>
          <w:szCs w:val="20"/>
          <w:lang w:val="en-US"/>
        </w:rPr>
      </w:pPr>
      <w:r w:rsidRPr="0044654D">
        <w:rPr>
          <w:rStyle w:val="EndnoteReference"/>
          <w:szCs w:val="20"/>
        </w:rPr>
        <w:endnoteRef/>
      </w:r>
      <w:r w:rsidRPr="0044654D">
        <w:rPr>
          <w:szCs w:val="20"/>
        </w:rPr>
        <w:t xml:space="preserve"> Stratton Horres &amp; Karen L Bashor, “AI and the Future of Jury Trials: Technology’s Impact on Civil Litigation,” </w:t>
      </w:r>
      <w:r w:rsidR="00F54BAD">
        <w:rPr>
          <w:szCs w:val="20"/>
        </w:rPr>
        <w:t>(</w:t>
      </w:r>
      <w:r w:rsidRPr="0044654D">
        <w:rPr>
          <w:szCs w:val="20"/>
        </w:rPr>
        <w:t xml:space="preserve">October </w:t>
      </w:r>
      <w:r w:rsidR="00F54BAD">
        <w:rPr>
          <w:szCs w:val="20"/>
        </w:rPr>
        <w:t xml:space="preserve">18 </w:t>
      </w:r>
      <w:r w:rsidRPr="0044654D">
        <w:rPr>
          <w:szCs w:val="20"/>
        </w:rPr>
        <w:t xml:space="preserve">2023), online: </w:t>
      </w:r>
      <w:hyperlink r:id="rId10" w:history="1">
        <w:r w:rsidRPr="0044654D">
          <w:rPr>
            <w:rStyle w:val="Hyperlink"/>
            <w:szCs w:val="20"/>
          </w:rPr>
          <w:t>https://www.theclm.org/Magazine/articles/ai-and-the-future-of-jury-trials/2731</w:t>
        </w:r>
      </w:hyperlink>
      <w:r w:rsidRPr="0044654D">
        <w:rPr>
          <w:szCs w:val="20"/>
        </w:rPr>
        <w:t>.</w:t>
      </w:r>
    </w:p>
  </w:endnote>
  <w:endnote w:id="12">
    <w:p w14:paraId="191A6186" w14:textId="77777777" w:rsidR="00630390" w:rsidRPr="0044654D" w:rsidRDefault="00630390" w:rsidP="00D6562E">
      <w:pPr>
        <w:pStyle w:val="EndnoteText"/>
        <w:rPr>
          <w:szCs w:val="20"/>
          <w:lang w:val="en-US"/>
        </w:rPr>
      </w:pPr>
      <w:r w:rsidRPr="0044654D">
        <w:rPr>
          <w:rStyle w:val="EndnoteReference"/>
          <w:szCs w:val="20"/>
        </w:rPr>
        <w:endnoteRef/>
      </w:r>
      <w:r w:rsidRPr="0044654D">
        <w:rPr>
          <w:szCs w:val="20"/>
        </w:rPr>
        <w:t xml:space="preserve"> See for example Joint Technology Committee, “JTC Resource Bulletin: Introduction to AI for Courts” (5 March 2024) at 9-10, online: </w:t>
      </w:r>
      <w:hyperlink r:id="rId11" w:history="1">
        <w:r w:rsidRPr="0044654D">
          <w:rPr>
            <w:rStyle w:val="Hyperlink"/>
            <w:szCs w:val="20"/>
          </w:rPr>
          <w:t>https://www.ncsc.org/__data/assets/pdf_file/0027/98910/JTC-AI-paper-update-3.5.24.pdf</w:t>
        </w:r>
      </w:hyperlink>
      <w:r w:rsidRPr="0044654D">
        <w:rPr>
          <w:szCs w:val="20"/>
        </w:rPr>
        <w:t>.</w:t>
      </w:r>
    </w:p>
  </w:endnote>
  <w:endnote w:id="13">
    <w:p w14:paraId="43AF3F3F" w14:textId="1D3FE3CA" w:rsidR="00B35B37" w:rsidRDefault="00B35B37">
      <w:pPr>
        <w:pStyle w:val="EndnoteText"/>
      </w:pPr>
      <w:r>
        <w:rPr>
          <w:rStyle w:val="EndnoteReference"/>
        </w:rPr>
        <w:endnoteRef/>
      </w:r>
      <w:r>
        <w:t xml:space="preserve"> </w:t>
      </w:r>
      <w:r w:rsidR="008B69E6" w:rsidRPr="008B69E6">
        <w:t>President's Council of Advisors on Science and Technology</w:t>
      </w:r>
      <w:r w:rsidR="008B69E6">
        <w:t xml:space="preserve">, </w:t>
      </w:r>
      <w:r w:rsidR="008B69E6" w:rsidRPr="008B69E6">
        <w:rPr>
          <w:i/>
          <w:iCs/>
        </w:rPr>
        <w:t>Forensic Science in the Criminal Courts: Ensuring Scientific Validity of Feature-Comparison Methods</w:t>
      </w:r>
      <w:r w:rsidR="008B69E6">
        <w:t xml:space="preserve"> (September 2016), online: </w:t>
      </w:r>
      <w:hyperlink r:id="rId12" w:history="1">
        <w:r w:rsidR="008B69E6" w:rsidRPr="00455C63">
          <w:rPr>
            <w:rStyle w:val="Hyperlink"/>
          </w:rPr>
          <w:t>https://obamawhitehouse.archives.gov/sites/default/files/microsites/ostp/PCAST/pcast_forensic_science_report_final.pdf</w:t>
        </w:r>
      </w:hyperlink>
      <w:r w:rsidR="008B69E6">
        <w:t xml:space="preserve">. </w:t>
      </w:r>
    </w:p>
  </w:endnote>
  <w:endnote w:id="14">
    <w:p w14:paraId="194E317E" w14:textId="530E482A" w:rsidR="00630390" w:rsidRPr="0044654D" w:rsidRDefault="00630390">
      <w:pPr>
        <w:pStyle w:val="EndnoteText"/>
        <w:rPr>
          <w:szCs w:val="20"/>
        </w:rPr>
      </w:pPr>
      <w:r w:rsidRPr="0044654D">
        <w:rPr>
          <w:rStyle w:val="EndnoteReference"/>
          <w:szCs w:val="20"/>
        </w:rPr>
        <w:endnoteRef/>
      </w:r>
      <w:r w:rsidRPr="0044654D">
        <w:rPr>
          <w:szCs w:val="20"/>
        </w:rPr>
        <w:t xml:space="preserve"> </w:t>
      </w:r>
      <w:r w:rsidRPr="00D00854">
        <w:rPr>
          <w:i/>
          <w:iCs/>
          <w:szCs w:val="20"/>
        </w:rPr>
        <w:t>R. v. Singh</w:t>
      </w:r>
      <w:r w:rsidR="00D00854">
        <w:rPr>
          <w:szCs w:val="20"/>
        </w:rPr>
        <w:t xml:space="preserve"> (</w:t>
      </w:r>
      <w:r w:rsidRPr="0044654D">
        <w:rPr>
          <w:szCs w:val="20"/>
        </w:rPr>
        <w:t>2007 SCC 48</w:t>
      </w:r>
      <w:r w:rsidR="00D00854">
        <w:rPr>
          <w:szCs w:val="20"/>
        </w:rPr>
        <w:t>)</w:t>
      </w:r>
      <w:r w:rsidRPr="0044654D">
        <w:rPr>
          <w:szCs w:val="20"/>
        </w:rPr>
        <w:t xml:space="preserve"> at para. 77</w:t>
      </w:r>
    </w:p>
  </w:endnote>
  <w:endnote w:id="15">
    <w:p w14:paraId="7F2E643B" w14:textId="40495C1E" w:rsidR="00630390" w:rsidRPr="0044654D" w:rsidRDefault="00630390" w:rsidP="005B53AD">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D00854">
        <w:rPr>
          <w:i/>
          <w:iCs/>
          <w:szCs w:val="20"/>
        </w:rPr>
        <w:t>.</w:t>
      </w:r>
      <w:r w:rsidRPr="0044654D">
        <w:rPr>
          <w:i/>
          <w:iCs/>
          <w:szCs w:val="20"/>
        </w:rPr>
        <w:t xml:space="preserve"> v</w:t>
      </w:r>
      <w:r w:rsidR="00D00854">
        <w:rPr>
          <w:i/>
          <w:iCs/>
          <w:szCs w:val="20"/>
        </w:rPr>
        <w:t>.</w:t>
      </w:r>
      <w:r w:rsidRPr="0044654D">
        <w:rPr>
          <w:i/>
          <w:iCs/>
          <w:szCs w:val="20"/>
        </w:rPr>
        <w:t xml:space="preserve"> Lyons</w:t>
      </w:r>
      <w:r w:rsidRPr="0044654D">
        <w:rPr>
          <w:szCs w:val="20"/>
        </w:rPr>
        <w:t xml:space="preserve"> ([1987] 2 SCR 309) at para 85.  </w:t>
      </w:r>
    </w:p>
  </w:endnote>
  <w:endnote w:id="16">
    <w:p w14:paraId="31C83826" w14:textId="77777777" w:rsidR="00630390" w:rsidRPr="0044654D" w:rsidRDefault="00630390" w:rsidP="005B53AD">
      <w:pPr>
        <w:pStyle w:val="EndnoteText"/>
        <w:rPr>
          <w:szCs w:val="20"/>
          <w:lang w:val="en-US"/>
        </w:rPr>
      </w:pPr>
      <w:r w:rsidRPr="0044654D">
        <w:rPr>
          <w:rStyle w:val="EndnoteReference"/>
          <w:szCs w:val="20"/>
        </w:rPr>
        <w:endnoteRef/>
      </w:r>
      <w:r w:rsidRPr="0044654D">
        <w:rPr>
          <w:szCs w:val="20"/>
        </w:rPr>
        <w:t xml:space="preserve"> See </w:t>
      </w:r>
      <w:r w:rsidRPr="0044654D">
        <w:rPr>
          <w:i/>
          <w:iCs/>
          <w:szCs w:val="20"/>
        </w:rPr>
        <w:t xml:space="preserve">Re BC Motor Vehicle Act </w:t>
      </w:r>
      <w:r w:rsidRPr="0044654D">
        <w:rPr>
          <w:szCs w:val="20"/>
        </w:rPr>
        <w:t>([1985] 2 SCR 486).</w:t>
      </w:r>
    </w:p>
  </w:endnote>
  <w:endnote w:id="17">
    <w:p w14:paraId="691EE849" w14:textId="4B6FC84C" w:rsidR="00630390" w:rsidRPr="0044654D" w:rsidRDefault="00630390" w:rsidP="005B53AD">
      <w:pPr>
        <w:pStyle w:val="EndnoteText"/>
        <w:rPr>
          <w:szCs w:val="20"/>
          <w:lang w:val="en-US"/>
        </w:rPr>
      </w:pPr>
      <w:r w:rsidRPr="0044654D">
        <w:rPr>
          <w:rStyle w:val="EndnoteReference"/>
          <w:szCs w:val="20"/>
        </w:rPr>
        <w:endnoteRef/>
      </w:r>
      <w:r w:rsidRPr="0044654D">
        <w:rPr>
          <w:szCs w:val="20"/>
        </w:rPr>
        <w:t xml:space="preserve"> See </w:t>
      </w:r>
      <w:r w:rsidRPr="0044654D">
        <w:rPr>
          <w:i/>
          <w:iCs/>
          <w:szCs w:val="20"/>
        </w:rPr>
        <w:t>R</w:t>
      </w:r>
      <w:r w:rsidR="00D00854">
        <w:rPr>
          <w:i/>
          <w:iCs/>
          <w:szCs w:val="20"/>
        </w:rPr>
        <w:t>.</w:t>
      </w:r>
      <w:r w:rsidRPr="0044654D">
        <w:rPr>
          <w:i/>
          <w:iCs/>
          <w:szCs w:val="20"/>
        </w:rPr>
        <w:t xml:space="preserve"> v</w:t>
      </w:r>
      <w:r w:rsidR="00D00854">
        <w:rPr>
          <w:i/>
          <w:iCs/>
          <w:szCs w:val="20"/>
        </w:rPr>
        <w:t>.</w:t>
      </w:r>
      <w:r w:rsidRPr="0044654D">
        <w:rPr>
          <w:i/>
          <w:iCs/>
          <w:szCs w:val="20"/>
        </w:rPr>
        <w:t xml:space="preserve"> Nahanee </w:t>
      </w:r>
      <w:r w:rsidRPr="0044654D">
        <w:rPr>
          <w:szCs w:val="20"/>
        </w:rPr>
        <w:t>(2022 SCC 37).</w:t>
      </w:r>
    </w:p>
  </w:endnote>
  <w:endnote w:id="18">
    <w:p w14:paraId="61C23A98" w14:textId="037D9470" w:rsidR="00630390" w:rsidRPr="0044654D" w:rsidRDefault="00630390" w:rsidP="005B53AD">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D00854">
        <w:rPr>
          <w:i/>
          <w:iCs/>
          <w:szCs w:val="20"/>
        </w:rPr>
        <w:t>.</w:t>
      </w:r>
      <w:r w:rsidRPr="0044654D">
        <w:rPr>
          <w:i/>
          <w:iCs/>
          <w:szCs w:val="20"/>
        </w:rPr>
        <w:t xml:space="preserve"> v</w:t>
      </w:r>
      <w:r w:rsidR="00D00854">
        <w:rPr>
          <w:i/>
          <w:iCs/>
          <w:szCs w:val="20"/>
        </w:rPr>
        <w:t>.</w:t>
      </w:r>
      <w:r w:rsidRPr="0044654D">
        <w:rPr>
          <w:i/>
          <w:iCs/>
          <w:szCs w:val="20"/>
        </w:rPr>
        <w:t xml:space="preserve"> Nahanee </w:t>
      </w:r>
      <w:r w:rsidRPr="0044654D">
        <w:rPr>
          <w:szCs w:val="20"/>
        </w:rPr>
        <w:t>(2022 SCC 37).</w:t>
      </w:r>
    </w:p>
  </w:endnote>
  <w:endnote w:id="19">
    <w:p w14:paraId="734EBFA5" w14:textId="367E4C60" w:rsidR="00630390" w:rsidRPr="0044654D" w:rsidRDefault="00630390" w:rsidP="005B53AD">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D00854">
        <w:rPr>
          <w:i/>
          <w:iCs/>
          <w:szCs w:val="20"/>
        </w:rPr>
        <w:t>.</w:t>
      </w:r>
      <w:r w:rsidRPr="0044654D">
        <w:rPr>
          <w:i/>
          <w:iCs/>
          <w:szCs w:val="20"/>
        </w:rPr>
        <w:t xml:space="preserve"> v</w:t>
      </w:r>
      <w:r w:rsidR="00D00854">
        <w:rPr>
          <w:i/>
          <w:iCs/>
          <w:szCs w:val="20"/>
        </w:rPr>
        <w:t>.</w:t>
      </w:r>
      <w:r w:rsidRPr="0044654D">
        <w:rPr>
          <w:i/>
          <w:iCs/>
          <w:szCs w:val="20"/>
        </w:rPr>
        <w:t xml:space="preserve"> GC</w:t>
      </w:r>
      <w:r w:rsidRPr="0044654D">
        <w:rPr>
          <w:szCs w:val="20"/>
        </w:rPr>
        <w:t xml:space="preserve"> (2010 ONSC 115) at para 39.</w:t>
      </w:r>
    </w:p>
  </w:endnote>
  <w:endnote w:id="20">
    <w:p w14:paraId="2F1B0265" w14:textId="3B996660" w:rsidR="00630390" w:rsidRPr="0044654D" w:rsidRDefault="00630390" w:rsidP="005B53AD">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D00854">
        <w:rPr>
          <w:i/>
          <w:iCs/>
          <w:szCs w:val="20"/>
        </w:rPr>
        <w:t>.</w:t>
      </w:r>
      <w:r w:rsidRPr="0044654D">
        <w:rPr>
          <w:i/>
          <w:iCs/>
          <w:szCs w:val="20"/>
        </w:rPr>
        <w:t xml:space="preserve"> v</w:t>
      </w:r>
      <w:r w:rsidR="00D00854">
        <w:rPr>
          <w:i/>
          <w:iCs/>
          <w:szCs w:val="20"/>
        </w:rPr>
        <w:t>.</w:t>
      </w:r>
      <w:r w:rsidRPr="0044654D">
        <w:rPr>
          <w:i/>
          <w:iCs/>
          <w:szCs w:val="20"/>
        </w:rPr>
        <w:t xml:space="preserve"> Kahsai</w:t>
      </w:r>
      <w:r w:rsidRPr="0044654D">
        <w:rPr>
          <w:szCs w:val="20"/>
        </w:rPr>
        <w:t xml:space="preserve"> (2023 SCC 20) at paras 43-44; </w:t>
      </w:r>
      <w:r w:rsidRPr="0044654D">
        <w:rPr>
          <w:i/>
          <w:iCs/>
          <w:szCs w:val="20"/>
        </w:rPr>
        <w:t>R v GDB</w:t>
      </w:r>
      <w:r w:rsidRPr="0044654D">
        <w:rPr>
          <w:szCs w:val="20"/>
        </w:rPr>
        <w:t xml:space="preserve"> (2000 SCC 22) at para 34.</w:t>
      </w:r>
    </w:p>
  </w:endnote>
  <w:endnote w:id="21">
    <w:p w14:paraId="3A37B449" w14:textId="2407A7EA" w:rsidR="00630390" w:rsidRPr="0044654D" w:rsidRDefault="00630390" w:rsidP="005B53AD">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D00854">
        <w:rPr>
          <w:i/>
          <w:iCs/>
          <w:szCs w:val="20"/>
        </w:rPr>
        <w:t>.</w:t>
      </w:r>
      <w:r w:rsidRPr="0044654D">
        <w:rPr>
          <w:i/>
          <w:iCs/>
          <w:szCs w:val="20"/>
        </w:rPr>
        <w:t xml:space="preserve"> v</w:t>
      </w:r>
      <w:r w:rsidR="00D00854">
        <w:rPr>
          <w:i/>
          <w:iCs/>
          <w:szCs w:val="20"/>
        </w:rPr>
        <w:t>.</w:t>
      </w:r>
      <w:r w:rsidRPr="0044654D">
        <w:rPr>
          <w:i/>
          <w:iCs/>
          <w:szCs w:val="20"/>
        </w:rPr>
        <w:t xml:space="preserve"> Barton</w:t>
      </w:r>
      <w:r w:rsidRPr="0044654D">
        <w:rPr>
          <w:szCs w:val="20"/>
        </w:rPr>
        <w:t xml:space="preserve"> (2019</w:t>
      </w:r>
      <w:r w:rsidRPr="0044654D">
        <w:rPr>
          <w:i/>
          <w:iCs/>
          <w:szCs w:val="20"/>
        </w:rPr>
        <w:t xml:space="preserve"> </w:t>
      </w:r>
      <w:r w:rsidRPr="0044654D">
        <w:rPr>
          <w:szCs w:val="20"/>
        </w:rPr>
        <w:t>SCC 33) at para 47.</w:t>
      </w:r>
    </w:p>
  </w:endnote>
  <w:endnote w:id="22">
    <w:p w14:paraId="060C14F6" w14:textId="009C38C8" w:rsidR="00630390" w:rsidRPr="0044654D" w:rsidRDefault="00630390" w:rsidP="005B53AD">
      <w:pPr>
        <w:pStyle w:val="EndnoteText"/>
        <w:rPr>
          <w:szCs w:val="20"/>
          <w:lang w:val="en-US"/>
        </w:rPr>
      </w:pPr>
      <w:r w:rsidRPr="0044654D">
        <w:rPr>
          <w:rStyle w:val="EndnoteReference"/>
          <w:szCs w:val="20"/>
        </w:rPr>
        <w:endnoteRef/>
      </w:r>
      <w:r w:rsidRPr="0044654D">
        <w:rPr>
          <w:szCs w:val="20"/>
        </w:rPr>
        <w:t xml:space="preserve"> See </w:t>
      </w:r>
      <w:r w:rsidRPr="0044654D">
        <w:rPr>
          <w:i/>
          <w:iCs/>
          <w:szCs w:val="20"/>
        </w:rPr>
        <w:t>R</w:t>
      </w:r>
      <w:r w:rsidR="00D00854">
        <w:rPr>
          <w:i/>
          <w:iCs/>
          <w:szCs w:val="20"/>
        </w:rPr>
        <w:t>.</w:t>
      </w:r>
      <w:r w:rsidRPr="0044654D">
        <w:rPr>
          <w:i/>
          <w:iCs/>
          <w:szCs w:val="20"/>
        </w:rPr>
        <w:t xml:space="preserve"> v</w:t>
      </w:r>
      <w:r w:rsidR="00D00854">
        <w:rPr>
          <w:i/>
          <w:iCs/>
          <w:szCs w:val="20"/>
        </w:rPr>
        <w:t>.</w:t>
      </w:r>
      <w:r w:rsidRPr="0044654D">
        <w:rPr>
          <w:i/>
          <w:iCs/>
          <w:szCs w:val="20"/>
        </w:rPr>
        <w:t xml:space="preserve"> Nahanee </w:t>
      </w:r>
      <w:r w:rsidRPr="0044654D">
        <w:rPr>
          <w:szCs w:val="20"/>
        </w:rPr>
        <w:t>(2022 SCC 37)</w:t>
      </w:r>
      <w:r w:rsidRPr="0044654D">
        <w:rPr>
          <w:i/>
          <w:iCs/>
          <w:szCs w:val="20"/>
        </w:rPr>
        <w:t>; R</w:t>
      </w:r>
      <w:r w:rsidR="00AB1E76">
        <w:rPr>
          <w:i/>
          <w:iCs/>
          <w:szCs w:val="20"/>
        </w:rPr>
        <w:t>.</w:t>
      </w:r>
      <w:r w:rsidRPr="0044654D">
        <w:rPr>
          <w:i/>
          <w:iCs/>
          <w:szCs w:val="20"/>
        </w:rPr>
        <w:t xml:space="preserve"> v</w:t>
      </w:r>
      <w:r w:rsidR="00AB1E76">
        <w:rPr>
          <w:i/>
          <w:iCs/>
          <w:szCs w:val="20"/>
        </w:rPr>
        <w:t>.</w:t>
      </w:r>
      <w:r w:rsidRPr="0044654D">
        <w:rPr>
          <w:i/>
          <w:iCs/>
          <w:szCs w:val="20"/>
        </w:rPr>
        <w:t xml:space="preserve"> GC</w:t>
      </w:r>
      <w:r w:rsidRPr="0044654D">
        <w:rPr>
          <w:szCs w:val="20"/>
        </w:rPr>
        <w:t xml:space="preserve"> (2010 ONSC 115) at paras 37-39</w:t>
      </w:r>
      <w:r w:rsidRPr="0044654D">
        <w:rPr>
          <w:i/>
          <w:iCs/>
          <w:szCs w:val="20"/>
        </w:rPr>
        <w:t>; R</w:t>
      </w:r>
      <w:r w:rsidR="00AB1E76">
        <w:rPr>
          <w:i/>
          <w:iCs/>
          <w:szCs w:val="20"/>
        </w:rPr>
        <w:t>.</w:t>
      </w:r>
      <w:r w:rsidRPr="0044654D">
        <w:rPr>
          <w:i/>
          <w:iCs/>
          <w:szCs w:val="20"/>
        </w:rPr>
        <w:t xml:space="preserve"> v</w:t>
      </w:r>
      <w:r w:rsidR="00AB1E76">
        <w:rPr>
          <w:i/>
          <w:iCs/>
          <w:szCs w:val="20"/>
        </w:rPr>
        <w:t>.</w:t>
      </w:r>
      <w:r w:rsidRPr="0044654D">
        <w:rPr>
          <w:i/>
          <w:iCs/>
          <w:szCs w:val="20"/>
        </w:rPr>
        <w:t xml:space="preserve"> McDonald </w:t>
      </w:r>
      <w:r w:rsidRPr="0044654D">
        <w:rPr>
          <w:szCs w:val="20"/>
        </w:rPr>
        <w:t>(2018 ONCA 369).</w:t>
      </w:r>
    </w:p>
  </w:endnote>
  <w:endnote w:id="23">
    <w:p w14:paraId="188CDCF0" w14:textId="2C6ED60A" w:rsidR="00630390" w:rsidRPr="0044654D" w:rsidRDefault="00630390" w:rsidP="005B53AD">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D00854">
        <w:rPr>
          <w:i/>
          <w:iCs/>
          <w:szCs w:val="20"/>
        </w:rPr>
        <w:t>.</w:t>
      </w:r>
      <w:r w:rsidRPr="0044654D">
        <w:rPr>
          <w:i/>
          <w:iCs/>
          <w:szCs w:val="20"/>
        </w:rPr>
        <w:t xml:space="preserve"> v</w:t>
      </w:r>
      <w:r w:rsidR="00D00854">
        <w:rPr>
          <w:i/>
          <w:iCs/>
          <w:szCs w:val="20"/>
        </w:rPr>
        <w:t>.</w:t>
      </w:r>
      <w:r w:rsidRPr="0044654D">
        <w:rPr>
          <w:i/>
          <w:iCs/>
          <w:szCs w:val="20"/>
        </w:rPr>
        <w:t xml:space="preserve"> Sheppard</w:t>
      </w:r>
      <w:r w:rsidRPr="0044654D">
        <w:rPr>
          <w:szCs w:val="20"/>
        </w:rPr>
        <w:t xml:space="preserve"> (2002 SCC 26) at paras 18, 42, 46, 53-55.</w:t>
      </w:r>
    </w:p>
  </w:endnote>
  <w:endnote w:id="24">
    <w:p w14:paraId="4C1626CA" w14:textId="674B3BD3" w:rsidR="00630390" w:rsidRPr="0044654D" w:rsidRDefault="00630390">
      <w:pPr>
        <w:pStyle w:val="EndnoteText"/>
        <w:rPr>
          <w:szCs w:val="20"/>
        </w:rPr>
      </w:pPr>
      <w:r w:rsidRPr="0044654D">
        <w:rPr>
          <w:rStyle w:val="EndnoteReference"/>
          <w:szCs w:val="20"/>
        </w:rPr>
        <w:endnoteRef/>
      </w:r>
      <w:r w:rsidRPr="0044654D">
        <w:rPr>
          <w:szCs w:val="20"/>
        </w:rPr>
        <w:t xml:space="preserve"> </w:t>
      </w:r>
      <w:r w:rsidRPr="00AB1E76">
        <w:rPr>
          <w:i/>
          <w:iCs/>
          <w:szCs w:val="20"/>
        </w:rPr>
        <w:t>Canadian Egg Marketing Agency v. Richardson</w:t>
      </w:r>
      <w:r w:rsidRPr="0044654D">
        <w:rPr>
          <w:szCs w:val="20"/>
        </w:rPr>
        <w:t xml:space="preserve">, </w:t>
      </w:r>
      <w:r w:rsidR="00AB1E76">
        <w:rPr>
          <w:szCs w:val="20"/>
        </w:rPr>
        <w:t>(</w:t>
      </w:r>
      <w:r w:rsidRPr="0044654D">
        <w:rPr>
          <w:szCs w:val="20"/>
        </w:rPr>
        <w:t>1997 CanLII 17020 (SCC)</w:t>
      </w:r>
      <w:r w:rsidR="00AB1E76">
        <w:rPr>
          <w:szCs w:val="20"/>
        </w:rPr>
        <w:t>)</w:t>
      </w:r>
      <w:r w:rsidRPr="0044654D">
        <w:rPr>
          <w:szCs w:val="20"/>
        </w:rPr>
        <w:t xml:space="preserve"> at para. 57</w:t>
      </w:r>
    </w:p>
  </w:endnote>
  <w:endnote w:id="25">
    <w:p w14:paraId="1F624407" w14:textId="5BB7421E" w:rsidR="00630390" w:rsidRPr="0044654D" w:rsidRDefault="00630390">
      <w:pPr>
        <w:pStyle w:val="EndnoteText"/>
        <w:rPr>
          <w:szCs w:val="20"/>
        </w:rPr>
      </w:pPr>
      <w:r w:rsidRPr="0044654D">
        <w:rPr>
          <w:rStyle w:val="EndnoteReference"/>
          <w:szCs w:val="20"/>
        </w:rPr>
        <w:endnoteRef/>
      </w:r>
      <w:r w:rsidRPr="0044654D">
        <w:rPr>
          <w:szCs w:val="20"/>
        </w:rPr>
        <w:t xml:space="preserve"> </w:t>
      </w:r>
      <w:r w:rsidR="00AB1E76">
        <w:rPr>
          <w:i/>
          <w:iCs/>
          <w:szCs w:val="20"/>
        </w:rPr>
        <w:t xml:space="preserve">Charter of Rights and Freedoms </w:t>
      </w:r>
      <w:r w:rsidR="00AB1E76">
        <w:rPr>
          <w:szCs w:val="20"/>
        </w:rPr>
        <w:t>a</w:t>
      </w:r>
      <w:r w:rsidRPr="0044654D">
        <w:rPr>
          <w:szCs w:val="20"/>
        </w:rPr>
        <w:t>t s. 1.</w:t>
      </w:r>
    </w:p>
  </w:endnote>
  <w:endnote w:id="26">
    <w:p w14:paraId="108B6B0F" w14:textId="5DD60752" w:rsidR="00630390" w:rsidRPr="0044654D" w:rsidRDefault="00630390" w:rsidP="002D31CD">
      <w:pPr>
        <w:pStyle w:val="EndnoteText"/>
        <w:rPr>
          <w:szCs w:val="20"/>
        </w:rPr>
      </w:pPr>
      <w:r w:rsidRPr="0044654D">
        <w:rPr>
          <w:rStyle w:val="EndnoteReference"/>
          <w:szCs w:val="20"/>
        </w:rPr>
        <w:endnoteRef/>
      </w:r>
      <w:r w:rsidRPr="0044654D">
        <w:rPr>
          <w:szCs w:val="20"/>
        </w:rPr>
        <w:t xml:space="preserve"> See </w:t>
      </w:r>
      <w:r w:rsidRPr="0044654D">
        <w:rPr>
          <w:rStyle w:val="ssit"/>
          <w:i/>
          <w:iCs/>
          <w:color w:val="212121"/>
          <w:szCs w:val="20"/>
          <w:bdr w:val="none" w:sz="0" w:space="0" w:color="auto" w:frame="1"/>
          <w:shd w:val="clear" w:color="auto" w:fill="FFFFFF"/>
        </w:rPr>
        <w:t>Hunter et</w:t>
      </w:r>
      <w:r w:rsidR="00637F86">
        <w:rPr>
          <w:rStyle w:val="ssit"/>
          <w:i/>
          <w:iCs/>
          <w:color w:val="212121"/>
          <w:szCs w:val="20"/>
          <w:bdr w:val="none" w:sz="0" w:space="0" w:color="auto" w:frame="1"/>
          <w:shd w:val="clear" w:color="auto" w:fill="FFFFFF"/>
        </w:rPr>
        <w:t>.</w:t>
      </w:r>
      <w:r w:rsidRPr="0044654D">
        <w:rPr>
          <w:rStyle w:val="ssit"/>
          <w:i/>
          <w:iCs/>
          <w:color w:val="212121"/>
          <w:szCs w:val="20"/>
          <w:bdr w:val="none" w:sz="0" w:space="0" w:color="auto" w:frame="1"/>
          <w:shd w:val="clear" w:color="auto" w:fill="FFFFFF"/>
        </w:rPr>
        <w:t xml:space="preserve"> </w:t>
      </w:r>
      <w:r w:rsidR="00637F86">
        <w:rPr>
          <w:rStyle w:val="ssit"/>
          <w:i/>
          <w:iCs/>
          <w:color w:val="212121"/>
          <w:szCs w:val="20"/>
          <w:bdr w:val="none" w:sz="0" w:space="0" w:color="auto" w:frame="1"/>
          <w:shd w:val="clear" w:color="auto" w:fill="FFFFFF"/>
        </w:rPr>
        <w:t>a</w:t>
      </w:r>
      <w:r w:rsidRPr="0044654D">
        <w:rPr>
          <w:rStyle w:val="ssit"/>
          <w:i/>
          <w:iCs/>
          <w:color w:val="212121"/>
          <w:szCs w:val="20"/>
          <w:bdr w:val="none" w:sz="0" w:space="0" w:color="auto" w:frame="1"/>
          <w:shd w:val="clear" w:color="auto" w:fill="FFFFFF"/>
        </w:rPr>
        <w:t>l</w:t>
      </w:r>
      <w:r w:rsidR="00637F86">
        <w:rPr>
          <w:rStyle w:val="ssit"/>
          <w:i/>
          <w:iCs/>
          <w:color w:val="212121"/>
          <w:szCs w:val="20"/>
          <w:bdr w:val="none" w:sz="0" w:space="0" w:color="auto" w:frame="1"/>
          <w:shd w:val="clear" w:color="auto" w:fill="FFFFFF"/>
        </w:rPr>
        <w:t>.</w:t>
      </w:r>
      <w:r w:rsidRPr="0044654D">
        <w:rPr>
          <w:rStyle w:val="ssit"/>
          <w:i/>
          <w:iCs/>
          <w:color w:val="212121"/>
          <w:szCs w:val="20"/>
          <w:bdr w:val="none" w:sz="0" w:space="0" w:color="auto" w:frame="1"/>
          <w:shd w:val="clear" w:color="auto" w:fill="FFFFFF"/>
        </w:rPr>
        <w:t xml:space="preserve"> v</w:t>
      </w:r>
      <w:r w:rsidR="00637F86">
        <w:rPr>
          <w:rStyle w:val="ssit"/>
          <w:i/>
          <w:iCs/>
          <w:color w:val="212121"/>
          <w:szCs w:val="20"/>
          <w:bdr w:val="none" w:sz="0" w:space="0" w:color="auto" w:frame="1"/>
          <w:shd w:val="clear" w:color="auto" w:fill="FFFFFF"/>
        </w:rPr>
        <w:t>.</w:t>
      </w:r>
      <w:r w:rsidRPr="0044654D">
        <w:rPr>
          <w:rStyle w:val="ssit"/>
          <w:i/>
          <w:iCs/>
          <w:color w:val="212121"/>
          <w:szCs w:val="20"/>
          <w:bdr w:val="none" w:sz="0" w:space="0" w:color="auto" w:frame="1"/>
          <w:shd w:val="clear" w:color="auto" w:fill="FFFFFF"/>
        </w:rPr>
        <w:t xml:space="preserve"> Southam Inc.</w:t>
      </w:r>
      <w:r w:rsidRPr="0044654D">
        <w:rPr>
          <w:color w:val="212121"/>
          <w:szCs w:val="20"/>
          <w:shd w:val="clear" w:color="auto" w:fill="FFFFFF"/>
        </w:rPr>
        <w:t> (</w:t>
      </w:r>
      <w:r w:rsidRPr="0044654D">
        <w:rPr>
          <w:szCs w:val="20"/>
          <w:bdr w:val="none" w:sz="0" w:space="0" w:color="auto" w:frame="1"/>
          <w:shd w:val="clear" w:color="auto" w:fill="FFFFFF"/>
        </w:rPr>
        <w:t>[1984] 2 SCR 145).</w:t>
      </w:r>
    </w:p>
  </w:endnote>
  <w:endnote w:id="27">
    <w:p w14:paraId="4F96CB7B" w14:textId="18E2BA53" w:rsidR="00630390" w:rsidRPr="0044654D" w:rsidRDefault="00630390" w:rsidP="002D31CD">
      <w:pPr>
        <w:pStyle w:val="EndnoteText"/>
        <w:rPr>
          <w:szCs w:val="20"/>
        </w:rPr>
      </w:pPr>
      <w:r w:rsidRPr="0044654D">
        <w:rPr>
          <w:rStyle w:val="EndnoteReference"/>
          <w:szCs w:val="20"/>
        </w:rPr>
        <w:endnoteRef/>
      </w:r>
      <w:r w:rsidRPr="0044654D">
        <w:rPr>
          <w:szCs w:val="20"/>
        </w:rPr>
        <w:t xml:space="preserve"> See </w:t>
      </w:r>
      <w:r w:rsidRPr="0044654D">
        <w:rPr>
          <w:i/>
          <w:iCs/>
          <w:szCs w:val="20"/>
        </w:rPr>
        <w:t>R</w:t>
      </w:r>
      <w:r w:rsidR="00637F86">
        <w:rPr>
          <w:i/>
          <w:iCs/>
          <w:szCs w:val="20"/>
        </w:rPr>
        <w:t>.</w:t>
      </w:r>
      <w:r w:rsidRPr="0044654D">
        <w:rPr>
          <w:i/>
          <w:iCs/>
          <w:szCs w:val="20"/>
        </w:rPr>
        <w:t xml:space="preserve"> v</w:t>
      </w:r>
      <w:r w:rsidR="00637F86">
        <w:rPr>
          <w:i/>
          <w:iCs/>
          <w:szCs w:val="20"/>
        </w:rPr>
        <w:t>.</w:t>
      </w:r>
      <w:r w:rsidRPr="0044654D">
        <w:rPr>
          <w:i/>
          <w:iCs/>
          <w:szCs w:val="20"/>
        </w:rPr>
        <w:t xml:space="preserve"> Mann </w:t>
      </w:r>
      <w:r w:rsidRPr="0044654D">
        <w:rPr>
          <w:szCs w:val="20"/>
        </w:rPr>
        <w:t xml:space="preserve">(2004] SCC 52); </w:t>
      </w:r>
      <w:r w:rsidRPr="0044654D">
        <w:rPr>
          <w:i/>
          <w:iCs/>
          <w:szCs w:val="20"/>
        </w:rPr>
        <w:t>R v Grant</w:t>
      </w:r>
      <w:r w:rsidRPr="0044654D">
        <w:rPr>
          <w:szCs w:val="20"/>
        </w:rPr>
        <w:t xml:space="preserve"> (2009 SCC 32); </w:t>
      </w:r>
      <w:r w:rsidRPr="0044654D">
        <w:rPr>
          <w:i/>
          <w:iCs/>
          <w:szCs w:val="20"/>
        </w:rPr>
        <w:t>R v Suberu</w:t>
      </w:r>
      <w:r w:rsidRPr="0044654D">
        <w:rPr>
          <w:szCs w:val="20"/>
        </w:rPr>
        <w:t xml:space="preserve"> (2009 SCC 33).</w:t>
      </w:r>
    </w:p>
  </w:endnote>
  <w:endnote w:id="28">
    <w:p w14:paraId="67090DE4" w14:textId="64A8D24F" w:rsidR="00630390" w:rsidRPr="0044654D" w:rsidRDefault="00630390" w:rsidP="002D31CD">
      <w:pPr>
        <w:pStyle w:val="EndnoteText"/>
        <w:rPr>
          <w:szCs w:val="20"/>
        </w:rPr>
      </w:pPr>
      <w:r w:rsidRPr="0044654D">
        <w:rPr>
          <w:rStyle w:val="EndnoteReference"/>
          <w:szCs w:val="20"/>
        </w:rPr>
        <w:endnoteRef/>
      </w:r>
      <w:r w:rsidRPr="0044654D">
        <w:rPr>
          <w:szCs w:val="20"/>
        </w:rPr>
        <w:t xml:space="preserve"> </w:t>
      </w:r>
      <w:r w:rsidRPr="0044654D">
        <w:rPr>
          <w:color w:val="212121"/>
          <w:szCs w:val="20"/>
          <w:shd w:val="clear" w:color="auto" w:fill="FFFFFF"/>
        </w:rPr>
        <w:t xml:space="preserve">See </w:t>
      </w:r>
      <w:r w:rsidRPr="0044654D">
        <w:rPr>
          <w:i/>
          <w:iCs/>
          <w:color w:val="212121"/>
          <w:szCs w:val="20"/>
          <w:shd w:val="clear" w:color="auto" w:fill="FFFFFF"/>
        </w:rPr>
        <w:t>R</w:t>
      </w:r>
      <w:r w:rsidR="00637F86">
        <w:rPr>
          <w:i/>
          <w:iCs/>
          <w:color w:val="212121"/>
          <w:szCs w:val="20"/>
          <w:shd w:val="clear" w:color="auto" w:fill="FFFFFF"/>
        </w:rPr>
        <w:t>.</w:t>
      </w:r>
      <w:r w:rsidRPr="0044654D">
        <w:rPr>
          <w:i/>
          <w:iCs/>
          <w:color w:val="212121"/>
          <w:szCs w:val="20"/>
          <w:shd w:val="clear" w:color="auto" w:fill="FFFFFF"/>
        </w:rPr>
        <w:t xml:space="preserve"> v</w:t>
      </w:r>
      <w:r w:rsidR="00637F86">
        <w:rPr>
          <w:i/>
          <w:iCs/>
          <w:color w:val="212121"/>
          <w:szCs w:val="20"/>
          <w:shd w:val="clear" w:color="auto" w:fill="FFFFFF"/>
        </w:rPr>
        <w:t>.</w:t>
      </w:r>
      <w:r w:rsidRPr="0044654D">
        <w:rPr>
          <w:i/>
          <w:iCs/>
          <w:color w:val="212121"/>
          <w:szCs w:val="20"/>
          <w:shd w:val="clear" w:color="auto" w:fill="FFFFFF"/>
        </w:rPr>
        <w:t xml:space="preserve"> Fearon</w:t>
      </w:r>
      <w:r w:rsidRPr="0044654D">
        <w:rPr>
          <w:color w:val="212121"/>
          <w:szCs w:val="20"/>
          <w:shd w:val="clear" w:color="auto" w:fill="FFFFFF"/>
        </w:rPr>
        <w:t xml:space="preserve"> (2014 SCC 77).</w:t>
      </w:r>
    </w:p>
  </w:endnote>
  <w:endnote w:id="29">
    <w:p w14:paraId="6166C65B" w14:textId="7ADB233E" w:rsidR="00630390" w:rsidRPr="0044654D" w:rsidRDefault="00630390" w:rsidP="002D31CD">
      <w:pPr>
        <w:pStyle w:val="EndnoteText"/>
        <w:rPr>
          <w:szCs w:val="20"/>
        </w:rPr>
      </w:pPr>
      <w:r w:rsidRPr="0044654D">
        <w:rPr>
          <w:rStyle w:val="EndnoteReference"/>
          <w:szCs w:val="20"/>
        </w:rPr>
        <w:endnoteRef/>
      </w:r>
      <w:r w:rsidRPr="0044654D">
        <w:rPr>
          <w:szCs w:val="20"/>
        </w:rPr>
        <w:t xml:space="preserve"> See </w:t>
      </w:r>
      <w:r w:rsidRPr="0044654D">
        <w:rPr>
          <w:i/>
          <w:iCs/>
          <w:szCs w:val="20"/>
        </w:rPr>
        <w:t>R</w:t>
      </w:r>
      <w:r w:rsidR="00637F86">
        <w:rPr>
          <w:i/>
          <w:iCs/>
          <w:szCs w:val="20"/>
        </w:rPr>
        <w:t>.</w:t>
      </w:r>
      <w:r w:rsidRPr="0044654D">
        <w:rPr>
          <w:i/>
          <w:iCs/>
          <w:szCs w:val="20"/>
        </w:rPr>
        <w:t xml:space="preserve"> v</w:t>
      </w:r>
      <w:r w:rsidR="00637F86">
        <w:rPr>
          <w:i/>
          <w:iCs/>
          <w:szCs w:val="20"/>
        </w:rPr>
        <w:t>.</w:t>
      </w:r>
      <w:r w:rsidRPr="0044654D">
        <w:rPr>
          <w:i/>
          <w:iCs/>
          <w:szCs w:val="20"/>
        </w:rPr>
        <w:t xml:space="preserve"> O’Connor</w:t>
      </w:r>
      <w:r w:rsidRPr="0044654D">
        <w:rPr>
          <w:szCs w:val="20"/>
        </w:rPr>
        <w:t xml:space="preserve"> ([1995] 4 SCR 411); </w:t>
      </w:r>
      <w:r w:rsidRPr="0044654D">
        <w:rPr>
          <w:i/>
          <w:iCs/>
          <w:szCs w:val="20"/>
        </w:rPr>
        <w:t>R v Mills</w:t>
      </w:r>
      <w:r w:rsidRPr="0044654D">
        <w:rPr>
          <w:szCs w:val="20"/>
        </w:rPr>
        <w:t xml:space="preserve"> ([1999] 3 SCR 668).</w:t>
      </w:r>
    </w:p>
  </w:endnote>
  <w:endnote w:id="30">
    <w:p w14:paraId="3ED48BCB" w14:textId="1EF4B95E" w:rsidR="00630390" w:rsidRPr="0044654D" w:rsidRDefault="00630390" w:rsidP="002D31CD">
      <w:pPr>
        <w:pStyle w:val="EndnoteText"/>
        <w:rPr>
          <w:szCs w:val="20"/>
        </w:rPr>
      </w:pPr>
      <w:r w:rsidRPr="0044654D">
        <w:rPr>
          <w:rStyle w:val="EndnoteReference"/>
          <w:szCs w:val="20"/>
        </w:rPr>
        <w:endnoteRef/>
      </w:r>
      <w:r w:rsidRPr="0044654D">
        <w:rPr>
          <w:szCs w:val="20"/>
        </w:rPr>
        <w:t xml:space="preserve"> </w:t>
      </w:r>
      <w:r w:rsidRPr="00637F86">
        <w:rPr>
          <w:i/>
          <w:iCs/>
          <w:szCs w:val="20"/>
        </w:rPr>
        <w:t>R</w:t>
      </w:r>
      <w:r w:rsidR="00637F86" w:rsidRPr="00637F86">
        <w:rPr>
          <w:i/>
          <w:iCs/>
          <w:szCs w:val="20"/>
        </w:rPr>
        <w:t>.</w:t>
      </w:r>
      <w:r w:rsidRPr="00637F86">
        <w:rPr>
          <w:i/>
          <w:iCs/>
          <w:szCs w:val="20"/>
        </w:rPr>
        <w:t xml:space="preserve"> v</w:t>
      </w:r>
      <w:r w:rsidR="00637F86" w:rsidRPr="00637F86">
        <w:rPr>
          <w:i/>
          <w:iCs/>
          <w:szCs w:val="20"/>
        </w:rPr>
        <w:t>.</w:t>
      </w:r>
      <w:r w:rsidRPr="00637F86">
        <w:rPr>
          <w:i/>
          <w:iCs/>
          <w:szCs w:val="20"/>
        </w:rPr>
        <w:t xml:space="preserve"> Oakes</w:t>
      </w:r>
      <w:r w:rsidRPr="0044654D">
        <w:rPr>
          <w:szCs w:val="20"/>
        </w:rPr>
        <w:t xml:space="preserve"> ([1986] 1 SCR 103) at para 67.</w:t>
      </w:r>
    </w:p>
  </w:endnote>
  <w:endnote w:id="31">
    <w:p w14:paraId="7B03B273" w14:textId="77777777" w:rsidR="00630390" w:rsidRPr="0044654D" w:rsidRDefault="00630390" w:rsidP="002D31CD">
      <w:pPr>
        <w:pStyle w:val="EndnoteText"/>
        <w:rPr>
          <w:szCs w:val="20"/>
        </w:rPr>
      </w:pPr>
      <w:r w:rsidRPr="0044654D">
        <w:rPr>
          <w:rStyle w:val="EndnoteReference"/>
          <w:szCs w:val="20"/>
        </w:rPr>
        <w:endnoteRef/>
      </w:r>
      <w:r w:rsidRPr="0044654D">
        <w:rPr>
          <w:szCs w:val="20"/>
        </w:rPr>
        <w:t xml:space="preserve"> See Centre for Constitutional Studies, “Oakes Test” (4 July 2019), online: </w:t>
      </w:r>
      <w:hyperlink r:id="rId13" w:history="1">
        <w:r w:rsidRPr="0044654D">
          <w:rPr>
            <w:rStyle w:val="Hyperlink"/>
            <w:szCs w:val="20"/>
          </w:rPr>
          <w:t>https://www.constitutionalstudies.ca/2019/07/oakes-test/</w:t>
        </w:r>
      </w:hyperlink>
      <w:r w:rsidRPr="0044654D">
        <w:rPr>
          <w:szCs w:val="20"/>
        </w:rPr>
        <w:t>.</w:t>
      </w:r>
    </w:p>
  </w:endnote>
  <w:endnote w:id="32">
    <w:p w14:paraId="115628BB" w14:textId="73D9BEF8" w:rsidR="00FB50C5" w:rsidRPr="0044654D" w:rsidRDefault="00FB50C5" w:rsidP="00FB50C5">
      <w:pPr>
        <w:pStyle w:val="EndnoteText"/>
        <w:rPr>
          <w:szCs w:val="20"/>
          <w:lang w:val="en-US"/>
        </w:rPr>
      </w:pPr>
      <w:r w:rsidRPr="0044654D">
        <w:rPr>
          <w:rStyle w:val="EndnoteReference"/>
          <w:szCs w:val="20"/>
        </w:rPr>
        <w:endnoteRef/>
      </w:r>
      <w:r w:rsidRPr="0044654D">
        <w:rPr>
          <w:szCs w:val="20"/>
        </w:rPr>
        <w:t xml:space="preserve"> </w:t>
      </w:r>
      <w:r w:rsidRPr="00637F86">
        <w:rPr>
          <w:i/>
          <w:iCs/>
          <w:szCs w:val="20"/>
        </w:rPr>
        <w:t>R</w:t>
      </w:r>
      <w:r w:rsidR="00637F86" w:rsidRPr="00637F86">
        <w:rPr>
          <w:i/>
          <w:iCs/>
          <w:szCs w:val="20"/>
        </w:rPr>
        <w:t>.</w:t>
      </w:r>
      <w:r w:rsidRPr="00637F86">
        <w:rPr>
          <w:i/>
          <w:iCs/>
          <w:szCs w:val="20"/>
        </w:rPr>
        <w:t xml:space="preserve"> v</w:t>
      </w:r>
      <w:r w:rsidR="00637F86" w:rsidRPr="00637F86">
        <w:rPr>
          <w:i/>
          <w:iCs/>
          <w:szCs w:val="20"/>
        </w:rPr>
        <w:t>.</w:t>
      </w:r>
      <w:r w:rsidRPr="00637F86">
        <w:rPr>
          <w:i/>
          <w:iCs/>
          <w:szCs w:val="20"/>
        </w:rPr>
        <w:t xml:space="preserve"> Oakes</w:t>
      </w:r>
      <w:r w:rsidRPr="0044654D">
        <w:rPr>
          <w:szCs w:val="20"/>
        </w:rPr>
        <w:t xml:space="preserve"> ([1986] 1 SCR 103) at para 69.</w:t>
      </w:r>
    </w:p>
  </w:endnote>
  <w:endnote w:id="33">
    <w:p w14:paraId="0F468B1C" w14:textId="66795469" w:rsidR="00630390" w:rsidRPr="0044654D" w:rsidRDefault="00630390" w:rsidP="002D31CD">
      <w:pPr>
        <w:pStyle w:val="EndnoteText"/>
        <w:rPr>
          <w:szCs w:val="20"/>
        </w:rPr>
      </w:pPr>
      <w:r w:rsidRPr="0044654D">
        <w:rPr>
          <w:rStyle w:val="EndnoteReference"/>
          <w:szCs w:val="20"/>
        </w:rPr>
        <w:endnoteRef/>
      </w:r>
      <w:r w:rsidRPr="0044654D">
        <w:rPr>
          <w:szCs w:val="20"/>
        </w:rPr>
        <w:t xml:space="preserve"> </w:t>
      </w:r>
      <w:r w:rsidRPr="00637F86">
        <w:rPr>
          <w:i/>
          <w:iCs/>
          <w:szCs w:val="20"/>
        </w:rPr>
        <w:t>R</w:t>
      </w:r>
      <w:r w:rsidR="00637F86" w:rsidRPr="00637F86">
        <w:rPr>
          <w:i/>
          <w:iCs/>
          <w:szCs w:val="20"/>
        </w:rPr>
        <w:t>.</w:t>
      </w:r>
      <w:r w:rsidRPr="00637F86">
        <w:rPr>
          <w:i/>
          <w:iCs/>
          <w:szCs w:val="20"/>
        </w:rPr>
        <w:t xml:space="preserve"> v</w:t>
      </w:r>
      <w:r w:rsidR="00637F86" w:rsidRPr="00637F86">
        <w:rPr>
          <w:i/>
          <w:iCs/>
          <w:szCs w:val="20"/>
        </w:rPr>
        <w:t>.</w:t>
      </w:r>
      <w:r w:rsidRPr="00637F86">
        <w:rPr>
          <w:i/>
          <w:iCs/>
          <w:szCs w:val="20"/>
        </w:rPr>
        <w:t xml:space="preserve"> Oakes</w:t>
      </w:r>
      <w:r w:rsidRPr="0044654D">
        <w:rPr>
          <w:szCs w:val="20"/>
        </w:rPr>
        <w:t xml:space="preserve"> ([1986] 1 SCR 103) at para 70.</w:t>
      </w:r>
    </w:p>
  </w:endnote>
  <w:endnote w:id="34">
    <w:p w14:paraId="20537176" w14:textId="77777777" w:rsidR="00630390" w:rsidRPr="0044654D" w:rsidRDefault="00630390" w:rsidP="002D31CD">
      <w:pPr>
        <w:pStyle w:val="EndnoteText"/>
        <w:rPr>
          <w:szCs w:val="20"/>
        </w:rPr>
      </w:pPr>
      <w:r w:rsidRPr="0044654D">
        <w:rPr>
          <w:rStyle w:val="EndnoteReference"/>
          <w:szCs w:val="20"/>
        </w:rPr>
        <w:endnoteRef/>
      </w:r>
      <w:r w:rsidRPr="0044654D">
        <w:rPr>
          <w:szCs w:val="20"/>
        </w:rPr>
        <w:t xml:space="preserve"> Alberta v Hutterian Brethren of Wilson Colony (2009 SCC 37) at para 37.</w:t>
      </w:r>
    </w:p>
  </w:endnote>
  <w:endnote w:id="35">
    <w:p w14:paraId="3C348FDD" w14:textId="6A2CE55C" w:rsidR="00630390" w:rsidRPr="0044654D" w:rsidRDefault="00630390" w:rsidP="002D31CD">
      <w:pPr>
        <w:pStyle w:val="EndnoteText"/>
        <w:rPr>
          <w:szCs w:val="20"/>
        </w:rPr>
      </w:pPr>
      <w:r w:rsidRPr="0044654D">
        <w:rPr>
          <w:rStyle w:val="EndnoteReference"/>
          <w:szCs w:val="20"/>
        </w:rPr>
        <w:endnoteRef/>
      </w:r>
      <w:r w:rsidRPr="0044654D">
        <w:rPr>
          <w:szCs w:val="20"/>
        </w:rPr>
        <w:t xml:space="preserve"> </w:t>
      </w:r>
      <w:r w:rsidRPr="00637F86">
        <w:rPr>
          <w:i/>
          <w:iCs/>
          <w:szCs w:val="20"/>
        </w:rPr>
        <w:t>R</w:t>
      </w:r>
      <w:r w:rsidR="00637F86" w:rsidRPr="00637F86">
        <w:rPr>
          <w:i/>
          <w:iCs/>
          <w:szCs w:val="20"/>
        </w:rPr>
        <w:t>.</w:t>
      </w:r>
      <w:r w:rsidRPr="00637F86">
        <w:rPr>
          <w:i/>
          <w:iCs/>
          <w:szCs w:val="20"/>
        </w:rPr>
        <w:t xml:space="preserve"> v</w:t>
      </w:r>
      <w:r w:rsidR="00637F86" w:rsidRPr="00637F86">
        <w:rPr>
          <w:i/>
          <w:iCs/>
          <w:szCs w:val="20"/>
        </w:rPr>
        <w:t>.</w:t>
      </w:r>
      <w:r w:rsidRPr="00637F86">
        <w:rPr>
          <w:i/>
          <w:iCs/>
          <w:szCs w:val="20"/>
        </w:rPr>
        <w:t xml:space="preserve"> Oakes</w:t>
      </w:r>
      <w:r w:rsidRPr="0044654D">
        <w:rPr>
          <w:szCs w:val="20"/>
        </w:rPr>
        <w:t xml:space="preserve"> ([1986] 1 SCR 103) at para 71.</w:t>
      </w:r>
    </w:p>
  </w:endnote>
  <w:endnote w:id="36">
    <w:p w14:paraId="477FDC83" w14:textId="77777777" w:rsidR="00630390" w:rsidRPr="0044654D" w:rsidRDefault="00630390" w:rsidP="002D31CD">
      <w:pPr>
        <w:pStyle w:val="EndnoteText"/>
        <w:rPr>
          <w:szCs w:val="20"/>
        </w:rPr>
      </w:pPr>
      <w:r w:rsidRPr="0044654D">
        <w:rPr>
          <w:rStyle w:val="EndnoteReference"/>
          <w:szCs w:val="20"/>
        </w:rPr>
        <w:endnoteRef/>
      </w:r>
      <w:r w:rsidRPr="0044654D">
        <w:rPr>
          <w:szCs w:val="20"/>
        </w:rPr>
        <w:t xml:space="preserve"> David Asper Centre for Constitutional Rights, “Facial Recognition Technology &amp; the Canadian </w:t>
      </w:r>
      <w:r w:rsidRPr="0044654D">
        <w:rPr>
          <w:i/>
          <w:iCs/>
          <w:szCs w:val="20"/>
        </w:rPr>
        <w:t>Charter</w:t>
      </w:r>
      <w:r w:rsidRPr="0044654D">
        <w:rPr>
          <w:szCs w:val="20"/>
        </w:rPr>
        <w:t xml:space="preserve">” (2021), online: </w:t>
      </w:r>
      <w:hyperlink r:id="rId14" w:history="1">
        <w:r w:rsidRPr="0044654D">
          <w:rPr>
            <w:rStyle w:val="Hyperlink"/>
            <w:szCs w:val="20"/>
          </w:rPr>
          <w:t>https://aspercentre.ca/wp-content/uploads/2021/11/FRT-and-the-Charter-Brief.pdf</w:t>
        </w:r>
      </w:hyperlink>
      <w:r w:rsidRPr="0044654D">
        <w:rPr>
          <w:szCs w:val="20"/>
        </w:rPr>
        <w:t>.</w:t>
      </w:r>
    </w:p>
  </w:endnote>
  <w:endnote w:id="37">
    <w:p w14:paraId="0F3B7585" w14:textId="77777777" w:rsidR="00630390" w:rsidRPr="0044654D" w:rsidRDefault="00630390" w:rsidP="002D31CD">
      <w:pPr>
        <w:pStyle w:val="EndnoteText"/>
        <w:rPr>
          <w:szCs w:val="20"/>
        </w:rPr>
      </w:pPr>
      <w:r w:rsidRPr="0044654D">
        <w:rPr>
          <w:rStyle w:val="EndnoteReference"/>
          <w:szCs w:val="20"/>
        </w:rPr>
        <w:endnoteRef/>
      </w:r>
      <w:r w:rsidRPr="0044654D">
        <w:rPr>
          <w:szCs w:val="20"/>
        </w:rPr>
        <w:t xml:space="preserve"> David Asper Centre for Constitutional Rights, “Facial Recognition Technology &amp; the Canadian </w:t>
      </w:r>
      <w:r w:rsidRPr="0044654D">
        <w:rPr>
          <w:i/>
          <w:iCs/>
          <w:szCs w:val="20"/>
        </w:rPr>
        <w:t>Charter</w:t>
      </w:r>
      <w:r w:rsidRPr="0044654D">
        <w:rPr>
          <w:szCs w:val="20"/>
        </w:rPr>
        <w:t xml:space="preserve">” (2021) at 20, online: </w:t>
      </w:r>
      <w:hyperlink r:id="rId15" w:history="1">
        <w:r w:rsidRPr="0044654D">
          <w:rPr>
            <w:rStyle w:val="Hyperlink"/>
            <w:szCs w:val="20"/>
          </w:rPr>
          <w:t>https://aspercentre.ca/wp-content/uploads/2021/11/FRT-and-the-Charter-Brief.pdf</w:t>
        </w:r>
      </w:hyperlink>
      <w:r w:rsidRPr="0044654D">
        <w:rPr>
          <w:szCs w:val="20"/>
        </w:rPr>
        <w:t>, citing Alberta v Hutterian Brethren of Wilson Colony (2009 SCC 37) at para 55.</w:t>
      </w:r>
    </w:p>
  </w:endnote>
  <w:endnote w:id="38">
    <w:p w14:paraId="364F3DCA" w14:textId="77777777" w:rsidR="004433F4" w:rsidRPr="0044654D" w:rsidRDefault="004433F4" w:rsidP="004433F4">
      <w:pPr>
        <w:pStyle w:val="EndnoteText"/>
        <w:rPr>
          <w:szCs w:val="20"/>
        </w:rPr>
      </w:pPr>
      <w:r w:rsidRPr="0044654D">
        <w:rPr>
          <w:rStyle w:val="EndnoteReference"/>
          <w:szCs w:val="20"/>
        </w:rPr>
        <w:endnoteRef/>
      </w:r>
      <w:r w:rsidRPr="0044654D">
        <w:rPr>
          <w:szCs w:val="20"/>
        </w:rPr>
        <w:t xml:space="preserve"> David Asper Centre for Constitutional Rights, “Facial Recognition Technology &amp; the Canadian </w:t>
      </w:r>
      <w:r w:rsidRPr="0044654D">
        <w:rPr>
          <w:i/>
          <w:iCs/>
          <w:szCs w:val="20"/>
        </w:rPr>
        <w:t>Charter</w:t>
      </w:r>
      <w:r w:rsidRPr="0044654D">
        <w:rPr>
          <w:szCs w:val="20"/>
        </w:rPr>
        <w:t xml:space="preserve">” (2021) at 21, online: </w:t>
      </w:r>
      <w:hyperlink r:id="rId16" w:history="1">
        <w:r w:rsidRPr="0044654D">
          <w:rPr>
            <w:rStyle w:val="Hyperlink"/>
            <w:szCs w:val="20"/>
          </w:rPr>
          <w:t>https://aspercentre.ca/wp-content/uploads/2021/11/FRT-and-the-Charter-Brief.pdf</w:t>
        </w:r>
      </w:hyperlink>
      <w:r w:rsidRPr="0044654D">
        <w:rPr>
          <w:szCs w:val="20"/>
        </w:rPr>
        <w:t>.</w:t>
      </w:r>
    </w:p>
  </w:endnote>
  <w:endnote w:id="39">
    <w:p w14:paraId="739CBBAF" w14:textId="77777777" w:rsidR="00630390" w:rsidRPr="0044654D" w:rsidRDefault="00630390" w:rsidP="002D31CD">
      <w:pPr>
        <w:pStyle w:val="EndnoteText"/>
        <w:rPr>
          <w:szCs w:val="20"/>
        </w:rPr>
      </w:pPr>
      <w:r w:rsidRPr="0044654D">
        <w:rPr>
          <w:rStyle w:val="EndnoteReference"/>
          <w:szCs w:val="20"/>
        </w:rPr>
        <w:endnoteRef/>
      </w:r>
      <w:r w:rsidRPr="0044654D">
        <w:rPr>
          <w:szCs w:val="20"/>
        </w:rPr>
        <w:t xml:space="preserve"> NAACP, “</w:t>
      </w:r>
      <w:r w:rsidRPr="0044654D">
        <w:rPr>
          <w:rFonts w:eastAsia="ArialMT"/>
          <w:color w:val="050505"/>
          <w:szCs w:val="20"/>
        </w:rPr>
        <w:t>Artificial Intelligence in Predictive Policing Issue Brief,” online:</w:t>
      </w:r>
      <w:r w:rsidRPr="0044654D">
        <w:rPr>
          <w:rFonts w:eastAsia="ArialMT"/>
          <w:i/>
          <w:iCs/>
          <w:color w:val="050505"/>
          <w:szCs w:val="20"/>
        </w:rPr>
        <w:t xml:space="preserve"> </w:t>
      </w:r>
      <w:hyperlink r:id="rId17" w:history="1">
        <w:r w:rsidRPr="0044654D">
          <w:rPr>
            <w:rStyle w:val="Hyperlink"/>
            <w:rFonts w:eastAsia="ArialMT"/>
            <w:szCs w:val="20"/>
          </w:rPr>
          <w:t>https://naacp.org/resources/artificial-intelligence-predictive-policing-issue-brief</w:t>
        </w:r>
      </w:hyperlink>
      <w:r w:rsidRPr="0044654D">
        <w:rPr>
          <w:rFonts w:eastAsia="ArialMT"/>
          <w:szCs w:val="20"/>
        </w:rPr>
        <w:t>.</w:t>
      </w:r>
    </w:p>
  </w:endnote>
  <w:endnote w:id="40">
    <w:p w14:paraId="5ED916F1" w14:textId="77777777" w:rsidR="00630390" w:rsidRPr="0044654D" w:rsidRDefault="00630390" w:rsidP="002D31CD">
      <w:pPr>
        <w:pStyle w:val="EndnoteText"/>
        <w:rPr>
          <w:szCs w:val="20"/>
        </w:rPr>
      </w:pPr>
      <w:r w:rsidRPr="0044654D">
        <w:rPr>
          <w:rStyle w:val="EndnoteReference"/>
          <w:szCs w:val="20"/>
        </w:rPr>
        <w:endnoteRef/>
      </w:r>
      <w:r w:rsidRPr="0044654D">
        <w:rPr>
          <w:szCs w:val="20"/>
        </w:rPr>
        <w:t xml:space="preserve"> David Asper Centre for Constitutional Rights, “Facial Recognition Technology &amp; the Canadian </w:t>
      </w:r>
      <w:r w:rsidRPr="0044654D">
        <w:rPr>
          <w:i/>
          <w:iCs/>
          <w:szCs w:val="20"/>
        </w:rPr>
        <w:t>Charter</w:t>
      </w:r>
      <w:r w:rsidRPr="0044654D">
        <w:rPr>
          <w:szCs w:val="20"/>
        </w:rPr>
        <w:t xml:space="preserve">” (2021) at 21, online: </w:t>
      </w:r>
      <w:hyperlink r:id="rId18" w:history="1">
        <w:r w:rsidRPr="0044654D">
          <w:rPr>
            <w:rStyle w:val="Hyperlink"/>
            <w:szCs w:val="20"/>
          </w:rPr>
          <w:t>https://aspercentre.ca/wp-content/uploads/2021/11/FRT-and-the-Charter-Brief.pdf</w:t>
        </w:r>
      </w:hyperlink>
      <w:r w:rsidRPr="0044654D">
        <w:rPr>
          <w:szCs w:val="20"/>
        </w:rPr>
        <w:t>.</w:t>
      </w:r>
    </w:p>
  </w:endnote>
  <w:endnote w:id="41">
    <w:p w14:paraId="0BFBD0A0" w14:textId="476BE74F" w:rsidR="0090522F" w:rsidRPr="0044654D" w:rsidRDefault="0090522F" w:rsidP="0090522F">
      <w:pPr>
        <w:pStyle w:val="EndnoteText"/>
        <w:rPr>
          <w:szCs w:val="20"/>
        </w:rPr>
      </w:pPr>
      <w:r w:rsidRPr="0044654D">
        <w:rPr>
          <w:rStyle w:val="EndnoteReference"/>
          <w:szCs w:val="20"/>
        </w:rPr>
        <w:endnoteRef/>
      </w:r>
      <w:r w:rsidRPr="0044654D">
        <w:rPr>
          <w:szCs w:val="20"/>
        </w:rPr>
        <w:t xml:space="preserve"> </w:t>
      </w:r>
      <w:r w:rsidRPr="0044654D">
        <w:rPr>
          <w:i/>
          <w:iCs/>
          <w:szCs w:val="20"/>
        </w:rPr>
        <w:t>R</w:t>
      </w:r>
      <w:r w:rsidR="00637F86">
        <w:rPr>
          <w:i/>
          <w:iCs/>
          <w:szCs w:val="20"/>
        </w:rPr>
        <w:t>.</w:t>
      </w:r>
      <w:r w:rsidRPr="0044654D">
        <w:rPr>
          <w:i/>
          <w:iCs/>
          <w:szCs w:val="20"/>
        </w:rPr>
        <w:t xml:space="preserve"> v</w:t>
      </w:r>
      <w:r w:rsidR="00637F86">
        <w:rPr>
          <w:i/>
          <w:iCs/>
          <w:szCs w:val="20"/>
        </w:rPr>
        <w:t>.</w:t>
      </w:r>
      <w:r w:rsidRPr="0044654D">
        <w:rPr>
          <w:i/>
          <w:iCs/>
          <w:szCs w:val="20"/>
        </w:rPr>
        <w:t xml:space="preserve"> Mentuck </w:t>
      </w:r>
      <w:r w:rsidRPr="0044654D">
        <w:rPr>
          <w:szCs w:val="20"/>
        </w:rPr>
        <w:t>(2001 SCC 76).</w:t>
      </w:r>
    </w:p>
  </w:endnote>
  <w:endnote w:id="42">
    <w:p w14:paraId="2DD4B6F6" w14:textId="36318FA3" w:rsidR="00B727CD" w:rsidRPr="0044654D" w:rsidRDefault="00B727CD" w:rsidP="00B727CD">
      <w:pPr>
        <w:pStyle w:val="EndnoteText"/>
        <w:rPr>
          <w:szCs w:val="20"/>
        </w:rPr>
      </w:pPr>
      <w:r w:rsidRPr="0044654D">
        <w:rPr>
          <w:rStyle w:val="EndnoteReference"/>
          <w:szCs w:val="20"/>
        </w:rPr>
        <w:endnoteRef/>
      </w:r>
      <w:r w:rsidRPr="0044654D">
        <w:rPr>
          <w:szCs w:val="20"/>
        </w:rPr>
        <w:t xml:space="preserve"> </w:t>
      </w:r>
      <w:r w:rsidRPr="0044654D">
        <w:rPr>
          <w:i/>
          <w:iCs/>
          <w:szCs w:val="20"/>
        </w:rPr>
        <w:t>R</w:t>
      </w:r>
      <w:r w:rsidR="00637F86">
        <w:rPr>
          <w:i/>
          <w:iCs/>
          <w:szCs w:val="20"/>
        </w:rPr>
        <w:t>.</w:t>
      </w:r>
      <w:r w:rsidRPr="0044654D">
        <w:rPr>
          <w:i/>
          <w:iCs/>
          <w:szCs w:val="20"/>
        </w:rPr>
        <w:t xml:space="preserve"> v</w:t>
      </w:r>
      <w:r w:rsidR="00637F86">
        <w:rPr>
          <w:i/>
          <w:iCs/>
          <w:szCs w:val="20"/>
        </w:rPr>
        <w:t>.</w:t>
      </w:r>
      <w:r w:rsidRPr="0044654D">
        <w:rPr>
          <w:i/>
          <w:iCs/>
          <w:szCs w:val="20"/>
        </w:rPr>
        <w:t xml:space="preserve"> Ndhlovu</w:t>
      </w:r>
      <w:r w:rsidRPr="0044654D">
        <w:rPr>
          <w:szCs w:val="20"/>
        </w:rPr>
        <w:t xml:space="preserve"> (2022 SCC 38).</w:t>
      </w:r>
      <w:r>
        <w:rPr>
          <w:szCs w:val="20"/>
        </w:rPr>
        <w:t xml:space="preserve"> </w:t>
      </w:r>
      <w:r w:rsidRPr="00B727CD">
        <w:rPr>
          <w:i/>
          <w:iCs/>
          <w:szCs w:val="20"/>
        </w:rPr>
        <w:t>R. v. Ndhlovu</w:t>
      </w:r>
      <w:r w:rsidRPr="00B727CD">
        <w:rPr>
          <w:szCs w:val="20"/>
        </w:rPr>
        <w:t xml:space="preserve"> found that sections 490.012 and 490.013(2.1) of the </w:t>
      </w:r>
      <w:r w:rsidRPr="00637F86">
        <w:rPr>
          <w:i/>
          <w:iCs/>
          <w:szCs w:val="20"/>
        </w:rPr>
        <w:t>Criminal Code</w:t>
      </w:r>
      <w:r w:rsidRPr="00B727CD">
        <w:rPr>
          <w:szCs w:val="20"/>
        </w:rPr>
        <w:t xml:space="preserve"> related to the Sex Offender Information Registration Act are not saved under s. 1 of the </w:t>
      </w:r>
      <w:r w:rsidRPr="00637F86">
        <w:rPr>
          <w:i/>
          <w:iCs/>
          <w:szCs w:val="20"/>
        </w:rPr>
        <w:t>Charter</w:t>
      </w:r>
      <w:r w:rsidRPr="00B727CD">
        <w:rPr>
          <w:szCs w:val="20"/>
        </w:rPr>
        <w:t>. Mandatory registration under s. 490.012 is overbroad and requires registration of offenders who are not at increased risk of committing a future sex offence. Registering such offenders is not rationally connected to the objective of assisting police to investigate and prevent sex offences. Judicial discretion is a reliable, tailored alternative to mandatory registration and expert evidence is a tool capable of improving the accuracy of judicial risk assessments, offering alternative means to substantially achieve the objective of preventing and investigating sex crimes.</w:t>
      </w:r>
    </w:p>
  </w:endnote>
  <w:endnote w:id="43">
    <w:p w14:paraId="6D2AC09E" w14:textId="55329629" w:rsidR="00630390" w:rsidRPr="0044654D" w:rsidRDefault="00630390" w:rsidP="002D31CD">
      <w:pPr>
        <w:pStyle w:val="EndnoteText"/>
        <w:rPr>
          <w:szCs w:val="20"/>
        </w:rPr>
      </w:pPr>
      <w:r w:rsidRPr="0044654D">
        <w:rPr>
          <w:rStyle w:val="EndnoteReference"/>
          <w:szCs w:val="20"/>
        </w:rPr>
        <w:endnoteRef/>
      </w:r>
      <w:r w:rsidRPr="0044654D">
        <w:rPr>
          <w:szCs w:val="20"/>
        </w:rPr>
        <w:t xml:space="preserve"> See </w:t>
      </w:r>
      <w:r w:rsidRPr="0044654D">
        <w:rPr>
          <w:i/>
          <w:iCs/>
          <w:szCs w:val="20"/>
        </w:rPr>
        <w:t>R</w:t>
      </w:r>
      <w:r w:rsidR="00637F86">
        <w:rPr>
          <w:i/>
          <w:iCs/>
          <w:szCs w:val="20"/>
        </w:rPr>
        <w:t>.</w:t>
      </w:r>
      <w:r w:rsidRPr="0044654D">
        <w:rPr>
          <w:i/>
          <w:iCs/>
          <w:szCs w:val="20"/>
        </w:rPr>
        <w:t xml:space="preserve"> v</w:t>
      </w:r>
      <w:r w:rsidR="00637F86">
        <w:rPr>
          <w:i/>
          <w:iCs/>
          <w:szCs w:val="20"/>
        </w:rPr>
        <w:t>.</w:t>
      </w:r>
      <w:r w:rsidRPr="0044654D">
        <w:rPr>
          <w:i/>
          <w:iCs/>
          <w:szCs w:val="20"/>
        </w:rPr>
        <w:t xml:space="preserve"> Ndhlovu</w:t>
      </w:r>
      <w:r w:rsidRPr="0044654D">
        <w:rPr>
          <w:szCs w:val="20"/>
        </w:rPr>
        <w:t xml:space="preserve"> (2022 SCC 38); </w:t>
      </w:r>
      <w:r w:rsidRPr="0044654D">
        <w:rPr>
          <w:i/>
          <w:iCs/>
          <w:szCs w:val="20"/>
        </w:rPr>
        <w:t>Ewert v. Canada</w:t>
      </w:r>
      <w:r w:rsidRPr="0044654D">
        <w:rPr>
          <w:szCs w:val="20"/>
        </w:rPr>
        <w:t xml:space="preserve"> (2018 SCC 30).</w:t>
      </w:r>
    </w:p>
  </w:endnote>
  <w:endnote w:id="44">
    <w:p w14:paraId="1C2C5CBF" w14:textId="6D274836" w:rsidR="00630390" w:rsidRPr="0044654D" w:rsidRDefault="00630390" w:rsidP="002D31CD">
      <w:pPr>
        <w:pStyle w:val="EndnoteText"/>
        <w:rPr>
          <w:szCs w:val="20"/>
        </w:rPr>
      </w:pPr>
      <w:r w:rsidRPr="0044654D">
        <w:rPr>
          <w:rStyle w:val="EndnoteReference"/>
          <w:szCs w:val="20"/>
        </w:rPr>
        <w:endnoteRef/>
      </w:r>
      <w:r w:rsidRPr="0044654D">
        <w:rPr>
          <w:szCs w:val="20"/>
        </w:rPr>
        <w:t xml:space="preserve"> </w:t>
      </w:r>
      <w:r w:rsidRPr="0044654D">
        <w:rPr>
          <w:i/>
          <w:iCs/>
          <w:szCs w:val="20"/>
        </w:rPr>
        <w:t>R</w:t>
      </w:r>
      <w:r w:rsidR="00637F86">
        <w:rPr>
          <w:i/>
          <w:iCs/>
          <w:szCs w:val="20"/>
        </w:rPr>
        <w:t>.</w:t>
      </w:r>
      <w:r w:rsidRPr="0044654D">
        <w:rPr>
          <w:i/>
          <w:iCs/>
          <w:szCs w:val="20"/>
        </w:rPr>
        <w:t xml:space="preserve"> v</w:t>
      </w:r>
      <w:r w:rsidR="00637F86">
        <w:rPr>
          <w:i/>
          <w:iCs/>
          <w:szCs w:val="20"/>
        </w:rPr>
        <w:t>.</w:t>
      </w:r>
      <w:r w:rsidRPr="0044654D">
        <w:rPr>
          <w:i/>
          <w:iCs/>
          <w:szCs w:val="20"/>
        </w:rPr>
        <w:t xml:space="preserve"> Ndhlovu</w:t>
      </w:r>
      <w:r w:rsidRPr="0044654D">
        <w:rPr>
          <w:szCs w:val="20"/>
        </w:rPr>
        <w:t xml:space="preserve"> (2022 SCC 38).</w:t>
      </w:r>
    </w:p>
  </w:endnote>
  <w:endnote w:id="45">
    <w:p w14:paraId="6CEEBBB7" w14:textId="170A3DF3" w:rsidR="00630390" w:rsidRPr="0044654D" w:rsidRDefault="00630390" w:rsidP="002D31CD">
      <w:pPr>
        <w:pStyle w:val="EndnoteText"/>
        <w:rPr>
          <w:szCs w:val="20"/>
        </w:rPr>
      </w:pPr>
      <w:r w:rsidRPr="0044654D">
        <w:rPr>
          <w:rStyle w:val="EndnoteReference"/>
          <w:szCs w:val="20"/>
        </w:rPr>
        <w:endnoteRef/>
      </w:r>
      <w:r w:rsidRPr="0044654D">
        <w:rPr>
          <w:szCs w:val="20"/>
        </w:rPr>
        <w:t xml:space="preserve"> </w:t>
      </w:r>
      <w:r w:rsidRPr="0044654D">
        <w:rPr>
          <w:i/>
          <w:iCs/>
          <w:szCs w:val="20"/>
        </w:rPr>
        <w:t>Canada (Attorney General) v</w:t>
      </w:r>
      <w:r w:rsidR="00637F86">
        <w:rPr>
          <w:i/>
          <w:iCs/>
          <w:szCs w:val="20"/>
        </w:rPr>
        <w:t>.</w:t>
      </w:r>
      <w:r w:rsidRPr="0044654D">
        <w:rPr>
          <w:i/>
          <w:iCs/>
          <w:szCs w:val="20"/>
        </w:rPr>
        <w:t xml:space="preserve"> Bedford</w:t>
      </w:r>
      <w:r w:rsidRPr="0044654D">
        <w:rPr>
          <w:szCs w:val="20"/>
        </w:rPr>
        <w:t xml:space="preserve"> (2013 SCC 72).</w:t>
      </w:r>
    </w:p>
  </w:endnote>
  <w:endnote w:id="46">
    <w:p w14:paraId="1DA43B64" w14:textId="77777777" w:rsidR="00630390" w:rsidRPr="0044654D" w:rsidRDefault="00630390" w:rsidP="002D31CD">
      <w:pPr>
        <w:pStyle w:val="EndnoteText"/>
        <w:rPr>
          <w:szCs w:val="20"/>
        </w:rPr>
      </w:pPr>
      <w:r w:rsidRPr="0044654D">
        <w:rPr>
          <w:rStyle w:val="EndnoteReference"/>
          <w:szCs w:val="20"/>
        </w:rPr>
        <w:endnoteRef/>
      </w:r>
      <w:r w:rsidRPr="0044654D">
        <w:rPr>
          <w:szCs w:val="20"/>
        </w:rPr>
        <w:t xml:space="preserve"> </w:t>
      </w:r>
      <w:r w:rsidRPr="0044654D">
        <w:rPr>
          <w:i/>
          <w:iCs/>
          <w:szCs w:val="20"/>
        </w:rPr>
        <w:t>Carter v Canada (Attorney General)</w:t>
      </w:r>
      <w:r w:rsidRPr="0044654D">
        <w:rPr>
          <w:szCs w:val="20"/>
        </w:rPr>
        <w:t xml:space="preserve"> (2015 SCC 5).</w:t>
      </w:r>
    </w:p>
  </w:endnote>
  <w:endnote w:id="47">
    <w:p w14:paraId="408731FC" w14:textId="70CC5B7D" w:rsidR="00630390" w:rsidRPr="0044654D" w:rsidRDefault="00630390" w:rsidP="002D31CD">
      <w:pPr>
        <w:pStyle w:val="EndnoteText"/>
        <w:rPr>
          <w:szCs w:val="20"/>
        </w:rPr>
      </w:pPr>
      <w:r w:rsidRPr="0044654D">
        <w:rPr>
          <w:rStyle w:val="EndnoteReference"/>
          <w:szCs w:val="20"/>
        </w:rPr>
        <w:endnoteRef/>
      </w:r>
      <w:r w:rsidRPr="0044654D">
        <w:rPr>
          <w:szCs w:val="20"/>
        </w:rPr>
        <w:t xml:space="preserve"> </w:t>
      </w:r>
      <w:r w:rsidRPr="0044654D">
        <w:rPr>
          <w:i/>
          <w:iCs/>
          <w:szCs w:val="20"/>
        </w:rPr>
        <w:t>R</w:t>
      </w:r>
      <w:r w:rsidR="00637F86">
        <w:rPr>
          <w:i/>
          <w:iCs/>
          <w:szCs w:val="20"/>
        </w:rPr>
        <w:t>.</w:t>
      </w:r>
      <w:r w:rsidRPr="0044654D">
        <w:rPr>
          <w:i/>
          <w:iCs/>
          <w:szCs w:val="20"/>
        </w:rPr>
        <w:t xml:space="preserve"> v</w:t>
      </w:r>
      <w:r w:rsidR="00637F86">
        <w:rPr>
          <w:i/>
          <w:iCs/>
          <w:szCs w:val="20"/>
        </w:rPr>
        <w:t>.</w:t>
      </w:r>
      <w:r w:rsidRPr="0044654D">
        <w:rPr>
          <w:i/>
          <w:iCs/>
          <w:szCs w:val="20"/>
        </w:rPr>
        <w:t xml:space="preserve"> Safarzadeh-Markhali</w:t>
      </w:r>
      <w:r w:rsidRPr="0044654D">
        <w:rPr>
          <w:szCs w:val="20"/>
        </w:rPr>
        <w:t xml:space="preserve"> </w:t>
      </w:r>
      <w:r w:rsidRPr="0044654D">
        <w:rPr>
          <w:rFonts w:eastAsia="Times New Roman"/>
          <w:color w:val="000000"/>
          <w:szCs w:val="20"/>
          <w:lang w:eastAsia="en-CA"/>
        </w:rPr>
        <w:t>(2016 SCC 14).</w:t>
      </w:r>
    </w:p>
  </w:endnote>
  <w:endnote w:id="48">
    <w:p w14:paraId="069D0C45" w14:textId="77777777" w:rsidR="00630390" w:rsidRPr="0044654D" w:rsidRDefault="00630390" w:rsidP="00F968D9">
      <w:pPr>
        <w:pStyle w:val="EndnoteText"/>
        <w:rPr>
          <w:szCs w:val="20"/>
        </w:rPr>
      </w:pPr>
      <w:r w:rsidRPr="0044654D">
        <w:rPr>
          <w:rStyle w:val="EndnoteReference"/>
          <w:szCs w:val="20"/>
        </w:rPr>
        <w:endnoteRef/>
      </w:r>
      <w:r w:rsidRPr="0044654D">
        <w:rPr>
          <w:szCs w:val="20"/>
        </w:rPr>
        <w:t xml:space="preserve"> </w:t>
      </w:r>
      <w:r w:rsidRPr="0044654D">
        <w:rPr>
          <w:i/>
          <w:iCs/>
          <w:szCs w:val="20"/>
        </w:rPr>
        <w:t>Canada Evidence Act</w:t>
      </w:r>
      <w:r w:rsidRPr="0044654D">
        <w:rPr>
          <w:szCs w:val="20"/>
        </w:rPr>
        <w:t xml:space="preserve"> (RSC, 1985, c C-5), online: </w:t>
      </w:r>
      <w:hyperlink r:id="rId19" w:history="1">
        <w:r w:rsidRPr="0044654D">
          <w:rPr>
            <w:rStyle w:val="Hyperlink"/>
            <w:szCs w:val="20"/>
          </w:rPr>
          <w:t>https://laws.justice.gc.ca/eng/acts/C-5/</w:t>
        </w:r>
      </w:hyperlink>
      <w:r w:rsidRPr="0044654D">
        <w:rPr>
          <w:szCs w:val="20"/>
        </w:rPr>
        <w:t>.</w:t>
      </w:r>
    </w:p>
  </w:endnote>
  <w:endnote w:id="49">
    <w:p w14:paraId="51ADFC50" w14:textId="04D18ACA" w:rsidR="00F769FE" w:rsidRDefault="00F769FE">
      <w:pPr>
        <w:pStyle w:val="EndnoteText"/>
      </w:pPr>
      <w:r>
        <w:rPr>
          <w:rStyle w:val="EndnoteReference"/>
        </w:rPr>
        <w:endnoteRef/>
      </w:r>
      <w:r>
        <w:t xml:space="preserve"> </w:t>
      </w:r>
      <w:r w:rsidR="00637F86" w:rsidRPr="007C2B9A">
        <w:rPr>
          <w:i/>
          <w:iCs/>
        </w:rPr>
        <w:t>Criminal Code</w:t>
      </w:r>
      <w:r w:rsidR="00637F86">
        <w:t xml:space="preserve"> (</w:t>
      </w:r>
      <w:r w:rsidR="00637F86" w:rsidRPr="0095002C">
        <w:t>RSC</w:t>
      </w:r>
      <w:r w:rsidR="00637F86">
        <w:t xml:space="preserve"> </w:t>
      </w:r>
      <w:r w:rsidR="00637F86" w:rsidRPr="0095002C">
        <w:t>1985, c. C-46)</w:t>
      </w:r>
      <w:r w:rsidR="00637F86">
        <w:t xml:space="preserve">, online: </w:t>
      </w:r>
      <w:hyperlink r:id="rId20" w:history="1">
        <w:r w:rsidR="00637F86" w:rsidRPr="00455C63">
          <w:rPr>
            <w:rStyle w:val="Hyperlink"/>
          </w:rPr>
          <w:t>https://laws-lois.justice.gc.ca/eng/acts/C-46/</w:t>
        </w:r>
      </w:hyperlink>
      <w:r w:rsidR="00637F86">
        <w:t xml:space="preserve">; </w:t>
      </w:r>
      <w:r w:rsidR="00637F86" w:rsidRPr="00004D6B">
        <w:rPr>
          <w:i/>
          <w:iCs/>
        </w:rPr>
        <w:t>Controlled Drugs and Substances Act</w:t>
      </w:r>
      <w:r w:rsidR="00637F86">
        <w:t xml:space="preserve"> (</w:t>
      </w:r>
      <w:r w:rsidR="00004D6B" w:rsidRPr="00004D6B">
        <w:t>(S.C. 1996, c. 19)</w:t>
      </w:r>
      <w:r w:rsidR="00004D6B">
        <w:t xml:space="preserve">, online: </w:t>
      </w:r>
      <w:hyperlink r:id="rId21" w:history="1">
        <w:r w:rsidR="00004D6B" w:rsidRPr="00455C63">
          <w:rPr>
            <w:rStyle w:val="Hyperlink"/>
          </w:rPr>
          <w:t>https://laws-lois.justice.gc.ca/eng/acts/C-38.8/</w:t>
        </w:r>
      </w:hyperlink>
      <w:r w:rsidR="00004D6B">
        <w:t xml:space="preserve">. </w:t>
      </w:r>
    </w:p>
  </w:endnote>
  <w:endnote w:id="50">
    <w:p w14:paraId="51EC55AF" w14:textId="2D300924" w:rsidR="00630390" w:rsidRPr="0044654D" w:rsidRDefault="00630390" w:rsidP="00F968D9">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Canada Evidence Act</w:t>
      </w:r>
      <w:r w:rsidRPr="0044654D">
        <w:rPr>
          <w:szCs w:val="20"/>
        </w:rPr>
        <w:t xml:space="preserve"> (RSC, 1985, c C-5)</w:t>
      </w:r>
      <w:r w:rsidR="00004D6B">
        <w:rPr>
          <w:szCs w:val="20"/>
        </w:rPr>
        <w:t xml:space="preserve"> at </w:t>
      </w:r>
      <w:r w:rsidRPr="0044654D">
        <w:rPr>
          <w:szCs w:val="20"/>
        </w:rPr>
        <w:t>ss</w:t>
      </w:r>
      <w:r w:rsidR="00004D6B">
        <w:rPr>
          <w:szCs w:val="20"/>
        </w:rPr>
        <w:t>s</w:t>
      </w:r>
      <w:r w:rsidRPr="0044654D">
        <w:rPr>
          <w:szCs w:val="20"/>
        </w:rPr>
        <w:t xml:space="preserve"> 24, 25, 26, 29, 30, 31, online: </w:t>
      </w:r>
      <w:hyperlink r:id="rId22" w:history="1">
        <w:r w:rsidRPr="0044654D">
          <w:rPr>
            <w:rStyle w:val="Hyperlink"/>
            <w:szCs w:val="20"/>
          </w:rPr>
          <w:t>https://laws.justice.gc.ca/eng/acts/C-5/</w:t>
        </w:r>
      </w:hyperlink>
      <w:r w:rsidRPr="0044654D">
        <w:rPr>
          <w:szCs w:val="20"/>
        </w:rPr>
        <w:t>.</w:t>
      </w:r>
    </w:p>
  </w:endnote>
  <w:endnote w:id="51">
    <w:p w14:paraId="729FF143" w14:textId="3B82AAED" w:rsidR="00630390" w:rsidRPr="0044654D" w:rsidRDefault="00630390" w:rsidP="00F968D9">
      <w:pPr>
        <w:pStyle w:val="EndnoteText"/>
        <w:rPr>
          <w:szCs w:val="20"/>
          <w:lang w:val="en-US"/>
        </w:rPr>
      </w:pPr>
      <w:r w:rsidRPr="0044654D">
        <w:rPr>
          <w:rStyle w:val="EndnoteReference"/>
          <w:szCs w:val="20"/>
        </w:rPr>
        <w:endnoteRef/>
      </w:r>
      <w:r w:rsidRPr="0044654D">
        <w:rPr>
          <w:szCs w:val="20"/>
        </w:rPr>
        <w:t xml:space="preserve"> See Virginia Commonwealth University, Online Master’s in Homeland Security and Emergency Preparedness, “Artificial Intelligence (AI) Challenges and Opportunities in National Security” (December</w:t>
      </w:r>
      <w:r w:rsidR="00862D3E">
        <w:rPr>
          <w:szCs w:val="20"/>
        </w:rPr>
        <w:t xml:space="preserve"> 6, </w:t>
      </w:r>
      <w:r w:rsidRPr="0044654D">
        <w:rPr>
          <w:szCs w:val="20"/>
        </w:rPr>
        <w:t xml:space="preserve"> 2023), online: </w:t>
      </w:r>
      <w:hyperlink r:id="rId23" w:history="1">
        <w:r w:rsidRPr="0044654D">
          <w:rPr>
            <w:rStyle w:val="Hyperlink"/>
            <w:szCs w:val="20"/>
          </w:rPr>
          <w:t>https://onlinewilder.vcu.edu/blog/ai-challenges-and-opportunities-national-security/</w:t>
        </w:r>
      </w:hyperlink>
      <w:r w:rsidRPr="0044654D">
        <w:rPr>
          <w:szCs w:val="20"/>
        </w:rPr>
        <w:t>.</w:t>
      </w:r>
    </w:p>
  </w:endnote>
  <w:endnote w:id="52">
    <w:p w14:paraId="7CF79D9C" w14:textId="3C09715E" w:rsidR="00630390" w:rsidRPr="0044654D" w:rsidRDefault="00630390" w:rsidP="00F968D9">
      <w:pPr>
        <w:pStyle w:val="EndnoteText"/>
        <w:rPr>
          <w:szCs w:val="20"/>
          <w:lang w:val="en-US"/>
        </w:rPr>
      </w:pPr>
      <w:r w:rsidRPr="0044654D">
        <w:rPr>
          <w:rStyle w:val="EndnoteReference"/>
          <w:szCs w:val="20"/>
        </w:rPr>
        <w:endnoteRef/>
      </w:r>
      <w:r w:rsidRPr="0044654D">
        <w:rPr>
          <w:szCs w:val="20"/>
        </w:rPr>
        <w:t xml:space="preserve"> Government of Canada, Canadian General Standards Board, </w:t>
      </w:r>
      <w:r w:rsidRPr="0044654D">
        <w:rPr>
          <w:i/>
          <w:iCs/>
          <w:szCs w:val="20"/>
        </w:rPr>
        <w:t xml:space="preserve">Electronic </w:t>
      </w:r>
      <w:r w:rsidR="00862D3E">
        <w:rPr>
          <w:i/>
          <w:iCs/>
          <w:szCs w:val="20"/>
        </w:rPr>
        <w:t>R</w:t>
      </w:r>
      <w:r w:rsidRPr="0044654D">
        <w:rPr>
          <w:i/>
          <w:iCs/>
          <w:szCs w:val="20"/>
        </w:rPr>
        <w:t xml:space="preserve">ecords as </w:t>
      </w:r>
      <w:r w:rsidR="00862D3E">
        <w:rPr>
          <w:i/>
          <w:iCs/>
          <w:szCs w:val="20"/>
        </w:rPr>
        <w:t>D</w:t>
      </w:r>
      <w:r w:rsidRPr="0044654D">
        <w:rPr>
          <w:i/>
          <w:iCs/>
          <w:szCs w:val="20"/>
        </w:rPr>
        <w:t xml:space="preserve">ocumentary </w:t>
      </w:r>
      <w:r w:rsidR="00862D3E">
        <w:rPr>
          <w:i/>
          <w:iCs/>
          <w:szCs w:val="20"/>
        </w:rPr>
        <w:t>E</w:t>
      </w:r>
      <w:r w:rsidRPr="0044654D">
        <w:rPr>
          <w:i/>
          <w:iCs/>
          <w:szCs w:val="20"/>
        </w:rPr>
        <w:t>vidence</w:t>
      </w:r>
      <w:r w:rsidRPr="0044654D">
        <w:rPr>
          <w:szCs w:val="20"/>
        </w:rPr>
        <w:t xml:space="preserve"> (CAN/CGSB-72.34-2017, Reaffirmed March 2022) at </w:t>
      </w:r>
      <w:r w:rsidR="00862D3E">
        <w:rPr>
          <w:szCs w:val="20"/>
        </w:rPr>
        <w:t xml:space="preserve">p. </w:t>
      </w:r>
      <w:r w:rsidRPr="0044654D">
        <w:rPr>
          <w:szCs w:val="20"/>
        </w:rPr>
        <w:t>ii, online</w:t>
      </w:r>
      <w:r w:rsidR="00862D3E">
        <w:rPr>
          <w:szCs w:val="20"/>
        </w:rPr>
        <w:t xml:space="preserve">: </w:t>
      </w:r>
      <w:hyperlink r:id="rId24" w:history="1">
        <w:r w:rsidR="00862D3E" w:rsidRPr="00455C63">
          <w:rPr>
            <w:rStyle w:val="Hyperlink"/>
            <w:szCs w:val="20"/>
          </w:rPr>
          <w:t>https://publications.gc.ca/collections/collection_2022/ongc-cgsb/P29-072-034-2022-eng.pdf</w:t>
        </w:r>
      </w:hyperlink>
      <w:r w:rsidR="00862D3E">
        <w:rPr>
          <w:szCs w:val="20"/>
        </w:rPr>
        <w:t>.</w:t>
      </w:r>
    </w:p>
  </w:endnote>
  <w:endnote w:id="53">
    <w:p w14:paraId="45EC9264" w14:textId="3193F13F" w:rsidR="00167335" w:rsidRDefault="00167335">
      <w:pPr>
        <w:pStyle w:val="EndnoteText"/>
      </w:pPr>
      <w:r>
        <w:rPr>
          <w:rStyle w:val="EndnoteReference"/>
        </w:rPr>
        <w:endnoteRef/>
      </w:r>
      <w:r>
        <w:t xml:space="preserve"> </w:t>
      </w:r>
      <w:r w:rsidR="00710E43">
        <w:t>Many articles discuss the limitations of AI reasoning and explainability, and many more recent ones discussion the struggle of major AI companies to incorporate reasoning and explainability functions into their products. For a good introduction to limitations of large language model technology in this regard, see ArsTechnica, “</w:t>
      </w:r>
      <w:r w:rsidR="00710E43" w:rsidRPr="00710E43">
        <w:t>A jargon-free explanation of how AI large language models work</w:t>
      </w:r>
      <w:r w:rsidR="00710E43">
        <w:t>” (</w:t>
      </w:r>
      <w:r w:rsidR="00710E43" w:rsidRPr="00710E43">
        <w:t>Jul</w:t>
      </w:r>
      <w:r w:rsidR="00710E43">
        <w:t>y</w:t>
      </w:r>
      <w:r w:rsidR="00710E43" w:rsidRPr="00710E43">
        <w:t xml:space="preserve"> 31, 2023</w:t>
      </w:r>
      <w:r w:rsidR="00710E43">
        <w:t xml:space="preserve">), online: </w:t>
      </w:r>
      <w:hyperlink r:id="rId25" w:history="1">
        <w:r w:rsidR="00710E43" w:rsidRPr="00455C63">
          <w:rPr>
            <w:rStyle w:val="Hyperlink"/>
          </w:rPr>
          <w:t>https://arstechnica.com/science/2023/07/a-jargon-free-explanation-of-how-ai-large-language-models-work/</w:t>
        </w:r>
      </w:hyperlink>
      <w:r w:rsidR="00710E43">
        <w:t xml:space="preserve">. </w:t>
      </w:r>
    </w:p>
  </w:endnote>
  <w:endnote w:id="54">
    <w:p w14:paraId="426656B1" w14:textId="22F140C5" w:rsidR="00630390" w:rsidRPr="0044654D" w:rsidRDefault="00630390" w:rsidP="00F968D9">
      <w:pPr>
        <w:pStyle w:val="EndnoteText"/>
        <w:rPr>
          <w:szCs w:val="20"/>
          <w:lang w:val="en-US"/>
        </w:rPr>
      </w:pPr>
      <w:r w:rsidRPr="0044654D">
        <w:rPr>
          <w:rStyle w:val="EndnoteReference"/>
          <w:szCs w:val="20"/>
        </w:rPr>
        <w:endnoteRef/>
      </w:r>
      <w:r w:rsidRPr="0044654D">
        <w:rPr>
          <w:szCs w:val="20"/>
        </w:rPr>
        <w:t xml:space="preserve"> </w:t>
      </w:r>
      <w:r w:rsidR="00B41592">
        <w:rPr>
          <w:szCs w:val="20"/>
        </w:rPr>
        <w:t xml:space="preserve">Ontario </w:t>
      </w:r>
      <w:r w:rsidRPr="0044654D">
        <w:rPr>
          <w:i/>
          <w:iCs/>
          <w:szCs w:val="20"/>
        </w:rPr>
        <w:t>Evidence Act</w:t>
      </w:r>
      <w:r w:rsidRPr="0044654D">
        <w:rPr>
          <w:szCs w:val="20"/>
        </w:rPr>
        <w:t xml:space="preserve"> (</w:t>
      </w:r>
      <w:r w:rsidRPr="0044654D">
        <w:rPr>
          <w:color w:val="221E1F"/>
          <w:szCs w:val="20"/>
        </w:rPr>
        <w:t>RSO 1990, c</w:t>
      </w:r>
      <w:r w:rsidR="00B41592">
        <w:rPr>
          <w:color w:val="221E1F"/>
          <w:szCs w:val="20"/>
        </w:rPr>
        <w:t>.</w:t>
      </w:r>
      <w:r w:rsidRPr="0044654D">
        <w:rPr>
          <w:color w:val="221E1F"/>
          <w:szCs w:val="20"/>
        </w:rPr>
        <w:t xml:space="preserve"> E</w:t>
      </w:r>
      <w:r w:rsidR="00B41592">
        <w:rPr>
          <w:color w:val="221E1F"/>
          <w:szCs w:val="20"/>
        </w:rPr>
        <w:t>.</w:t>
      </w:r>
      <w:r w:rsidRPr="0044654D">
        <w:rPr>
          <w:color w:val="221E1F"/>
          <w:szCs w:val="20"/>
        </w:rPr>
        <w:t xml:space="preserve">23), online: </w:t>
      </w:r>
      <w:hyperlink r:id="rId26" w:history="1">
        <w:r w:rsidRPr="0044654D">
          <w:rPr>
            <w:rStyle w:val="Hyperlink"/>
            <w:szCs w:val="20"/>
          </w:rPr>
          <w:t>https://www.ontario.ca/laws/statute/90e23</w:t>
        </w:r>
      </w:hyperlink>
      <w:r w:rsidRPr="0044654D">
        <w:rPr>
          <w:color w:val="221E1F"/>
          <w:szCs w:val="20"/>
        </w:rPr>
        <w:t>.</w:t>
      </w:r>
    </w:p>
  </w:endnote>
  <w:endnote w:id="55">
    <w:p w14:paraId="24C5E723" w14:textId="35CD7C29" w:rsidR="00B50F44" w:rsidRDefault="00B50F44">
      <w:pPr>
        <w:pStyle w:val="EndnoteText"/>
      </w:pPr>
      <w:r>
        <w:rPr>
          <w:rStyle w:val="EndnoteReference"/>
        </w:rPr>
        <w:endnoteRef/>
      </w:r>
      <w:r>
        <w:t xml:space="preserve"> It is noted that not all </w:t>
      </w:r>
      <w:r w:rsidRPr="00B50F44">
        <w:t>computer applications are not truly "black box</w:t>
      </w:r>
      <w:r>
        <w:t>.</w:t>
      </w:r>
      <w:r w:rsidRPr="00B50F44">
        <w:t>"</w:t>
      </w:r>
      <w:r>
        <w:t xml:space="preserve"> </w:t>
      </w:r>
      <w:r w:rsidRPr="00B50F44">
        <w:t>Informed experts can, if necessary, explain how they work</w:t>
      </w:r>
      <w:r w:rsidR="00B41592">
        <w:t>, if not explain or rationalize the reasoning behind particular AI outputs (on this point, see end note 55 above)</w:t>
      </w:r>
      <w:r w:rsidRPr="00B50F44">
        <w:t xml:space="preserve">. And although difficult, this can be done in a manner that </w:t>
      </w:r>
      <w:r w:rsidR="00B41592">
        <w:t>may be</w:t>
      </w:r>
      <w:r w:rsidRPr="00B50F44">
        <w:t xml:space="preserve"> sufficiently (1) accessible for the trier of fact to comprehend, and (2) transparent for the other party to challenge</w:t>
      </w:r>
      <w:r>
        <w:t xml:space="preserve">. For example, see </w:t>
      </w:r>
      <w:r w:rsidRPr="00B50F44">
        <w:rPr>
          <w:i/>
          <w:iCs/>
        </w:rPr>
        <w:t>U.S. v. Sterlingov</w:t>
      </w:r>
      <w:r>
        <w:t xml:space="preserve"> (</w:t>
      </w:r>
      <w:r w:rsidRPr="00B50F44">
        <w:t>2024 WL 860983</w:t>
      </w:r>
      <w:r>
        <w:t>)</w:t>
      </w:r>
      <w:r w:rsidRPr="00B50F44">
        <w:t>. Admittedly, Large Language Models (LLMs) do seem to have a block box quality, insofar as their analytical paths are indiscernible and their conclusions non-replicable. However, will LLMs be employed in the criminal justice system in ways that materially impact the disposition of the proceeding?</w:t>
      </w:r>
    </w:p>
  </w:endnote>
  <w:endnote w:id="56">
    <w:p w14:paraId="21F33337" w14:textId="15044FE2" w:rsidR="008A30A7" w:rsidRDefault="008A30A7">
      <w:pPr>
        <w:pStyle w:val="EndnoteText"/>
      </w:pPr>
      <w:r>
        <w:rPr>
          <w:rStyle w:val="EndnoteReference"/>
        </w:rPr>
        <w:endnoteRef/>
      </w:r>
      <w:r>
        <w:t xml:space="preserve"> See for example </w:t>
      </w:r>
      <w:r w:rsidRPr="008A30A7">
        <w:rPr>
          <w:i/>
          <w:iCs/>
        </w:rPr>
        <w:t>R. v. Scheel</w:t>
      </w:r>
      <w:r>
        <w:t xml:space="preserve"> (</w:t>
      </w:r>
      <w:r w:rsidRPr="008A30A7">
        <w:t>1978 CanLII 2414 (ONCA)</w:t>
      </w:r>
      <w:r>
        <w:t>)</w:t>
      </w:r>
      <w:r w:rsidRPr="008A30A7">
        <w:t xml:space="preserve"> and its progeny</w:t>
      </w:r>
      <w:r>
        <w:t>.</w:t>
      </w:r>
    </w:p>
  </w:endnote>
  <w:endnote w:id="57">
    <w:p w14:paraId="436CB4A1" w14:textId="27E4CCA8" w:rsidR="00630390" w:rsidRPr="0044654D" w:rsidRDefault="00630390" w:rsidP="00B41592">
      <w:pPr>
        <w:pStyle w:val="EndnoteText"/>
        <w:rPr>
          <w:szCs w:val="20"/>
        </w:rPr>
      </w:pPr>
      <w:r w:rsidRPr="0044654D">
        <w:rPr>
          <w:rStyle w:val="EndnoteReference"/>
          <w:szCs w:val="20"/>
        </w:rPr>
        <w:endnoteRef/>
      </w:r>
      <w:r w:rsidRPr="0044654D">
        <w:rPr>
          <w:szCs w:val="20"/>
        </w:rPr>
        <w:t xml:space="preserve"> </w:t>
      </w:r>
      <w:r w:rsidR="00B41592">
        <w:rPr>
          <w:szCs w:val="20"/>
        </w:rPr>
        <w:t>For an excellent and helpful summary, see the presentation of Professor Suzanne Chiodo, “</w:t>
      </w:r>
      <w:r w:rsidR="00B41592" w:rsidRPr="00B41592">
        <w:rPr>
          <w:szCs w:val="20"/>
        </w:rPr>
        <w:t>How AI Implicates Key Evidence Principles</w:t>
      </w:r>
      <w:r w:rsidR="00B41592">
        <w:rPr>
          <w:szCs w:val="20"/>
        </w:rPr>
        <w:t xml:space="preserve"> </w:t>
      </w:r>
      <w:r w:rsidR="00B41592" w:rsidRPr="00B41592">
        <w:rPr>
          <w:szCs w:val="20"/>
        </w:rPr>
        <w:t>Handling the Evidentiary Implications of Artificial Intelligence</w:t>
      </w:r>
      <w:r w:rsidR="00B41592">
        <w:rPr>
          <w:szCs w:val="20"/>
        </w:rPr>
        <w:t>” (Ontario Bar Association, “</w:t>
      </w:r>
      <w:r w:rsidR="00B41592" w:rsidRPr="00B41592">
        <w:rPr>
          <w:szCs w:val="20"/>
        </w:rPr>
        <w:t>A</w:t>
      </w:r>
      <w:r w:rsidR="00B41592">
        <w:rPr>
          <w:szCs w:val="20"/>
        </w:rPr>
        <w:t>I</w:t>
      </w:r>
      <w:r w:rsidR="00B41592" w:rsidRPr="00B41592">
        <w:rPr>
          <w:szCs w:val="20"/>
        </w:rPr>
        <w:t xml:space="preserve"> Trial Advocacy: Your Guide To Handling The</w:t>
      </w:r>
      <w:r w:rsidR="00B41592">
        <w:rPr>
          <w:szCs w:val="20"/>
        </w:rPr>
        <w:t xml:space="preserve"> </w:t>
      </w:r>
      <w:r w:rsidR="00B41592" w:rsidRPr="00B41592">
        <w:rPr>
          <w:szCs w:val="20"/>
        </w:rPr>
        <w:t>Evidentiary Implications Of Artificial</w:t>
      </w:r>
      <w:r w:rsidR="00B41592">
        <w:rPr>
          <w:szCs w:val="20"/>
        </w:rPr>
        <w:t xml:space="preserve"> </w:t>
      </w:r>
      <w:r w:rsidR="00B41592" w:rsidRPr="00B41592">
        <w:rPr>
          <w:szCs w:val="20"/>
        </w:rPr>
        <w:t>Intelligence</w:t>
      </w:r>
      <w:r w:rsidR="00B41592">
        <w:rPr>
          <w:szCs w:val="20"/>
        </w:rPr>
        <w:t xml:space="preserve"> </w:t>
      </w:r>
      <w:r w:rsidR="00B41592" w:rsidRPr="00B41592">
        <w:rPr>
          <w:szCs w:val="20"/>
        </w:rPr>
        <w:t>Day 1: In Advance Of Trial</w:t>
      </w:r>
      <w:r w:rsidR="00B41592">
        <w:rPr>
          <w:szCs w:val="20"/>
        </w:rPr>
        <w:t xml:space="preserve">” (November 1, 2024), online: </w:t>
      </w:r>
      <w:hyperlink r:id="rId27" w:history="1">
        <w:r w:rsidR="00B41592" w:rsidRPr="00455C63">
          <w:rPr>
            <w:rStyle w:val="Hyperlink"/>
            <w:szCs w:val="20"/>
          </w:rPr>
          <w:t>https://www.cbapd.org/details_en.aspx?id=on_on24oba54c</w:t>
        </w:r>
      </w:hyperlink>
      <w:r w:rsidR="00B41592">
        <w:rPr>
          <w:szCs w:val="20"/>
        </w:rPr>
        <w:t>.</w:t>
      </w:r>
    </w:p>
  </w:endnote>
  <w:endnote w:id="58">
    <w:p w14:paraId="5EF8DB4A" w14:textId="3814F07A" w:rsidR="00630390" w:rsidRPr="0044654D" w:rsidRDefault="00630390">
      <w:pPr>
        <w:pStyle w:val="EndnoteText"/>
        <w:rPr>
          <w:szCs w:val="20"/>
        </w:rPr>
      </w:pPr>
      <w:r w:rsidRPr="0044654D">
        <w:rPr>
          <w:rStyle w:val="EndnoteReference"/>
          <w:szCs w:val="20"/>
        </w:rPr>
        <w:endnoteRef/>
      </w:r>
      <w:r w:rsidRPr="0044654D">
        <w:rPr>
          <w:szCs w:val="20"/>
        </w:rPr>
        <w:t xml:space="preserve"> Paul W. Grimm, Maura R. Grossman, and Gordon V. Cormack, </w:t>
      </w:r>
      <w:r w:rsidR="00E26517">
        <w:rPr>
          <w:szCs w:val="20"/>
        </w:rPr>
        <w:t>“</w:t>
      </w:r>
      <w:r w:rsidRPr="0044654D">
        <w:rPr>
          <w:szCs w:val="20"/>
        </w:rPr>
        <w:t>Artificial Intelligence as Evidence</w:t>
      </w:r>
      <w:r w:rsidR="00E26517">
        <w:rPr>
          <w:szCs w:val="20"/>
        </w:rPr>
        <w:t>” (</w:t>
      </w:r>
      <w:r w:rsidRPr="0044654D">
        <w:rPr>
          <w:szCs w:val="20"/>
        </w:rPr>
        <w:t>19 NW. J. TECH. &amp; INTELL. PROP. 9 (2021)</w:t>
      </w:r>
      <w:r w:rsidR="00E26517">
        <w:rPr>
          <w:szCs w:val="20"/>
        </w:rPr>
        <w:t xml:space="preserve">), </w:t>
      </w:r>
      <w:r w:rsidR="00E26517" w:rsidRPr="0044654D">
        <w:rPr>
          <w:szCs w:val="20"/>
        </w:rPr>
        <w:t>at p.96</w:t>
      </w:r>
      <w:r w:rsidR="00E26517">
        <w:rPr>
          <w:szCs w:val="20"/>
        </w:rPr>
        <w:t xml:space="preserve">, online: </w:t>
      </w:r>
      <w:hyperlink r:id="rId28" w:history="1">
        <w:r w:rsidR="00E26517" w:rsidRPr="00455C63">
          <w:rPr>
            <w:rStyle w:val="Hyperlink"/>
            <w:szCs w:val="20"/>
          </w:rPr>
          <w:t>https://scholarlycommons.law.northwestern.edu/njtip/vol19/iss1/2</w:t>
        </w:r>
      </w:hyperlink>
      <w:r w:rsidR="00E26517">
        <w:rPr>
          <w:szCs w:val="20"/>
        </w:rPr>
        <w:t>.</w:t>
      </w:r>
    </w:p>
  </w:endnote>
  <w:endnote w:id="59">
    <w:p w14:paraId="4956A514" w14:textId="4E01C665" w:rsidR="00630390" w:rsidRPr="0044654D" w:rsidRDefault="00630390">
      <w:pPr>
        <w:pStyle w:val="EndnoteText"/>
        <w:rPr>
          <w:szCs w:val="20"/>
        </w:rPr>
      </w:pPr>
      <w:r w:rsidRPr="0044654D">
        <w:rPr>
          <w:rStyle w:val="EndnoteReference"/>
          <w:szCs w:val="20"/>
        </w:rPr>
        <w:endnoteRef/>
      </w:r>
      <w:r w:rsidRPr="0044654D">
        <w:rPr>
          <w:szCs w:val="20"/>
        </w:rPr>
        <w:t xml:space="preserve"> </w:t>
      </w:r>
      <w:r w:rsidR="00574257" w:rsidRPr="0044654D">
        <w:rPr>
          <w:color w:val="262526"/>
          <w:szCs w:val="20"/>
        </w:rPr>
        <w:t xml:space="preserve">Law Commission of Ontario, </w:t>
      </w:r>
      <w:r w:rsidR="00574257" w:rsidRPr="0044654D">
        <w:rPr>
          <w:i/>
          <w:iCs/>
          <w:color w:val="262526"/>
          <w:szCs w:val="20"/>
        </w:rPr>
        <w:t>AI Case Study: Probabilistic Genotyping DNA Tools in Canadian Criminal Courts</w:t>
      </w:r>
      <w:r w:rsidR="00574257" w:rsidRPr="0044654D">
        <w:rPr>
          <w:color w:val="262526"/>
          <w:szCs w:val="20"/>
        </w:rPr>
        <w:t xml:space="preserve"> (2021)</w:t>
      </w:r>
      <w:r w:rsidR="0062632C">
        <w:rPr>
          <w:color w:val="262526"/>
          <w:szCs w:val="20"/>
        </w:rPr>
        <w:t>,</w:t>
      </w:r>
      <w:r w:rsidR="00574257" w:rsidRPr="0044654D">
        <w:rPr>
          <w:color w:val="262526"/>
          <w:szCs w:val="20"/>
        </w:rPr>
        <w:t xml:space="preserve"> </w:t>
      </w:r>
      <w:r w:rsidR="00574257">
        <w:rPr>
          <w:color w:val="262526"/>
          <w:szCs w:val="20"/>
        </w:rPr>
        <w:t xml:space="preserve">online: </w:t>
      </w:r>
      <w:hyperlink r:id="rId29" w:history="1">
        <w:r w:rsidR="00574257" w:rsidRPr="00F9124D">
          <w:rPr>
            <w:rStyle w:val="Hyperlink"/>
            <w:szCs w:val="20"/>
          </w:rPr>
          <w:t>https://www.lco-cdo.org/wp-content/uploads/2021/06/AI-PG-Case-Study-Final-EN-June-2021-2.pdf</w:t>
        </w:r>
      </w:hyperlink>
      <w:r w:rsidR="00574257">
        <w:rPr>
          <w:color w:val="262526"/>
          <w:szCs w:val="20"/>
        </w:rPr>
        <w:t>.</w:t>
      </w:r>
    </w:p>
  </w:endnote>
  <w:endnote w:id="60">
    <w:p w14:paraId="48C07CAB" w14:textId="47449BEC" w:rsidR="00630390" w:rsidRPr="0044654D" w:rsidRDefault="00630390">
      <w:pPr>
        <w:pStyle w:val="EndnoteText"/>
        <w:rPr>
          <w:szCs w:val="20"/>
        </w:rPr>
      </w:pPr>
      <w:r w:rsidRPr="0044654D">
        <w:rPr>
          <w:rStyle w:val="EndnoteReference"/>
          <w:szCs w:val="20"/>
        </w:rPr>
        <w:endnoteRef/>
      </w:r>
      <w:r w:rsidRPr="0044654D">
        <w:rPr>
          <w:szCs w:val="20"/>
        </w:rPr>
        <w:t xml:space="preserve"> </w:t>
      </w:r>
      <w:r w:rsidR="00C27179">
        <w:rPr>
          <w:szCs w:val="20"/>
        </w:rPr>
        <w:t>S</w:t>
      </w:r>
      <w:r w:rsidRPr="0044654D">
        <w:rPr>
          <w:szCs w:val="20"/>
        </w:rPr>
        <w:t xml:space="preserve">ee Paul W. Grimm, Maura R. Grossman, and Gordon V. Cormack, </w:t>
      </w:r>
      <w:r w:rsidR="00C27179">
        <w:rPr>
          <w:szCs w:val="20"/>
        </w:rPr>
        <w:t>“</w:t>
      </w:r>
      <w:r w:rsidRPr="0044654D">
        <w:rPr>
          <w:szCs w:val="20"/>
        </w:rPr>
        <w:t>Artificial Intelligence as Evidence</w:t>
      </w:r>
      <w:r w:rsidR="00C27179">
        <w:rPr>
          <w:szCs w:val="20"/>
        </w:rPr>
        <w:t>”</w:t>
      </w:r>
      <w:r w:rsidRPr="0044654D">
        <w:rPr>
          <w:szCs w:val="20"/>
        </w:rPr>
        <w:t xml:space="preserve"> </w:t>
      </w:r>
      <w:r w:rsidR="00C27179">
        <w:rPr>
          <w:szCs w:val="20"/>
        </w:rPr>
        <w:t>(</w:t>
      </w:r>
      <w:r w:rsidRPr="0044654D">
        <w:rPr>
          <w:szCs w:val="20"/>
        </w:rPr>
        <w:t xml:space="preserve">19 NW. J. </w:t>
      </w:r>
      <w:r w:rsidR="00574257">
        <w:rPr>
          <w:szCs w:val="20"/>
        </w:rPr>
        <w:t>Tech</w:t>
      </w:r>
      <w:r w:rsidRPr="0044654D">
        <w:rPr>
          <w:szCs w:val="20"/>
        </w:rPr>
        <w:t>. &amp; I</w:t>
      </w:r>
      <w:r w:rsidR="00574257">
        <w:rPr>
          <w:szCs w:val="20"/>
        </w:rPr>
        <w:t>ntell</w:t>
      </w:r>
      <w:r w:rsidRPr="0044654D">
        <w:rPr>
          <w:szCs w:val="20"/>
        </w:rPr>
        <w:t xml:space="preserve">. </w:t>
      </w:r>
      <w:r w:rsidR="00574257">
        <w:rPr>
          <w:szCs w:val="20"/>
        </w:rPr>
        <w:t>Prop</w:t>
      </w:r>
      <w:r w:rsidRPr="0044654D">
        <w:rPr>
          <w:szCs w:val="20"/>
        </w:rPr>
        <w:t>. 9 (2021)</w:t>
      </w:r>
      <w:r w:rsidR="00C27179">
        <w:rPr>
          <w:szCs w:val="20"/>
        </w:rPr>
        <w:t xml:space="preserve">), online: </w:t>
      </w:r>
      <w:hyperlink r:id="rId30" w:history="1">
        <w:r w:rsidR="00C27179" w:rsidRPr="00455C63">
          <w:rPr>
            <w:rStyle w:val="Hyperlink"/>
            <w:szCs w:val="20"/>
          </w:rPr>
          <w:t>https://scholarlycommons.law.northwestern.edu/njtip/vol19/iss1/2</w:t>
        </w:r>
      </w:hyperlink>
      <w:r w:rsidR="00C27179">
        <w:rPr>
          <w:szCs w:val="20"/>
        </w:rPr>
        <w:t xml:space="preserve">. </w:t>
      </w:r>
    </w:p>
  </w:endnote>
  <w:endnote w:id="61">
    <w:p w14:paraId="25A7164C" w14:textId="6ED052DC" w:rsidR="00630390" w:rsidRPr="0044654D" w:rsidRDefault="00630390" w:rsidP="00817D00">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Courts of Justice Act</w:t>
      </w:r>
      <w:r w:rsidRPr="0044654D">
        <w:rPr>
          <w:szCs w:val="20"/>
        </w:rPr>
        <w:t xml:space="preserve"> (RSO 1990, c</w:t>
      </w:r>
      <w:r w:rsidR="00574257">
        <w:rPr>
          <w:szCs w:val="20"/>
        </w:rPr>
        <w:t>.</w:t>
      </w:r>
      <w:r w:rsidRPr="0044654D">
        <w:rPr>
          <w:szCs w:val="20"/>
        </w:rPr>
        <w:t xml:space="preserve"> C43), online: </w:t>
      </w:r>
      <w:hyperlink r:id="rId31" w:history="1">
        <w:r w:rsidRPr="0044654D">
          <w:rPr>
            <w:rStyle w:val="Hyperlink"/>
            <w:szCs w:val="20"/>
          </w:rPr>
          <w:t>https://www.ontario.ca/laws/statute/90c43</w:t>
        </w:r>
      </w:hyperlink>
      <w:r w:rsidRPr="0044654D">
        <w:rPr>
          <w:szCs w:val="20"/>
        </w:rPr>
        <w:t>.</w:t>
      </w:r>
    </w:p>
  </w:endnote>
  <w:endnote w:id="62">
    <w:p w14:paraId="0B6BF5AB" w14:textId="56DBCD34" w:rsidR="001D1DFE" w:rsidRDefault="001D1DFE">
      <w:pPr>
        <w:pStyle w:val="EndnoteText"/>
      </w:pPr>
      <w:r>
        <w:rPr>
          <w:rStyle w:val="EndnoteReference"/>
        </w:rPr>
        <w:endnoteRef/>
      </w:r>
      <w:r>
        <w:t xml:space="preserve"> </w:t>
      </w:r>
      <w:r w:rsidR="0059036B" w:rsidRPr="0044654D">
        <w:rPr>
          <w:i/>
          <w:iCs/>
          <w:szCs w:val="20"/>
        </w:rPr>
        <w:t>Courts of Justice Act</w:t>
      </w:r>
      <w:r w:rsidR="0059036B" w:rsidRPr="0044654D">
        <w:rPr>
          <w:szCs w:val="20"/>
        </w:rPr>
        <w:t xml:space="preserve"> </w:t>
      </w:r>
      <w:r w:rsidR="0059036B">
        <w:rPr>
          <w:szCs w:val="20"/>
        </w:rPr>
        <w:t xml:space="preserve">at </w:t>
      </w:r>
      <w:r w:rsidRPr="001D1DFE">
        <w:t>s. 69 -70</w:t>
      </w:r>
      <w:r w:rsidR="0059036B">
        <w:t xml:space="preserve">. </w:t>
      </w:r>
    </w:p>
  </w:endnote>
  <w:endnote w:id="63">
    <w:p w14:paraId="2662E143" w14:textId="77777777" w:rsidR="00630390" w:rsidRPr="0044654D" w:rsidRDefault="00630390" w:rsidP="00115062">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Federal Court of Canada, “Interim Principles and Guidelines on the Court’s Use of Artificial Intelligence” (December 20 2023), online: </w:t>
      </w:r>
      <w:hyperlink r:id="rId32" w:history="1">
        <w:r w:rsidRPr="0044654D">
          <w:rPr>
            <w:rStyle w:val="Hyperlink"/>
            <w:szCs w:val="20"/>
            <w:lang w:val="en-US"/>
          </w:rPr>
          <w:t>https://www.fct-cf.gc.ca/en/pages/law-and-practice/artificial-intelligence</w:t>
        </w:r>
      </w:hyperlink>
      <w:r w:rsidRPr="0044654D">
        <w:rPr>
          <w:szCs w:val="20"/>
          <w:lang w:val="en-US"/>
        </w:rPr>
        <w:t xml:space="preserve">; Federal Court of Canada, “Notice to the Parties and the Profession - The Use of Artificial Intelligence in Court Proceedings” (December 20 2024), online: </w:t>
      </w:r>
      <w:hyperlink r:id="rId33" w:history="1">
        <w:r w:rsidRPr="0044654D">
          <w:rPr>
            <w:rStyle w:val="Hyperlink"/>
            <w:szCs w:val="20"/>
            <w:lang w:val="en-US"/>
          </w:rPr>
          <w:t>https://www.fct-cf.gc.ca/Content/assets/pdf/base/2023-12-20-notice-use-of-ai-in-court-proceedings.pdf</w:t>
        </w:r>
      </w:hyperlink>
      <w:r w:rsidRPr="0044654D">
        <w:rPr>
          <w:szCs w:val="20"/>
          <w:lang w:val="en-US"/>
        </w:rPr>
        <w:t>.</w:t>
      </w:r>
    </w:p>
  </w:endnote>
  <w:endnote w:id="64">
    <w:p w14:paraId="3A68914C" w14:textId="77777777" w:rsidR="00630390" w:rsidRPr="0044654D" w:rsidRDefault="00630390" w:rsidP="00115062">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Federal Court of Canada, “Interim Principles and Guidelines on the Court’s Use of Artificial Intelligence” (December 20 2023), online: </w:t>
      </w:r>
      <w:hyperlink r:id="rId34" w:history="1">
        <w:r w:rsidRPr="0044654D">
          <w:rPr>
            <w:rStyle w:val="Hyperlink"/>
            <w:szCs w:val="20"/>
            <w:lang w:val="en-US"/>
          </w:rPr>
          <w:t>https://www.fct-cf.gc.ca/en/pages/law-and-practice/artificial-intelligence</w:t>
        </w:r>
      </w:hyperlink>
      <w:r w:rsidRPr="0044654D">
        <w:rPr>
          <w:szCs w:val="20"/>
          <w:lang w:val="en-US"/>
        </w:rPr>
        <w:t>.</w:t>
      </w:r>
    </w:p>
  </w:endnote>
  <w:endnote w:id="65">
    <w:p w14:paraId="589AE5CD" w14:textId="77777777" w:rsidR="00630390" w:rsidRPr="0044654D" w:rsidRDefault="00630390" w:rsidP="00115062">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Federal Court of Canada, “Interim Principles and Guidelines on the Court’s Use of Artificial Intelligence” (December 20 2023), online: </w:t>
      </w:r>
      <w:hyperlink r:id="rId35" w:history="1">
        <w:r w:rsidRPr="0044654D">
          <w:rPr>
            <w:rStyle w:val="Hyperlink"/>
            <w:szCs w:val="20"/>
            <w:lang w:val="en-US"/>
          </w:rPr>
          <w:t>https://www.fct-cf.gc.ca/en/pages/law-and-practice/artificial-intelligence</w:t>
        </w:r>
      </w:hyperlink>
      <w:r w:rsidRPr="0044654D">
        <w:rPr>
          <w:szCs w:val="20"/>
          <w:lang w:val="en-US"/>
        </w:rPr>
        <w:t>.</w:t>
      </w:r>
    </w:p>
  </w:endnote>
  <w:endnote w:id="66">
    <w:p w14:paraId="496ED778" w14:textId="77777777" w:rsidR="00630390" w:rsidRPr="0044654D" w:rsidRDefault="00630390" w:rsidP="00115062">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Federal Court of Canada, “Interim Principles and Guidelines on the Court’s Use of Artificial Intelligence” (December 20 2023), online: </w:t>
      </w:r>
      <w:hyperlink r:id="rId36" w:history="1">
        <w:r w:rsidRPr="0044654D">
          <w:rPr>
            <w:rStyle w:val="Hyperlink"/>
            <w:szCs w:val="20"/>
            <w:lang w:val="en-US"/>
          </w:rPr>
          <w:t>https://www.fct-cf.gc.ca/en/pages/law-and-practice/artificial-intelligence</w:t>
        </w:r>
      </w:hyperlink>
      <w:r w:rsidRPr="0044654D">
        <w:rPr>
          <w:szCs w:val="20"/>
          <w:lang w:val="en-US"/>
        </w:rPr>
        <w:t>.</w:t>
      </w:r>
    </w:p>
  </w:endnote>
  <w:endnote w:id="67">
    <w:p w14:paraId="3C4CE2F2" w14:textId="77777777" w:rsidR="00630390" w:rsidRPr="0044654D" w:rsidRDefault="00630390" w:rsidP="00115062">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Federal Court of Canada, “Interim Principles and Guidelines on the Court’s Use of Artificial Intelligence” (December 20 2023), online: </w:t>
      </w:r>
      <w:hyperlink r:id="rId37" w:history="1">
        <w:r w:rsidRPr="0044654D">
          <w:rPr>
            <w:rStyle w:val="Hyperlink"/>
            <w:szCs w:val="20"/>
            <w:lang w:val="en-US"/>
          </w:rPr>
          <w:t>https://www.fct-cf.gc.ca/en/pages/law-and-practice/artificial-intelligence</w:t>
        </w:r>
      </w:hyperlink>
      <w:r w:rsidRPr="0044654D">
        <w:rPr>
          <w:szCs w:val="20"/>
          <w:lang w:val="en-US"/>
        </w:rPr>
        <w:t>.</w:t>
      </w:r>
    </w:p>
  </w:endnote>
  <w:endnote w:id="68">
    <w:p w14:paraId="59DB7567" w14:textId="77777777" w:rsidR="00630390" w:rsidRPr="0044654D" w:rsidRDefault="00630390" w:rsidP="00115062">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Federal Court, “Notice to the Parties and the Profession: The Use of Artificial Intelligence in Court Proceedings” (20 December 2023), online: </w:t>
      </w:r>
      <w:hyperlink r:id="rId38" w:history="1">
        <w:r w:rsidRPr="0044654D">
          <w:rPr>
            <w:rStyle w:val="Hyperlink"/>
            <w:szCs w:val="20"/>
            <w:lang w:val="en-US"/>
          </w:rPr>
          <w:t>https://www.fct-cf.gc.ca/Content/assets/pdf/base/2023-12-20-notice-use-of-ai-in-court-proceedings.pdf</w:t>
        </w:r>
      </w:hyperlink>
      <w:r w:rsidRPr="0044654D">
        <w:rPr>
          <w:szCs w:val="20"/>
          <w:lang w:val="en-US"/>
        </w:rPr>
        <w:t>.</w:t>
      </w:r>
    </w:p>
  </w:endnote>
  <w:endnote w:id="69">
    <w:p w14:paraId="18F6DC9A" w14:textId="77777777" w:rsidR="00630390" w:rsidRPr="0044654D" w:rsidRDefault="00630390" w:rsidP="00115062">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Federal Court of Canada, “Interim Principles and Guidelines on the Court’s Use of Artificial Intelligence” (December 20 2023), online: </w:t>
      </w:r>
      <w:hyperlink r:id="rId39" w:history="1">
        <w:r w:rsidRPr="0044654D">
          <w:rPr>
            <w:rStyle w:val="Hyperlink"/>
            <w:szCs w:val="20"/>
            <w:lang w:val="en-US"/>
          </w:rPr>
          <w:t>https://www.fct-cf.gc.ca/en/pages/law-and-practice/artificial-intelligence</w:t>
        </w:r>
      </w:hyperlink>
      <w:r w:rsidRPr="0044654D">
        <w:rPr>
          <w:szCs w:val="20"/>
          <w:lang w:val="en-US"/>
        </w:rPr>
        <w:t>.</w:t>
      </w:r>
    </w:p>
  </w:endnote>
  <w:endnote w:id="70">
    <w:p w14:paraId="5179B18C" w14:textId="77777777" w:rsidR="00630390" w:rsidRPr="0044654D" w:rsidRDefault="00630390" w:rsidP="00115062">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Federal Court of Canada, “Notice to the Parties and the Profession - The Use of Artificial Intelligence in Court Proceedings” (December 20 2024), online: </w:t>
      </w:r>
      <w:hyperlink r:id="rId40" w:history="1">
        <w:r w:rsidRPr="0044654D">
          <w:rPr>
            <w:rStyle w:val="Hyperlink"/>
            <w:szCs w:val="20"/>
            <w:lang w:val="en-US"/>
          </w:rPr>
          <w:t>https://www.fct-cf.gc.ca/Content/assets/pdf/base/2023-12-20-notice-use-of-ai-in-court-proceedings.pdf</w:t>
        </w:r>
      </w:hyperlink>
      <w:r w:rsidRPr="0044654D">
        <w:rPr>
          <w:szCs w:val="20"/>
          <w:lang w:val="en-US"/>
        </w:rPr>
        <w:t>.</w:t>
      </w:r>
    </w:p>
  </w:endnote>
  <w:endnote w:id="71">
    <w:p w14:paraId="3B09542A" w14:textId="77777777" w:rsidR="00630390" w:rsidRPr="0044654D" w:rsidRDefault="00630390" w:rsidP="00721305">
      <w:pPr>
        <w:pStyle w:val="EndnoteText"/>
        <w:rPr>
          <w:i/>
          <w:iCs/>
          <w:szCs w:val="20"/>
          <w:lang w:val="en-US"/>
        </w:rPr>
      </w:pPr>
      <w:r w:rsidRPr="0044654D">
        <w:rPr>
          <w:rStyle w:val="EndnoteReference"/>
          <w:szCs w:val="20"/>
        </w:rPr>
        <w:endnoteRef/>
      </w:r>
      <w:r w:rsidRPr="0044654D">
        <w:rPr>
          <w:szCs w:val="20"/>
        </w:rPr>
        <w:t xml:space="preserve"> </w:t>
      </w:r>
      <w:r w:rsidRPr="0044654D">
        <w:rPr>
          <w:szCs w:val="20"/>
          <w:lang w:val="en-US"/>
        </w:rPr>
        <w:t xml:space="preserve">Ontario, Ministry of the Attorney General, </w:t>
      </w:r>
      <w:r w:rsidRPr="0044654D">
        <w:rPr>
          <w:i/>
          <w:iCs/>
          <w:szCs w:val="20"/>
          <w:lang w:val="en-US"/>
        </w:rPr>
        <w:t>Published plans and annual reports 2023–2024</w:t>
      </w:r>
      <w:r w:rsidRPr="0044654D">
        <w:rPr>
          <w:szCs w:val="20"/>
          <w:lang w:val="en-US"/>
        </w:rPr>
        <w:t xml:space="preserve"> (15 December 2023), online: </w:t>
      </w:r>
      <w:hyperlink r:id="rId41" w:history="1">
        <w:r w:rsidRPr="0044654D">
          <w:rPr>
            <w:rStyle w:val="Hyperlink"/>
            <w:szCs w:val="20"/>
            <w:lang w:val="en-US"/>
          </w:rPr>
          <w:t>https://www.ontario.ca/page/published-plans-and-annual-reports-2023-2024-ministry-attorney-general</w:t>
        </w:r>
      </w:hyperlink>
      <w:r w:rsidRPr="0044654D">
        <w:rPr>
          <w:szCs w:val="20"/>
          <w:lang w:val="en-US"/>
        </w:rPr>
        <w:t>.</w:t>
      </w:r>
    </w:p>
  </w:endnote>
  <w:endnote w:id="72">
    <w:p w14:paraId="0E5A0321" w14:textId="1E2198BD" w:rsidR="0082618E" w:rsidRDefault="0082618E" w:rsidP="0082618E">
      <w:pPr>
        <w:pStyle w:val="EndnoteText"/>
      </w:pPr>
      <w:r>
        <w:rPr>
          <w:rStyle w:val="EndnoteReference"/>
        </w:rPr>
        <w:endnoteRef/>
      </w:r>
      <w:r>
        <w:t xml:space="preserve"> </w:t>
      </w:r>
      <w:r w:rsidRPr="0082618E">
        <w:t>United Kingdom, Courts and Tribunals Judiciary, “Artificial Intelligence (AI): Guidance for Judicial Office Holders” (December 2023)</w:t>
      </w:r>
      <w:r>
        <w:t xml:space="preserve">, online: </w:t>
      </w:r>
      <w:hyperlink r:id="rId42" w:history="1">
        <w:r w:rsidRPr="00F9124D">
          <w:rPr>
            <w:rStyle w:val="Hyperlink"/>
          </w:rPr>
          <w:t>https://www.judiciary.uk/wp-content/uploads/2023/12/AI-Judicial-Guidance.pdf</w:t>
        </w:r>
      </w:hyperlink>
      <w:r>
        <w:t>.</w:t>
      </w:r>
    </w:p>
  </w:endnote>
  <w:endnote w:id="73">
    <w:p w14:paraId="6A172380" w14:textId="77777777" w:rsidR="001D70FF" w:rsidRPr="001D70FF" w:rsidRDefault="00A46E71" w:rsidP="001D70FF">
      <w:pPr>
        <w:pStyle w:val="EndnoteText"/>
        <w:rPr>
          <w:i/>
          <w:iCs/>
        </w:rPr>
      </w:pPr>
      <w:r>
        <w:rPr>
          <w:rStyle w:val="EndnoteReference"/>
        </w:rPr>
        <w:endnoteRef/>
      </w:r>
      <w:r>
        <w:t xml:space="preserve"> See the following: BloombergLaw.com, “</w:t>
      </w:r>
      <w:r w:rsidRPr="00A46E71">
        <w:t>AI Standing Orders Proliferate as Federal Courts Forge Own Paths</w:t>
      </w:r>
      <w:r>
        <w:t xml:space="preserve">” (November 8, 2023), online: </w:t>
      </w:r>
      <w:hyperlink r:id="rId43" w:history="1">
        <w:r w:rsidRPr="00F9124D">
          <w:rPr>
            <w:rStyle w:val="Hyperlink"/>
          </w:rPr>
          <w:t>https://news.bloomberglaw.com/us-law-week/ai-standing-orders-proliferate-as-federal-courts-forge-own-paths</w:t>
        </w:r>
      </w:hyperlink>
      <w:r>
        <w:t>; Reuters.com, “</w:t>
      </w:r>
      <w:r w:rsidRPr="00A46E71">
        <w:t>Wary courts confront AI pitfalls as 2024 promises more disruption</w:t>
      </w:r>
      <w:r>
        <w:t xml:space="preserve">” (December 28 2023), online: </w:t>
      </w:r>
      <w:hyperlink r:id="rId44" w:history="1">
        <w:r w:rsidRPr="00F9124D">
          <w:rPr>
            <w:rStyle w:val="Hyperlink"/>
          </w:rPr>
          <w:t>https://www.reuters.com/legal/transactional/wary-courts-confront-ai-pitfalls-2024-promises-2023-12-27/</w:t>
        </w:r>
      </w:hyperlink>
      <w:r>
        <w:t xml:space="preserve">; </w:t>
      </w:r>
      <w:r w:rsidR="00963EE6">
        <w:t>Reuters.com, “</w:t>
      </w:r>
      <w:r w:rsidR="00963EE6" w:rsidRPr="00963EE6">
        <w:t>US judicial panel to develop rules to address AI-produced evidence</w:t>
      </w:r>
      <w:r w:rsidR="00963EE6">
        <w:t xml:space="preserve">” (November 8 2024), online: </w:t>
      </w:r>
      <w:hyperlink r:id="rId45" w:history="1">
        <w:r w:rsidR="00963EE6" w:rsidRPr="00F9124D">
          <w:rPr>
            <w:rStyle w:val="Hyperlink"/>
          </w:rPr>
          <w:t>https://www.reuters.com/legal/transactional/us-judicial-panel-develop-rules-address-ai-produced-evidence-2024-11-08/</w:t>
        </w:r>
      </w:hyperlink>
      <w:r w:rsidR="00963EE6">
        <w:t xml:space="preserve">; </w:t>
      </w:r>
      <w:r w:rsidR="001D70FF">
        <w:t xml:space="preserve">The Sedona Conference, </w:t>
      </w:r>
      <w:r w:rsidR="001D70FF" w:rsidRPr="001D70FF">
        <w:rPr>
          <w:i/>
          <w:iCs/>
        </w:rPr>
        <w:t>Navigating AI in the Judiciary: New</w:t>
      </w:r>
    </w:p>
    <w:p w14:paraId="4F671627" w14:textId="5D626398" w:rsidR="00A46E71" w:rsidRDefault="001D70FF" w:rsidP="001D70FF">
      <w:pPr>
        <w:pStyle w:val="EndnoteText"/>
      </w:pPr>
      <w:r w:rsidRPr="001D70FF">
        <w:rPr>
          <w:i/>
          <w:iCs/>
        </w:rPr>
        <w:t>Guidelines for Judges and Their Chambers</w:t>
      </w:r>
      <w:r>
        <w:t xml:space="preserve"> (February 2025), online: </w:t>
      </w:r>
      <w:hyperlink r:id="rId46" w:history="1">
        <w:r w:rsidRPr="00F9124D">
          <w:rPr>
            <w:rStyle w:val="Hyperlink"/>
          </w:rPr>
          <w:t>https://thesedonaconference.org/sites/default/files/publications/Navigating%20AI%20in%20the%20Judiciary_PDF_021925_1.pdf</w:t>
        </w:r>
      </w:hyperlink>
      <w:r>
        <w:t xml:space="preserve">; </w:t>
      </w:r>
      <w:r w:rsidR="00A46E71">
        <w:rPr>
          <w:lang w:val="en-US"/>
        </w:rPr>
        <w:t xml:space="preserve">Federal Judicial Center, </w:t>
      </w:r>
      <w:r w:rsidR="00A46E71" w:rsidRPr="00A46E71">
        <w:rPr>
          <w:i/>
          <w:iCs/>
          <w:lang w:val="en-US"/>
        </w:rPr>
        <w:t>An Introduction to Artificial Intelligence for Federal Judges</w:t>
      </w:r>
      <w:r w:rsidR="00A46E71">
        <w:rPr>
          <w:lang w:val="en-US"/>
        </w:rPr>
        <w:t xml:space="preserve"> (February 13 2023), online: </w:t>
      </w:r>
      <w:hyperlink r:id="rId47" w:history="1">
        <w:r w:rsidR="00A46E71" w:rsidRPr="00F9124D">
          <w:rPr>
            <w:rStyle w:val="Hyperlink"/>
            <w:lang w:val="en-US"/>
          </w:rPr>
          <w:t>https://www.fjc.gov/sites/default/files/materials/47/An_Introduction_to_Artificial_Intelligence_for_Federal_Judges.pdf</w:t>
        </w:r>
      </w:hyperlink>
      <w:r w:rsidR="00A46E71">
        <w:rPr>
          <w:lang w:val="en-US"/>
        </w:rPr>
        <w:t xml:space="preserve">. </w:t>
      </w:r>
    </w:p>
  </w:endnote>
  <w:endnote w:id="74">
    <w:p w14:paraId="4A863F2A" w14:textId="77777777" w:rsidR="00630390" w:rsidRPr="0044654D" w:rsidRDefault="00630390" w:rsidP="00115062">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Ontario, </w:t>
      </w:r>
      <w:r w:rsidRPr="0044654D">
        <w:rPr>
          <w:i/>
          <w:iCs/>
          <w:szCs w:val="20"/>
          <w:lang w:val="en-US"/>
        </w:rPr>
        <w:t xml:space="preserve">Crown Prosecution Manual </w:t>
      </w:r>
      <w:r w:rsidRPr="0044654D">
        <w:rPr>
          <w:szCs w:val="20"/>
          <w:lang w:val="en-US"/>
        </w:rPr>
        <w:t xml:space="preserve">(updated January 24, 2024), online: </w:t>
      </w:r>
      <w:hyperlink r:id="rId48" w:history="1">
        <w:r w:rsidRPr="0044654D">
          <w:rPr>
            <w:rStyle w:val="Hyperlink"/>
            <w:szCs w:val="20"/>
            <w:lang w:val="en-US"/>
          </w:rPr>
          <w:t>https://www.ontario.ca/document/crown-prosecution-manual/</w:t>
        </w:r>
      </w:hyperlink>
      <w:r w:rsidRPr="0044654D">
        <w:rPr>
          <w:szCs w:val="20"/>
          <w:lang w:val="en-US"/>
        </w:rPr>
        <w:t xml:space="preserve">. </w:t>
      </w:r>
    </w:p>
  </w:endnote>
  <w:endnote w:id="75">
    <w:p w14:paraId="1B32192F" w14:textId="77777777" w:rsidR="00630390" w:rsidRPr="0044654D" w:rsidRDefault="00630390" w:rsidP="00115062">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Ontario, </w:t>
      </w:r>
      <w:r w:rsidRPr="0044654D">
        <w:rPr>
          <w:i/>
          <w:iCs/>
          <w:szCs w:val="20"/>
          <w:lang w:val="en-US"/>
        </w:rPr>
        <w:t xml:space="preserve">Crown Prosecution Manual </w:t>
      </w:r>
      <w:r w:rsidRPr="0044654D">
        <w:rPr>
          <w:szCs w:val="20"/>
          <w:lang w:val="en-US"/>
        </w:rPr>
        <w:t xml:space="preserve">(updated January 24, 2024), online: </w:t>
      </w:r>
      <w:hyperlink r:id="rId49" w:history="1">
        <w:r w:rsidRPr="0044654D">
          <w:rPr>
            <w:rStyle w:val="Hyperlink"/>
            <w:szCs w:val="20"/>
            <w:lang w:val="en-US"/>
          </w:rPr>
          <w:t>https://www.ontario.ca/document/crown-prosecution-manual/</w:t>
        </w:r>
      </w:hyperlink>
      <w:r w:rsidRPr="0044654D">
        <w:rPr>
          <w:szCs w:val="20"/>
          <w:lang w:val="en-US"/>
        </w:rPr>
        <w:t xml:space="preserve"> at “Preamble.”</w:t>
      </w:r>
    </w:p>
  </w:endnote>
  <w:endnote w:id="76">
    <w:p w14:paraId="159E2BDA" w14:textId="4C70BAB0" w:rsidR="00D86BD7" w:rsidRDefault="00D86BD7">
      <w:pPr>
        <w:pStyle w:val="EndnoteText"/>
      </w:pPr>
      <w:r>
        <w:rPr>
          <w:rStyle w:val="EndnoteReference"/>
        </w:rPr>
        <w:endnoteRef/>
      </w:r>
      <w:r>
        <w:t xml:space="preserve"> </w:t>
      </w:r>
      <w:r w:rsidRPr="0044654D">
        <w:rPr>
          <w:szCs w:val="20"/>
          <w:lang w:val="en-US"/>
        </w:rPr>
        <w:t xml:space="preserve">Ontario, </w:t>
      </w:r>
      <w:r w:rsidRPr="0044654D">
        <w:rPr>
          <w:i/>
          <w:iCs/>
          <w:szCs w:val="20"/>
          <w:lang w:val="en-US"/>
        </w:rPr>
        <w:t xml:space="preserve">Crown Prosecution Manual </w:t>
      </w:r>
      <w:r w:rsidRPr="0044654D">
        <w:rPr>
          <w:szCs w:val="20"/>
          <w:lang w:val="en-US"/>
        </w:rPr>
        <w:t xml:space="preserve">(updated January 24, 2024), online: </w:t>
      </w:r>
      <w:hyperlink r:id="rId50" w:history="1">
        <w:r w:rsidRPr="0044654D">
          <w:rPr>
            <w:rStyle w:val="Hyperlink"/>
            <w:szCs w:val="20"/>
            <w:lang w:val="en-US"/>
          </w:rPr>
          <w:t>https://www.ontario.ca/document/crown-prosecution-manual/</w:t>
        </w:r>
      </w:hyperlink>
      <w:r w:rsidRPr="0044654D">
        <w:rPr>
          <w:szCs w:val="20"/>
          <w:lang w:val="en-US"/>
        </w:rPr>
        <w:t xml:space="preserve"> at “Preamble.”</w:t>
      </w:r>
    </w:p>
  </w:endnote>
  <w:endnote w:id="77">
    <w:p w14:paraId="6BFCDB44" w14:textId="77777777" w:rsidR="00630390" w:rsidRPr="0044654D" w:rsidRDefault="00630390" w:rsidP="00115062">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American Bar Association, Standing Committee on Ethics and Professional Responsibility, “Formal Opinion 512: Generative AI Tools” (July 2024), online: </w:t>
      </w:r>
      <w:hyperlink r:id="rId51" w:history="1">
        <w:r w:rsidRPr="0044654D">
          <w:rPr>
            <w:rStyle w:val="Hyperlink"/>
            <w:szCs w:val="20"/>
            <w:lang w:val="en-US"/>
          </w:rPr>
          <w:t>https://www.americanbar.org/content/dam/aba/administrative/professional_responsibility/ethics-opinions/aba-formal-opinion-512.pdf</w:t>
        </w:r>
      </w:hyperlink>
      <w:r w:rsidRPr="0044654D">
        <w:rPr>
          <w:szCs w:val="20"/>
          <w:lang w:val="en-US"/>
        </w:rPr>
        <w:t xml:space="preserve">. </w:t>
      </w:r>
    </w:p>
  </w:endnote>
  <w:endnote w:id="78">
    <w:p w14:paraId="15BD359B" w14:textId="77777777" w:rsidR="001F0E3E" w:rsidRPr="001F0E3E" w:rsidRDefault="00630390" w:rsidP="001F0E3E">
      <w:pPr>
        <w:pStyle w:val="EndnoteText"/>
        <w:rPr>
          <w:szCs w:val="20"/>
        </w:rPr>
      </w:pPr>
      <w:r w:rsidRPr="0044654D">
        <w:rPr>
          <w:rStyle w:val="EndnoteReference"/>
          <w:szCs w:val="20"/>
        </w:rPr>
        <w:endnoteRef/>
      </w:r>
      <w:r w:rsidRPr="0044654D">
        <w:rPr>
          <w:szCs w:val="20"/>
        </w:rPr>
        <w:t xml:space="preserve"> See </w:t>
      </w:r>
      <w:r w:rsidR="001F0E3E" w:rsidRPr="0044654D">
        <w:rPr>
          <w:szCs w:val="20"/>
        </w:rPr>
        <w:t>European Commission for the Efficiency of Justice</w:t>
      </w:r>
      <w:r w:rsidR="001F0E3E">
        <w:rPr>
          <w:szCs w:val="20"/>
        </w:rPr>
        <w:t xml:space="preserve">, </w:t>
      </w:r>
      <w:r w:rsidRPr="001F0E3E">
        <w:rPr>
          <w:i/>
          <w:iCs/>
          <w:szCs w:val="20"/>
        </w:rPr>
        <w:t xml:space="preserve">European Ethical Charter on the </w:t>
      </w:r>
      <w:r w:rsidR="001F0E3E">
        <w:rPr>
          <w:i/>
          <w:iCs/>
          <w:szCs w:val="20"/>
        </w:rPr>
        <w:t>U</w:t>
      </w:r>
      <w:r w:rsidRPr="001F0E3E">
        <w:rPr>
          <w:i/>
          <w:iCs/>
          <w:szCs w:val="20"/>
        </w:rPr>
        <w:t xml:space="preserve">se of </w:t>
      </w:r>
      <w:r w:rsidR="001F0E3E">
        <w:rPr>
          <w:i/>
          <w:iCs/>
          <w:szCs w:val="20"/>
        </w:rPr>
        <w:t>A</w:t>
      </w:r>
      <w:r w:rsidRPr="001F0E3E">
        <w:rPr>
          <w:i/>
          <w:iCs/>
          <w:szCs w:val="20"/>
        </w:rPr>
        <w:t xml:space="preserve">rtificial </w:t>
      </w:r>
      <w:r w:rsidR="001F0E3E">
        <w:rPr>
          <w:i/>
          <w:iCs/>
          <w:szCs w:val="20"/>
        </w:rPr>
        <w:t>I</w:t>
      </w:r>
      <w:r w:rsidRPr="001F0E3E">
        <w:rPr>
          <w:i/>
          <w:iCs/>
          <w:szCs w:val="20"/>
        </w:rPr>
        <w:t xml:space="preserve">ntelligence in </w:t>
      </w:r>
      <w:r w:rsidR="001F0E3E">
        <w:rPr>
          <w:i/>
          <w:iCs/>
          <w:szCs w:val="20"/>
        </w:rPr>
        <w:t>J</w:t>
      </w:r>
      <w:r w:rsidRPr="001F0E3E">
        <w:rPr>
          <w:i/>
          <w:iCs/>
          <w:szCs w:val="20"/>
        </w:rPr>
        <w:t xml:space="preserve">udicial </w:t>
      </w:r>
      <w:r w:rsidR="001F0E3E">
        <w:rPr>
          <w:i/>
          <w:iCs/>
          <w:szCs w:val="20"/>
        </w:rPr>
        <w:t>S</w:t>
      </w:r>
      <w:r w:rsidRPr="001F0E3E">
        <w:rPr>
          <w:i/>
          <w:iCs/>
          <w:szCs w:val="20"/>
        </w:rPr>
        <w:t xml:space="preserve">ystems and their </w:t>
      </w:r>
      <w:r w:rsidR="001F0E3E">
        <w:rPr>
          <w:i/>
          <w:iCs/>
          <w:szCs w:val="20"/>
        </w:rPr>
        <w:t>E</w:t>
      </w:r>
      <w:r w:rsidRPr="001F0E3E">
        <w:rPr>
          <w:i/>
          <w:iCs/>
          <w:szCs w:val="20"/>
        </w:rPr>
        <w:t>nvironment</w:t>
      </w:r>
      <w:r w:rsidR="001F0E3E">
        <w:rPr>
          <w:szCs w:val="20"/>
        </w:rPr>
        <w:t xml:space="preserve"> (</w:t>
      </w:r>
      <w:r w:rsidR="001F0E3E" w:rsidRPr="001F0E3E">
        <w:rPr>
          <w:szCs w:val="20"/>
        </w:rPr>
        <w:t>Adopted at the 31st plenary meeting</w:t>
      </w:r>
    </w:p>
    <w:p w14:paraId="76F725ED" w14:textId="56854C62" w:rsidR="00630390" w:rsidRPr="0044654D" w:rsidRDefault="001F0E3E" w:rsidP="001F0E3E">
      <w:pPr>
        <w:pStyle w:val="EndnoteText"/>
        <w:rPr>
          <w:szCs w:val="20"/>
        </w:rPr>
      </w:pPr>
      <w:r w:rsidRPr="001F0E3E">
        <w:rPr>
          <w:szCs w:val="20"/>
        </w:rPr>
        <w:t>of the CEPEJ (Strasbourg, 3-4 December 2018</w:t>
      </w:r>
      <w:r>
        <w:rPr>
          <w:szCs w:val="20"/>
        </w:rPr>
        <w:t xml:space="preserve">)), online: </w:t>
      </w:r>
      <w:hyperlink r:id="rId52" w:history="1">
        <w:r w:rsidRPr="00455C63">
          <w:rPr>
            <w:rStyle w:val="Hyperlink"/>
            <w:szCs w:val="20"/>
          </w:rPr>
          <w:t>https://rm.coe.int/ethical-charter-en-for-publication-4-december-2018/16808f699c</w:t>
        </w:r>
      </w:hyperlink>
      <w:r>
        <w:rPr>
          <w:szCs w:val="20"/>
        </w:rPr>
        <w:t>.</w:t>
      </w:r>
    </w:p>
  </w:endnote>
  <w:endnote w:id="79">
    <w:p w14:paraId="1D922417" w14:textId="4BA508F6" w:rsidR="00630390" w:rsidRPr="0044654D" w:rsidRDefault="00630390">
      <w:pPr>
        <w:pStyle w:val="EndnoteText"/>
        <w:rPr>
          <w:szCs w:val="20"/>
        </w:rPr>
      </w:pPr>
      <w:r w:rsidRPr="0044654D">
        <w:rPr>
          <w:rStyle w:val="EndnoteReference"/>
          <w:szCs w:val="20"/>
        </w:rPr>
        <w:endnoteRef/>
      </w:r>
      <w:r w:rsidRPr="0044654D">
        <w:rPr>
          <w:szCs w:val="20"/>
        </w:rPr>
        <w:t xml:space="preserve"> See</w:t>
      </w:r>
      <w:r w:rsidR="000F718D">
        <w:rPr>
          <w:szCs w:val="20"/>
        </w:rPr>
        <w:t xml:space="preserve"> </w:t>
      </w:r>
      <w:r w:rsidRPr="0044654D">
        <w:rPr>
          <w:szCs w:val="20"/>
        </w:rPr>
        <w:t xml:space="preserve">Law Commission of Ontario, </w:t>
      </w:r>
      <w:r w:rsidRPr="000F718D">
        <w:rPr>
          <w:i/>
          <w:iCs/>
          <w:szCs w:val="20"/>
        </w:rPr>
        <w:t>The Rise and Fall of AI and Algorithms in American Criminal Justice: Lessons for Canada</w:t>
      </w:r>
      <w:r w:rsidRPr="0044654D">
        <w:rPr>
          <w:szCs w:val="20"/>
        </w:rPr>
        <w:t xml:space="preserve"> (Toronto: LCO, 2020) at 34</w:t>
      </w:r>
      <w:r w:rsidR="00004DB8">
        <w:rPr>
          <w:szCs w:val="20"/>
        </w:rPr>
        <w:t xml:space="preserve">, online: </w:t>
      </w:r>
      <w:hyperlink r:id="rId53" w:history="1">
        <w:r w:rsidR="00004DB8" w:rsidRPr="00455C63">
          <w:rPr>
            <w:rStyle w:val="Hyperlink"/>
            <w:szCs w:val="20"/>
          </w:rPr>
          <w:t>https://www.lco-cdo.org/wp-content/uploads/2020/10/Criminal-AI-Paper-Final-Oct-28-2020.pdf</w:t>
        </w:r>
      </w:hyperlink>
      <w:r w:rsidR="00004DB8">
        <w:rPr>
          <w:szCs w:val="20"/>
        </w:rPr>
        <w:t>.</w:t>
      </w:r>
    </w:p>
  </w:endnote>
  <w:endnote w:id="80">
    <w:p w14:paraId="6E14E2A7" w14:textId="04B99AA5" w:rsidR="00F05D62" w:rsidRDefault="00F05D62">
      <w:pPr>
        <w:pStyle w:val="EndnoteText"/>
      </w:pPr>
      <w:r>
        <w:rPr>
          <w:rStyle w:val="EndnoteReference"/>
        </w:rPr>
        <w:endnoteRef/>
      </w:r>
      <w:r>
        <w:t xml:space="preserve"> See</w:t>
      </w:r>
      <w:r w:rsidR="0079695B">
        <w:t>, CanLII.org, “</w:t>
      </w:r>
      <w:r w:rsidR="0079695B" w:rsidRPr="0079695B">
        <w:t>AI Summarization Projects and More in 2024</w:t>
      </w:r>
      <w:r w:rsidR="0079695B">
        <w:t xml:space="preserve">” (February 15 2024), online: </w:t>
      </w:r>
      <w:hyperlink r:id="rId54" w:history="1">
        <w:r w:rsidR="0079695B" w:rsidRPr="000E584C">
          <w:rPr>
            <w:rStyle w:val="Hyperlink"/>
          </w:rPr>
          <w:t>https://blog.canlii.org/2024/02/15/ai-summarization-projects-and-more-in-2024/</w:t>
        </w:r>
      </w:hyperlink>
      <w:r w:rsidR="0079695B">
        <w:t>; see also CanLII.org, “</w:t>
      </w:r>
      <w:r w:rsidR="0079695B" w:rsidRPr="0079695B">
        <w:t>Introducing AI Enrichments for Saskatchewan Case Law on CanLII</w:t>
      </w:r>
      <w:r w:rsidR="0079695B">
        <w:t xml:space="preserve">” (March 12 2025), online: </w:t>
      </w:r>
      <w:hyperlink r:id="rId55" w:history="1">
        <w:r w:rsidR="0079695B" w:rsidRPr="000E584C">
          <w:rPr>
            <w:rStyle w:val="Hyperlink"/>
          </w:rPr>
          <w:t>https://blog.canlii.org/2025/03/12/introducing-ai-enrichments-for-saskatchewan-case-law-on-canlii/</w:t>
        </w:r>
      </w:hyperlink>
      <w:r w:rsidR="0079695B">
        <w:t xml:space="preserve">. </w:t>
      </w:r>
    </w:p>
  </w:endnote>
  <w:endnote w:id="81">
    <w:p w14:paraId="5E68118C" w14:textId="7D01CC89" w:rsidR="00630390" w:rsidRPr="0044654D" w:rsidRDefault="00630390" w:rsidP="00471D45">
      <w:pPr>
        <w:pStyle w:val="EndnoteText"/>
        <w:rPr>
          <w:szCs w:val="20"/>
          <w:lang w:val="en-US"/>
        </w:rPr>
      </w:pPr>
      <w:r w:rsidRPr="0044654D">
        <w:rPr>
          <w:rStyle w:val="EndnoteReference"/>
          <w:szCs w:val="20"/>
        </w:rPr>
        <w:endnoteRef/>
      </w:r>
      <w:r w:rsidRPr="0044654D">
        <w:rPr>
          <w:szCs w:val="20"/>
        </w:rPr>
        <w:t xml:space="preserve"> See Jack Newman, “China Develops AI ‘Prosecutor’ that can Identify ‘Dissent’ and Press Charges for Common Crimes ‘with 97% Accuracy,’”</w:t>
      </w:r>
      <w:r w:rsidR="00276ED6">
        <w:rPr>
          <w:szCs w:val="20"/>
        </w:rPr>
        <w:t xml:space="preserve"> (</w:t>
      </w:r>
      <w:r w:rsidRPr="00276ED6">
        <w:rPr>
          <w:szCs w:val="20"/>
        </w:rPr>
        <w:t>Daily Mail</w:t>
      </w:r>
      <w:r w:rsidRPr="0044654D">
        <w:rPr>
          <w:szCs w:val="20"/>
        </w:rPr>
        <w:t xml:space="preserve"> December </w:t>
      </w:r>
      <w:r w:rsidR="00276ED6">
        <w:rPr>
          <w:szCs w:val="20"/>
        </w:rPr>
        <w:t xml:space="preserve">27, </w:t>
      </w:r>
      <w:r w:rsidRPr="0044654D">
        <w:rPr>
          <w:szCs w:val="20"/>
        </w:rPr>
        <w:t xml:space="preserve">2021), online: </w:t>
      </w:r>
      <w:hyperlink r:id="rId56" w:history="1">
        <w:r w:rsidRPr="0044654D">
          <w:rPr>
            <w:rStyle w:val="Hyperlink"/>
            <w:szCs w:val="20"/>
          </w:rPr>
          <w:t>https://www.dailymail.co.uk/news/article-10346933/China-develops-AI-prosecutor-press-charges-97-accuracy.html</w:t>
        </w:r>
      </w:hyperlink>
      <w:r w:rsidRPr="0044654D">
        <w:rPr>
          <w:szCs w:val="20"/>
        </w:rPr>
        <w:t xml:space="preserve">; Tony Ho Tran, “China Created an AI ‘Prosecutor’ That Can Charge People with Crimes,” </w:t>
      </w:r>
      <w:r w:rsidRPr="0044654D">
        <w:rPr>
          <w:i/>
          <w:iCs/>
          <w:szCs w:val="20"/>
        </w:rPr>
        <w:t>Futurism</w:t>
      </w:r>
      <w:r w:rsidRPr="0044654D">
        <w:rPr>
          <w:szCs w:val="20"/>
        </w:rPr>
        <w:t xml:space="preserve"> (27 December 2021), online: </w:t>
      </w:r>
      <w:hyperlink r:id="rId57" w:history="1">
        <w:r w:rsidRPr="0044654D">
          <w:rPr>
            <w:rStyle w:val="Hyperlink"/>
            <w:szCs w:val="20"/>
          </w:rPr>
          <w:t>https://futurism.com/the-byte/china-ai-prosecutor-crimes</w:t>
        </w:r>
      </w:hyperlink>
      <w:r w:rsidRPr="0044654D">
        <w:rPr>
          <w:szCs w:val="20"/>
        </w:rPr>
        <w:t>.</w:t>
      </w:r>
    </w:p>
  </w:endnote>
  <w:endnote w:id="82">
    <w:p w14:paraId="59761BD9" w14:textId="50B7D8AA" w:rsidR="00630390" w:rsidRPr="0044654D" w:rsidRDefault="00630390" w:rsidP="00471D45">
      <w:pPr>
        <w:pStyle w:val="EndnoteText"/>
        <w:rPr>
          <w:szCs w:val="20"/>
          <w:lang w:val="en-US"/>
        </w:rPr>
      </w:pPr>
      <w:r w:rsidRPr="0044654D">
        <w:rPr>
          <w:rStyle w:val="EndnoteReference"/>
          <w:szCs w:val="20"/>
        </w:rPr>
        <w:endnoteRef/>
      </w:r>
      <w:r w:rsidRPr="0044654D">
        <w:rPr>
          <w:szCs w:val="20"/>
        </w:rPr>
        <w:t xml:space="preserve"> Paul W Grimm, Maura R Grossman &amp; Gordon V Cormack, “Artificial Intelligence as Evidence” </w:t>
      </w:r>
      <w:r w:rsidR="00276ED6">
        <w:rPr>
          <w:szCs w:val="20"/>
        </w:rPr>
        <w:t>(</w:t>
      </w:r>
      <w:r w:rsidRPr="0044654D">
        <w:rPr>
          <w:szCs w:val="20"/>
        </w:rPr>
        <w:t>19:1 Northwestern J Tech and IP 9</w:t>
      </w:r>
      <w:r w:rsidR="00276ED6">
        <w:rPr>
          <w:szCs w:val="20"/>
        </w:rPr>
        <w:t xml:space="preserve"> </w:t>
      </w:r>
      <w:r w:rsidR="00276ED6" w:rsidRPr="0044654D">
        <w:rPr>
          <w:szCs w:val="20"/>
        </w:rPr>
        <w:t>(2021)</w:t>
      </w:r>
      <w:r w:rsidR="00276ED6">
        <w:rPr>
          <w:szCs w:val="20"/>
        </w:rPr>
        <w:t>)</w:t>
      </w:r>
      <w:r w:rsidRPr="0044654D">
        <w:rPr>
          <w:szCs w:val="20"/>
        </w:rPr>
        <w:t xml:space="preserve"> at </w:t>
      </w:r>
      <w:r w:rsidR="00276ED6">
        <w:rPr>
          <w:szCs w:val="20"/>
        </w:rPr>
        <w:t xml:space="preserve">p. </w:t>
      </w:r>
      <w:r w:rsidRPr="0044654D">
        <w:rPr>
          <w:szCs w:val="20"/>
        </w:rPr>
        <w:t xml:space="preserve">34-35, online: </w:t>
      </w:r>
      <w:hyperlink r:id="rId58" w:history="1">
        <w:r w:rsidRPr="0044654D">
          <w:rPr>
            <w:rStyle w:val="Hyperlink"/>
            <w:szCs w:val="20"/>
          </w:rPr>
          <w:t>https://scholarlycommons.law.northwestern.edu/njtip/vol19/iss1/2/</w:t>
        </w:r>
      </w:hyperlink>
      <w:r w:rsidRPr="0044654D">
        <w:rPr>
          <w:szCs w:val="20"/>
        </w:rPr>
        <w:t>.</w:t>
      </w:r>
    </w:p>
  </w:endnote>
  <w:endnote w:id="83">
    <w:p w14:paraId="00EB7D7F" w14:textId="1210FD1E" w:rsidR="00630390" w:rsidRPr="0044654D" w:rsidRDefault="00630390" w:rsidP="00D55F1D">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Victims’ Bill of Rights</w:t>
      </w:r>
      <w:r w:rsidRPr="0044654D">
        <w:rPr>
          <w:szCs w:val="20"/>
        </w:rPr>
        <w:t xml:space="preserve"> (SO 1995, c</w:t>
      </w:r>
      <w:r w:rsidR="00E424B3">
        <w:rPr>
          <w:szCs w:val="20"/>
        </w:rPr>
        <w:t>.</w:t>
      </w:r>
      <w:r w:rsidRPr="0044654D">
        <w:rPr>
          <w:szCs w:val="20"/>
        </w:rPr>
        <w:t xml:space="preserve"> 6), online: </w:t>
      </w:r>
      <w:hyperlink r:id="rId59" w:history="1">
        <w:r w:rsidRPr="0044654D">
          <w:rPr>
            <w:rStyle w:val="Hyperlink"/>
            <w:szCs w:val="20"/>
          </w:rPr>
          <w:t>https://www.ontario.ca/laws/statute/95v06</w:t>
        </w:r>
      </w:hyperlink>
      <w:r w:rsidRPr="0044654D">
        <w:rPr>
          <w:szCs w:val="20"/>
        </w:rPr>
        <w:t>.</w:t>
      </w:r>
    </w:p>
  </w:endnote>
  <w:endnote w:id="84">
    <w:p w14:paraId="653A3279" w14:textId="7BC9FBB1" w:rsidR="00630390" w:rsidRPr="0044654D" w:rsidRDefault="00630390" w:rsidP="00D55F1D">
      <w:pPr>
        <w:pStyle w:val="EndnoteText"/>
        <w:rPr>
          <w:szCs w:val="20"/>
        </w:rPr>
      </w:pPr>
      <w:r w:rsidRPr="0044654D">
        <w:rPr>
          <w:rStyle w:val="EndnoteReference"/>
          <w:szCs w:val="20"/>
        </w:rPr>
        <w:endnoteRef/>
      </w:r>
      <w:r w:rsidRPr="0044654D">
        <w:rPr>
          <w:szCs w:val="20"/>
        </w:rPr>
        <w:t xml:space="preserve"> </w:t>
      </w:r>
      <w:r w:rsidRPr="0044654D">
        <w:rPr>
          <w:i/>
          <w:iCs/>
          <w:szCs w:val="20"/>
        </w:rPr>
        <w:t>Victims Bill of Rights Act</w:t>
      </w:r>
      <w:r w:rsidRPr="0044654D">
        <w:rPr>
          <w:szCs w:val="20"/>
        </w:rPr>
        <w:t xml:space="preserve"> (SC 2015, c</w:t>
      </w:r>
      <w:r w:rsidR="00D32E57">
        <w:rPr>
          <w:szCs w:val="20"/>
        </w:rPr>
        <w:t>.</w:t>
      </w:r>
      <w:r w:rsidRPr="0044654D">
        <w:rPr>
          <w:szCs w:val="20"/>
        </w:rPr>
        <w:t xml:space="preserve"> 13), online: </w:t>
      </w:r>
      <w:hyperlink r:id="rId60" w:history="1">
        <w:r w:rsidRPr="0044654D">
          <w:rPr>
            <w:rStyle w:val="Hyperlink"/>
            <w:szCs w:val="20"/>
          </w:rPr>
          <w:t>https://www.canlii.org/en/ca/laws/astat/sc-2015-c-13/latest/sc-2015-c-13.html</w:t>
        </w:r>
      </w:hyperlink>
      <w:r w:rsidRPr="0044654D">
        <w:rPr>
          <w:szCs w:val="20"/>
        </w:rPr>
        <w:t>.</w:t>
      </w:r>
    </w:p>
  </w:endnote>
  <w:endnote w:id="85">
    <w:p w14:paraId="1A78168F" w14:textId="7813D3FC" w:rsidR="00630390" w:rsidRPr="0044654D" w:rsidRDefault="00630390">
      <w:pPr>
        <w:pStyle w:val="EndnoteText"/>
        <w:rPr>
          <w:szCs w:val="20"/>
        </w:rPr>
      </w:pPr>
      <w:r w:rsidRPr="0044654D">
        <w:rPr>
          <w:rStyle w:val="EndnoteReference"/>
          <w:szCs w:val="20"/>
        </w:rPr>
        <w:endnoteRef/>
      </w:r>
      <w:r w:rsidRPr="0044654D">
        <w:rPr>
          <w:szCs w:val="20"/>
        </w:rPr>
        <w:t xml:space="preserve"> </w:t>
      </w:r>
      <w:r w:rsidR="00D32E57" w:rsidRPr="00D32E57">
        <w:rPr>
          <w:szCs w:val="20"/>
        </w:rPr>
        <w:t>Alana Saulnier, Amanda Couture-Carron, Daniel Scholte</w:t>
      </w:r>
      <w:r w:rsidR="00D32E57">
        <w:rPr>
          <w:szCs w:val="20"/>
        </w:rPr>
        <w:t>, “</w:t>
      </w:r>
      <w:r w:rsidRPr="0044654D">
        <w:rPr>
          <w:szCs w:val="20"/>
        </w:rPr>
        <w:t>Toward victim-sensitive body-worn camera policy: Initial insights</w:t>
      </w:r>
      <w:r w:rsidR="00D32E57">
        <w:rPr>
          <w:szCs w:val="20"/>
        </w:rPr>
        <w:t xml:space="preserve">” (21:2 </w:t>
      </w:r>
      <w:r w:rsidRPr="0044654D">
        <w:rPr>
          <w:szCs w:val="20"/>
        </w:rPr>
        <w:t>Criminology &amp; Public Policy</w:t>
      </w:r>
      <w:r w:rsidR="00D32E57">
        <w:rPr>
          <w:szCs w:val="20"/>
        </w:rPr>
        <w:t xml:space="preserve"> 303 (May 2022)), online: </w:t>
      </w:r>
      <w:r w:rsidRPr="0044654D">
        <w:rPr>
          <w:szCs w:val="20"/>
        </w:rPr>
        <w:t xml:space="preserve"> </w:t>
      </w:r>
      <w:hyperlink r:id="rId61" w:history="1">
        <w:r w:rsidRPr="0044654D">
          <w:rPr>
            <w:rStyle w:val="Hyperlink"/>
            <w:szCs w:val="20"/>
          </w:rPr>
          <w:t>https://onlinelibrary.wiley.com/doi/full/10.1111/1745-9133.12582</w:t>
        </w:r>
      </w:hyperlink>
      <w:r w:rsidR="00D32E57">
        <w:rPr>
          <w:szCs w:val="20"/>
        </w:rPr>
        <w:t xml:space="preserve">. </w:t>
      </w:r>
    </w:p>
  </w:endnote>
  <w:endnote w:id="86">
    <w:p w14:paraId="50C6558B" w14:textId="2412ED59" w:rsidR="00630390" w:rsidRPr="0044654D" w:rsidRDefault="00630390" w:rsidP="000C77B7">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The Constitution Act,1867</w:t>
      </w:r>
      <w:r w:rsidRPr="0044654D">
        <w:rPr>
          <w:szCs w:val="20"/>
        </w:rPr>
        <w:t xml:space="preserve"> (30 &amp; 31 Vict</w:t>
      </w:r>
      <w:r w:rsidR="000674AA">
        <w:rPr>
          <w:szCs w:val="20"/>
        </w:rPr>
        <w:t>oria, UK.</w:t>
      </w:r>
      <w:r w:rsidRPr="0044654D">
        <w:rPr>
          <w:szCs w:val="20"/>
        </w:rPr>
        <w:t>, c</w:t>
      </w:r>
      <w:r w:rsidR="000674AA">
        <w:rPr>
          <w:szCs w:val="20"/>
        </w:rPr>
        <w:t>.</w:t>
      </w:r>
      <w:r w:rsidRPr="0044654D">
        <w:rPr>
          <w:szCs w:val="20"/>
        </w:rPr>
        <w:t xml:space="preserve"> 3)</w:t>
      </w:r>
      <w:r w:rsidR="000674AA">
        <w:rPr>
          <w:szCs w:val="20"/>
        </w:rPr>
        <w:t xml:space="preserve">, online: </w:t>
      </w:r>
      <w:hyperlink r:id="rId62" w:history="1">
        <w:r w:rsidR="000674AA" w:rsidRPr="00455C63">
          <w:rPr>
            <w:rStyle w:val="Hyperlink"/>
            <w:szCs w:val="20"/>
          </w:rPr>
          <w:t>https://laws-lois.justice.gc.ca/eng/const/page-1.html</w:t>
        </w:r>
      </w:hyperlink>
      <w:r w:rsidR="000674AA">
        <w:rPr>
          <w:szCs w:val="20"/>
        </w:rPr>
        <w:t>.</w:t>
      </w:r>
    </w:p>
  </w:endnote>
  <w:endnote w:id="87">
    <w:p w14:paraId="63CCA882" w14:textId="43FA7A9F" w:rsidR="00630390" w:rsidRPr="0044654D" w:rsidRDefault="00630390" w:rsidP="000C77B7">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Ontario (Electrical Safety Authority) v</w:t>
      </w:r>
      <w:r w:rsidR="00620519">
        <w:rPr>
          <w:i/>
          <w:iCs/>
          <w:szCs w:val="20"/>
        </w:rPr>
        <w:t>.</w:t>
      </w:r>
      <w:r w:rsidRPr="0044654D">
        <w:rPr>
          <w:i/>
          <w:iCs/>
          <w:szCs w:val="20"/>
        </w:rPr>
        <w:t xml:space="preserve"> Broomfield</w:t>
      </w:r>
      <w:r w:rsidRPr="0044654D">
        <w:rPr>
          <w:szCs w:val="20"/>
        </w:rPr>
        <w:t xml:space="preserve"> (2019 ONCJ 454) at para 164; </w:t>
      </w:r>
      <w:r w:rsidRPr="0044654D">
        <w:rPr>
          <w:i/>
          <w:iCs/>
          <w:szCs w:val="20"/>
        </w:rPr>
        <w:t>R v</w:t>
      </w:r>
      <w:r w:rsidRPr="0044654D">
        <w:rPr>
          <w:szCs w:val="20"/>
        </w:rPr>
        <w:t xml:space="preserve"> </w:t>
      </w:r>
      <w:r w:rsidRPr="0044654D">
        <w:rPr>
          <w:i/>
          <w:iCs/>
          <w:szCs w:val="20"/>
        </w:rPr>
        <w:t>Cunningham</w:t>
      </w:r>
      <w:r w:rsidRPr="0044654D">
        <w:rPr>
          <w:szCs w:val="20"/>
        </w:rPr>
        <w:t xml:space="preserve"> (2010 SCC 10) at para 19.</w:t>
      </w:r>
    </w:p>
  </w:endnote>
  <w:endnote w:id="88">
    <w:p w14:paraId="3D697C76" w14:textId="7B3EF4BC" w:rsidR="00630390" w:rsidRPr="0044654D" w:rsidRDefault="00630390" w:rsidP="000C77B7">
      <w:pPr>
        <w:pStyle w:val="EndnoteText"/>
        <w:rPr>
          <w:szCs w:val="20"/>
          <w:lang w:val="en-US"/>
        </w:rPr>
      </w:pPr>
      <w:r w:rsidRPr="0044654D">
        <w:rPr>
          <w:rStyle w:val="EndnoteReference"/>
          <w:szCs w:val="20"/>
        </w:rPr>
        <w:endnoteRef/>
      </w:r>
      <w:r w:rsidRPr="0044654D">
        <w:rPr>
          <w:szCs w:val="20"/>
        </w:rPr>
        <w:t xml:space="preserve"> </w:t>
      </w:r>
      <w:r w:rsidRPr="0044654D">
        <w:rPr>
          <w:i/>
          <w:iCs/>
          <w:color w:val="212121"/>
          <w:szCs w:val="20"/>
        </w:rPr>
        <w:t>Ontario v</w:t>
      </w:r>
      <w:r w:rsidR="00620519">
        <w:rPr>
          <w:i/>
          <w:iCs/>
          <w:color w:val="212121"/>
          <w:szCs w:val="20"/>
        </w:rPr>
        <w:t>.</w:t>
      </w:r>
      <w:r w:rsidRPr="0044654D">
        <w:rPr>
          <w:i/>
          <w:iCs/>
          <w:color w:val="212121"/>
          <w:szCs w:val="20"/>
        </w:rPr>
        <w:t xml:space="preserve"> Criminal Lawyers’ Association of Ontario</w:t>
      </w:r>
      <w:r w:rsidRPr="0044654D">
        <w:rPr>
          <w:color w:val="212121"/>
          <w:szCs w:val="20"/>
        </w:rPr>
        <w:t> </w:t>
      </w:r>
      <w:r w:rsidRPr="0044654D">
        <w:rPr>
          <w:color w:val="212121"/>
          <w:szCs w:val="20"/>
          <w:bdr w:val="none" w:sz="0" w:space="0" w:color="auto" w:frame="1"/>
        </w:rPr>
        <w:t>(2013 SCC 43) at para 22.</w:t>
      </w:r>
    </w:p>
  </w:endnote>
  <w:endnote w:id="89">
    <w:p w14:paraId="12D890AA" w14:textId="5D03F4B7" w:rsidR="00630390" w:rsidRPr="0044654D" w:rsidRDefault="00630390" w:rsidP="000C77B7">
      <w:pPr>
        <w:pStyle w:val="EndnoteText"/>
        <w:rPr>
          <w:szCs w:val="20"/>
          <w:lang w:val="en-US"/>
        </w:rPr>
      </w:pPr>
      <w:r w:rsidRPr="0044654D">
        <w:rPr>
          <w:rStyle w:val="EndnoteReference"/>
          <w:szCs w:val="20"/>
        </w:rPr>
        <w:endnoteRef/>
      </w:r>
      <w:r w:rsidRPr="0044654D">
        <w:rPr>
          <w:szCs w:val="20"/>
        </w:rPr>
        <w:t xml:space="preserve"> </w:t>
      </w:r>
      <w:r w:rsidRPr="0044654D">
        <w:rPr>
          <w:i/>
          <w:iCs/>
          <w:color w:val="212121"/>
          <w:szCs w:val="20"/>
          <w:shd w:val="clear" w:color="auto" w:fill="FFFFFF"/>
        </w:rPr>
        <w:t>R</w:t>
      </w:r>
      <w:r w:rsidR="00620519">
        <w:rPr>
          <w:i/>
          <w:iCs/>
          <w:color w:val="212121"/>
          <w:szCs w:val="20"/>
          <w:shd w:val="clear" w:color="auto" w:fill="FFFFFF"/>
        </w:rPr>
        <w:t>.</w:t>
      </w:r>
      <w:r w:rsidRPr="0044654D">
        <w:rPr>
          <w:i/>
          <w:iCs/>
          <w:color w:val="212121"/>
          <w:szCs w:val="20"/>
          <w:shd w:val="clear" w:color="auto" w:fill="FFFFFF"/>
        </w:rPr>
        <w:t xml:space="preserve"> v</w:t>
      </w:r>
      <w:r w:rsidR="00620519">
        <w:rPr>
          <w:i/>
          <w:iCs/>
          <w:color w:val="212121"/>
          <w:szCs w:val="20"/>
          <w:shd w:val="clear" w:color="auto" w:fill="FFFFFF"/>
        </w:rPr>
        <w:t>.</w:t>
      </w:r>
      <w:r w:rsidRPr="0044654D">
        <w:rPr>
          <w:i/>
          <w:iCs/>
          <w:color w:val="212121"/>
          <w:szCs w:val="20"/>
          <w:shd w:val="clear" w:color="auto" w:fill="FFFFFF"/>
        </w:rPr>
        <w:t xml:space="preserve"> Chapman </w:t>
      </w:r>
      <w:r w:rsidRPr="0044654D">
        <w:rPr>
          <w:szCs w:val="20"/>
          <w:bdr w:val="none" w:sz="0" w:space="0" w:color="auto" w:frame="1"/>
          <w:shd w:val="clear" w:color="auto" w:fill="FFFFFF"/>
        </w:rPr>
        <w:t>([2006] 78 OR (3d) 778 (ONCA)</w:t>
      </w:r>
      <w:r w:rsidRPr="0044654D">
        <w:rPr>
          <w:color w:val="212121"/>
          <w:szCs w:val="20"/>
          <w:shd w:val="clear" w:color="auto" w:fill="FFFFFF"/>
        </w:rPr>
        <w:t>) at para 16.</w:t>
      </w:r>
    </w:p>
  </w:endnote>
  <w:endnote w:id="90">
    <w:p w14:paraId="3AE6C5D7" w14:textId="1A36BC0B" w:rsidR="00620519" w:rsidRDefault="00620519">
      <w:pPr>
        <w:pStyle w:val="EndnoteText"/>
      </w:pPr>
      <w:r>
        <w:rPr>
          <w:rStyle w:val="EndnoteReference"/>
        </w:rPr>
        <w:endnoteRef/>
      </w:r>
      <w:r>
        <w:t xml:space="preserve"> </w:t>
      </w:r>
      <w:r w:rsidR="00936D12">
        <w:t xml:space="preserve">See: </w:t>
      </w:r>
      <w:r w:rsidR="00936D12" w:rsidRPr="00936D12">
        <w:rPr>
          <w:i/>
          <w:iCs/>
        </w:rPr>
        <w:t>R. v. Fercan Developments Inc.</w:t>
      </w:r>
      <w:r w:rsidR="00936D12">
        <w:t xml:space="preserve"> (</w:t>
      </w:r>
      <w:r w:rsidR="00936D12" w:rsidRPr="00936D12">
        <w:t>[2016] O.J. No. 1925] (Ont. C.A.)</w:t>
      </w:r>
      <w:r w:rsidR="00936D12">
        <w:t>)</w:t>
      </w:r>
      <w:r w:rsidR="00936D12" w:rsidRPr="00936D12">
        <w:t xml:space="preserve"> at paras. 49 to 55</w:t>
      </w:r>
      <w:r w:rsidR="00936D12">
        <w:t xml:space="preserve">; </w:t>
      </w:r>
      <w:r w:rsidR="00936D12" w:rsidRPr="00936D12">
        <w:rPr>
          <w:i/>
          <w:iCs/>
        </w:rPr>
        <w:t>Ontario (Electrical Safety Authority) v. Broomfield</w:t>
      </w:r>
      <w:r w:rsidR="00936D12" w:rsidRPr="00936D12">
        <w:t xml:space="preserve"> </w:t>
      </w:r>
      <w:r w:rsidR="00936D12">
        <w:t>(</w:t>
      </w:r>
      <w:r w:rsidR="00936D12" w:rsidRPr="00936D12">
        <w:t>[2019] O.J. No. 3413 (OCJ)</w:t>
      </w:r>
      <w:r w:rsidR="00936D12">
        <w:t>)</w:t>
      </w:r>
      <w:r w:rsidR="00936D12" w:rsidRPr="00936D12">
        <w:t xml:space="preserve"> at paras. 166-167</w:t>
      </w:r>
      <w:r w:rsidR="00936D12">
        <w:t xml:space="preserve">; </w:t>
      </w:r>
      <w:r w:rsidR="00936D12" w:rsidRPr="00936D12">
        <w:rPr>
          <w:i/>
          <w:iCs/>
        </w:rPr>
        <w:t>R. v. Felderhof</w:t>
      </w:r>
      <w:r w:rsidR="00936D12">
        <w:t xml:space="preserve"> (</w:t>
      </w:r>
      <w:r w:rsidR="00936D12" w:rsidRPr="00936D12">
        <w:t>[2003] O.J. No. 4819 (Ont. C.A.)</w:t>
      </w:r>
      <w:r w:rsidR="00936D12">
        <w:t>)</w:t>
      </w:r>
      <w:r w:rsidR="00936D12" w:rsidRPr="00936D12">
        <w:t xml:space="preserve"> at para.57</w:t>
      </w:r>
      <w:r w:rsidR="00936D12">
        <w:t xml:space="preserve">; and </w:t>
      </w:r>
      <w:r w:rsidR="00936D12" w:rsidRPr="00936D12">
        <w:rPr>
          <w:i/>
          <w:iCs/>
        </w:rPr>
        <w:t>R. v. Felderhof</w:t>
      </w:r>
      <w:r w:rsidR="00936D12">
        <w:t xml:space="preserve"> (</w:t>
      </w:r>
      <w:r w:rsidR="00936D12" w:rsidRPr="00936D12">
        <w:t>[2003] O.J. No. 4819 (Ont. C.A.)</w:t>
      </w:r>
      <w:r w:rsidR="00936D12">
        <w:t>)</w:t>
      </w:r>
      <w:r w:rsidR="00936D12" w:rsidRPr="00936D12">
        <w:t xml:space="preserve"> at para</w:t>
      </w:r>
      <w:r w:rsidR="00936D12">
        <w:t>s. 59-61.</w:t>
      </w:r>
    </w:p>
  </w:endnote>
  <w:endnote w:id="91">
    <w:p w14:paraId="2A2D1B8B" w14:textId="7D4DA1C6" w:rsidR="00630390" w:rsidRPr="0044654D" w:rsidRDefault="00630390" w:rsidP="000C77B7">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Ontario (Electrical Safety Authority) v</w:t>
      </w:r>
      <w:r w:rsidR="00DA2C98">
        <w:rPr>
          <w:i/>
          <w:iCs/>
          <w:szCs w:val="20"/>
        </w:rPr>
        <w:t>.</w:t>
      </w:r>
      <w:r w:rsidRPr="0044654D">
        <w:rPr>
          <w:i/>
          <w:iCs/>
          <w:szCs w:val="20"/>
        </w:rPr>
        <w:t xml:space="preserve"> Broomfield</w:t>
      </w:r>
      <w:r w:rsidRPr="0044654D">
        <w:rPr>
          <w:szCs w:val="20"/>
        </w:rPr>
        <w:t xml:space="preserve"> (2019 ONCJ 454) at para 78.</w:t>
      </w:r>
      <w:r w:rsidRPr="0044654D">
        <w:rPr>
          <w:color w:val="212121"/>
          <w:szCs w:val="20"/>
          <w:bdr w:val="none" w:sz="0" w:space="0" w:color="auto" w:frame="1"/>
        </w:rPr>
        <w:t xml:space="preserve"> See also </w:t>
      </w:r>
      <w:r w:rsidRPr="0044654D">
        <w:rPr>
          <w:i/>
          <w:iCs/>
          <w:color w:val="212121"/>
          <w:szCs w:val="20"/>
          <w:bdr w:val="none" w:sz="0" w:space="0" w:color="auto" w:frame="1"/>
        </w:rPr>
        <w:t>Nishnawbe Aski Nation v</w:t>
      </w:r>
      <w:r w:rsidR="00DA2C98">
        <w:rPr>
          <w:i/>
          <w:iCs/>
          <w:color w:val="212121"/>
          <w:szCs w:val="20"/>
          <w:bdr w:val="none" w:sz="0" w:space="0" w:color="auto" w:frame="1"/>
        </w:rPr>
        <w:t>.</w:t>
      </w:r>
      <w:r w:rsidRPr="0044654D">
        <w:rPr>
          <w:i/>
          <w:iCs/>
          <w:color w:val="212121"/>
          <w:szCs w:val="20"/>
          <w:bdr w:val="none" w:sz="0" w:space="0" w:color="auto" w:frame="1"/>
        </w:rPr>
        <w:t xml:space="preserve"> Eden </w:t>
      </w:r>
      <w:r w:rsidRPr="0044654D">
        <w:rPr>
          <w:color w:val="212121"/>
          <w:szCs w:val="20"/>
          <w:bdr w:val="none" w:sz="0" w:space="0" w:color="auto" w:frame="1"/>
        </w:rPr>
        <w:t xml:space="preserve">(2011 ONCA 187) at para 34 adopting the criteria set down by the Supreme Court in </w:t>
      </w:r>
      <w:r w:rsidRPr="0044654D">
        <w:rPr>
          <w:i/>
          <w:iCs/>
          <w:color w:val="212121"/>
          <w:szCs w:val="20"/>
          <w:bdr w:val="none" w:sz="0" w:space="0" w:color="auto" w:frame="1"/>
        </w:rPr>
        <w:t xml:space="preserve">ATCO Gas &amp; Pipelines Ltd. </w:t>
      </w:r>
      <w:r w:rsidR="00DA2C98">
        <w:rPr>
          <w:i/>
          <w:iCs/>
          <w:color w:val="212121"/>
          <w:szCs w:val="20"/>
          <w:bdr w:val="none" w:sz="0" w:space="0" w:color="auto" w:frame="1"/>
        </w:rPr>
        <w:t>v.</w:t>
      </w:r>
      <w:r w:rsidRPr="0044654D">
        <w:rPr>
          <w:i/>
          <w:iCs/>
          <w:color w:val="212121"/>
          <w:szCs w:val="20"/>
          <w:bdr w:val="none" w:sz="0" w:space="0" w:color="auto" w:frame="1"/>
        </w:rPr>
        <w:t xml:space="preserve"> Alberta (Energy &amp; Utilities Board)</w:t>
      </w:r>
      <w:r w:rsidRPr="0044654D">
        <w:rPr>
          <w:color w:val="212121"/>
          <w:szCs w:val="20"/>
          <w:bdr w:val="none" w:sz="0" w:space="0" w:color="auto" w:frame="1"/>
        </w:rPr>
        <w:t xml:space="preserve"> (2006 SCC 4) at para 73 for determining whether a statutory court or body has the jurisdiction or power being sought.</w:t>
      </w:r>
    </w:p>
  </w:endnote>
  <w:endnote w:id="92">
    <w:p w14:paraId="1F866FA0" w14:textId="16679F57" w:rsidR="00630390" w:rsidRPr="0044654D" w:rsidRDefault="00630390" w:rsidP="000C77B7">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Ontario (Electrical Safety Authority) v</w:t>
      </w:r>
      <w:r w:rsidR="00DA2C98">
        <w:rPr>
          <w:i/>
          <w:iCs/>
          <w:szCs w:val="20"/>
        </w:rPr>
        <w:t>.</w:t>
      </w:r>
      <w:r w:rsidRPr="0044654D">
        <w:rPr>
          <w:i/>
          <w:iCs/>
          <w:szCs w:val="20"/>
        </w:rPr>
        <w:t xml:space="preserve"> Broomfield</w:t>
      </w:r>
      <w:r w:rsidRPr="0044654D">
        <w:rPr>
          <w:szCs w:val="20"/>
        </w:rPr>
        <w:t xml:space="preserve"> (2019 ONCJ 454) at para 165.</w:t>
      </w:r>
    </w:p>
  </w:endnote>
  <w:endnote w:id="93">
    <w:p w14:paraId="1317E72D" w14:textId="77777777" w:rsidR="00630390" w:rsidRPr="0044654D" w:rsidRDefault="00630390" w:rsidP="00B54697">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Ontario Court of Justice, </w:t>
      </w:r>
      <w:r w:rsidRPr="0044654D">
        <w:rPr>
          <w:i/>
          <w:iCs/>
          <w:szCs w:val="20"/>
          <w:lang w:val="en-US"/>
        </w:rPr>
        <w:t>Practice Directions, Notes and Guidelines</w:t>
      </w:r>
      <w:r w:rsidRPr="0044654D">
        <w:rPr>
          <w:szCs w:val="20"/>
          <w:lang w:val="en-US"/>
        </w:rPr>
        <w:t xml:space="preserve">, online: </w:t>
      </w:r>
      <w:hyperlink r:id="rId63" w:history="1">
        <w:r w:rsidRPr="0044654D">
          <w:rPr>
            <w:rStyle w:val="Hyperlink"/>
            <w:szCs w:val="20"/>
            <w:lang w:val="en-US"/>
          </w:rPr>
          <w:t>https://www.ontariocourts.ca/ocj/criminal-court/practice-directions-and-policies/</w:t>
        </w:r>
      </w:hyperlink>
      <w:r w:rsidRPr="0044654D">
        <w:rPr>
          <w:szCs w:val="20"/>
          <w:lang w:val="en-US"/>
        </w:rPr>
        <w:t>.</w:t>
      </w:r>
    </w:p>
  </w:endnote>
  <w:endnote w:id="94">
    <w:p w14:paraId="170C5BA1" w14:textId="77777777" w:rsidR="00630390" w:rsidRPr="0044654D" w:rsidRDefault="00630390" w:rsidP="00B54697">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Superior Court of Justice, </w:t>
      </w:r>
      <w:r w:rsidRPr="0044654D">
        <w:rPr>
          <w:i/>
          <w:iCs/>
          <w:szCs w:val="20"/>
          <w:lang w:val="en-US"/>
        </w:rPr>
        <w:t>Practice Directions and Policies</w:t>
      </w:r>
      <w:r w:rsidRPr="0044654D">
        <w:rPr>
          <w:szCs w:val="20"/>
          <w:lang w:val="en-US"/>
        </w:rPr>
        <w:t xml:space="preserve">, online: </w:t>
      </w:r>
      <w:hyperlink r:id="rId64" w:history="1">
        <w:r w:rsidRPr="0044654D">
          <w:rPr>
            <w:rStyle w:val="Hyperlink"/>
            <w:szCs w:val="20"/>
            <w:lang w:val="en-US"/>
          </w:rPr>
          <w:t>https://www.ontariocourts.ca/scj/practice/practice-directions/</w:t>
        </w:r>
      </w:hyperlink>
      <w:r w:rsidRPr="0044654D">
        <w:rPr>
          <w:szCs w:val="20"/>
          <w:lang w:val="en-US"/>
        </w:rPr>
        <w:t>.</w:t>
      </w:r>
    </w:p>
  </w:endnote>
  <w:endnote w:id="95">
    <w:p w14:paraId="5023DE65" w14:textId="77777777" w:rsidR="00630390" w:rsidRPr="0044654D" w:rsidRDefault="00630390" w:rsidP="00B54697">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John Howard Society Ontario, </w:t>
      </w:r>
      <w:r w:rsidRPr="0044654D">
        <w:rPr>
          <w:i/>
          <w:iCs/>
          <w:szCs w:val="20"/>
          <w:lang w:val="en-US"/>
        </w:rPr>
        <w:t>Programs &amp; Services</w:t>
      </w:r>
      <w:r w:rsidRPr="0044654D">
        <w:rPr>
          <w:szCs w:val="20"/>
          <w:lang w:val="en-US"/>
        </w:rPr>
        <w:t xml:space="preserve">, online: </w:t>
      </w:r>
      <w:hyperlink r:id="rId65" w:history="1">
        <w:r w:rsidRPr="0044654D">
          <w:rPr>
            <w:rStyle w:val="Hyperlink"/>
            <w:szCs w:val="20"/>
            <w:lang w:val="en-US"/>
          </w:rPr>
          <w:t>https://johnhoward.on.ca/find-services/programs-services-across-ontario/</w:t>
        </w:r>
      </w:hyperlink>
      <w:r w:rsidRPr="0044654D">
        <w:rPr>
          <w:szCs w:val="20"/>
          <w:lang w:val="en-US"/>
        </w:rPr>
        <w:t>.</w:t>
      </w:r>
    </w:p>
  </w:endnote>
  <w:endnote w:id="96">
    <w:p w14:paraId="0B17974B" w14:textId="77777777" w:rsidR="00630390" w:rsidRPr="0044654D" w:rsidRDefault="00630390" w:rsidP="00B54697">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Ontario Network of Sexual Assault / Domestic Violence Treatment Centres, </w:t>
      </w:r>
      <w:r w:rsidRPr="0044654D">
        <w:rPr>
          <w:i/>
          <w:iCs/>
          <w:szCs w:val="20"/>
          <w:lang w:val="en-US"/>
        </w:rPr>
        <w:t>Get Help: Find a Centre Near You</w:t>
      </w:r>
      <w:r w:rsidRPr="0044654D">
        <w:rPr>
          <w:szCs w:val="20"/>
          <w:lang w:val="en-US"/>
        </w:rPr>
        <w:t xml:space="preserve">, online: </w:t>
      </w:r>
      <w:hyperlink r:id="rId66" w:history="1">
        <w:r w:rsidRPr="0044654D">
          <w:rPr>
            <w:rStyle w:val="Hyperlink"/>
            <w:szCs w:val="20"/>
            <w:lang w:val="en-US"/>
          </w:rPr>
          <w:t>https://www.sadvtreatmentcentres.ca/find-a-centre/</w:t>
        </w:r>
      </w:hyperlink>
      <w:r w:rsidRPr="0044654D">
        <w:rPr>
          <w:szCs w:val="20"/>
          <w:lang w:val="en-US"/>
        </w:rPr>
        <w:t>.</w:t>
      </w:r>
    </w:p>
  </w:endnote>
  <w:endnote w:id="97">
    <w:p w14:paraId="2313E07B" w14:textId="77777777" w:rsidR="00630390" w:rsidRPr="0044654D" w:rsidRDefault="00630390" w:rsidP="00B54697">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Ontario, </w:t>
      </w:r>
      <w:r w:rsidRPr="0044654D">
        <w:rPr>
          <w:i/>
          <w:iCs/>
          <w:szCs w:val="20"/>
          <w:lang w:val="en-US"/>
        </w:rPr>
        <w:t>Family court support workers</w:t>
      </w:r>
      <w:r w:rsidRPr="0044654D">
        <w:rPr>
          <w:szCs w:val="20"/>
          <w:lang w:val="en-US"/>
        </w:rPr>
        <w:t xml:space="preserve">, online: </w:t>
      </w:r>
      <w:hyperlink r:id="rId67" w:history="1">
        <w:r w:rsidRPr="0044654D">
          <w:rPr>
            <w:rStyle w:val="Hyperlink"/>
            <w:szCs w:val="20"/>
            <w:lang w:val="en-US"/>
          </w:rPr>
          <w:t>https://www.ontario.ca/page/family-court-support-workers</w:t>
        </w:r>
      </w:hyperlink>
      <w:r w:rsidRPr="0044654D">
        <w:rPr>
          <w:szCs w:val="20"/>
          <w:lang w:val="en-US"/>
        </w:rPr>
        <w:t>.</w:t>
      </w:r>
    </w:p>
  </w:endnote>
  <w:endnote w:id="98">
    <w:p w14:paraId="5AA4FCD2" w14:textId="26441D38" w:rsidR="00630390" w:rsidRPr="0044654D" w:rsidRDefault="00630390" w:rsidP="00AF1F45">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Highwood Congregation of Jehovah’s Witnesses (Judicial Committee) v</w:t>
      </w:r>
      <w:r w:rsidR="00DA2C98">
        <w:rPr>
          <w:i/>
          <w:iCs/>
          <w:szCs w:val="20"/>
        </w:rPr>
        <w:t>.</w:t>
      </w:r>
      <w:r w:rsidRPr="0044654D">
        <w:rPr>
          <w:i/>
          <w:iCs/>
          <w:szCs w:val="20"/>
        </w:rPr>
        <w:t xml:space="preserve"> Wall</w:t>
      </w:r>
      <w:r w:rsidRPr="0044654D">
        <w:rPr>
          <w:szCs w:val="20"/>
        </w:rPr>
        <w:t xml:space="preserve"> (2018 SCC 26) at para 14. </w:t>
      </w:r>
    </w:p>
  </w:endnote>
  <w:endnote w:id="99">
    <w:p w14:paraId="6BDD741E" w14:textId="6A7CA46B" w:rsidR="00630390" w:rsidRPr="0044654D" w:rsidRDefault="00630390">
      <w:pPr>
        <w:pStyle w:val="EndnoteText"/>
        <w:rPr>
          <w:szCs w:val="20"/>
        </w:rPr>
      </w:pPr>
      <w:r w:rsidRPr="0044654D">
        <w:rPr>
          <w:rStyle w:val="EndnoteReference"/>
          <w:szCs w:val="20"/>
        </w:rPr>
        <w:endnoteRef/>
      </w:r>
      <w:r w:rsidRPr="0044654D">
        <w:rPr>
          <w:szCs w:val="20"/>
        </w:rPr>
        <w:t xml:space="preserve"> </w:t>
      </w:r>
      <w:r w:rsidRPr="0044654D">
        <w:rPr>
          <w:rFonts w:eastAsia="Calibri"/>
          <w:kern w:val="2"/>
          <w:szCs w:val="20"/>
          <w14:ligatures w14:val="standardContextual"/>
        </w:rPr>
        <w:t>For the factors to consider</w:t>
      </w:r>
      <w:r w:rsidR="00DA2C98">
        <w:rPr>
          <w:rFonts w:eastAsia="Calibri"/>
          <w:kern w:val="2"/>
          <w:szCs w:val="20"/>
          <w14:ligatures w14:val="standardContextual"/>
        </w:rPr>
        <w:t xml:space="preserve"> </w:t>
      </w:r>
      <w:r w:rsidRPr="0044654D">
        <w:rPr>
          <w:rFonts w:eastAsia="Calibri"/>
          <w:kern w:val="2"/>
          <w:szCs w:val="20"/>
          <w14:ligatures w14:val="standardContextual"/>
        </w:rPr>
        <w:t>whether a decision is of sufficient public character / falls within the scope of public law, see</w:t>
      </w:r>
      <w:r w:rsidRPr="0044654D">
        <w:rPr>
          <w:szCs w:val="20"/>
        </w:rPr>
        <w:t xml:space="preserve"> </w:t>
      </w:r>
      <w:r w:rsidRPr="0044654D">
        <w:rPr>
          <w:i/>
          <w:iCs/>
          <w:szCs w:val="20"/>
        </w:rPr>
        <w:t>Air Canada v</w:t>
      </w:r>
      <w:r w:rsidR="00DA2C98">
        <w:rPr>
          <w:i/>
          <w:iCs/>
          <w:szCs w:val="20"/>
        </w:rPr>
        <w:t>.</w:t>
      </w:r>
      <w:r w:rsidRPr="0044654D">
        <w:rPr>
          <w:i/>
          <w:iCs/>
          <w:szCs w:val="20"/>
        </w:rPr>
        <w:t xml:space="preserve"> Toronto Port Authority</w:t>
      </w:r>
      <w:r w:rsidRPr="0044654D">
        <w:rPr>
          <w:szCs w:val="20"/>
        </w:rPr>
        <w:t xml:space="preserve"> (2011 FCA 347) at para 60 and </w:t>
      </w:r>
      <w:r w:rsidRPr="0044654D">
        <w:rPr>
          <w:i/>
          <w:iCs/>
          <w:szCs w:val="20"/>
        </w:rPr>
        <w:t>Setia v Appleby College</w:t>
      </w:r>
      <w:r w:rsidRPr="0044654D">
        <w:rPr>
          <w:szCs w:val="20"/>
        </w:rPr>
        <w:t xml:space="preserve"> (2013 ONCA 753).</w:t>
      </w:r>
    </w:p>
  </w:endnote>
  <w:endnote w:id="100">
    <w:p w14:paraId="62E9D9E5" w14:textId="4ABC98F4" w:rsidR="00630390" w:rsidRPr="0044654D" w:rsidRDefault="00630390" w:rsidP="00AF1F45">
      <w:pPr>
        <w:pStyle w:val="EndnoteText"/>
        <w:rPr>
          <w:szCs w:val="20"/>
          <w:lang w:val="en-US"/>
        </w:rPr>
      </w:pPr>
      <w:r w:rsidRPr="0044654D">
        <w:rPr>
          <w:rStyle w:val="EndnoteReference"/>
          <w:szCs w:val="20"/>
        </w:rPr>
        <w:endnoteRef/>
      </w:r>
      <w:r w:rsidRPr="0044654D">
        <w:rPr>
          <w:szCs w:val="20"/>
        </w:rPr>
        <w:t xml:space="preserve"> </w:t>
      </w:r>
      <w:r w:rsidRPr="0044654D">
        <w:rPr>
          <w:rStyle w:val="Emphasis"/>
          <w:color w:val="000000"/>
          <w:szCs w:val="20"/>
          <w:bdr w:val="none" w:sz="0" w:space="0" w:color="auto" w:frame="1"/>
          <w:shd w:val="clear" w:color="auto" w:fill="FFFFFF"/>
        </w:rPr>
        <w:t>Khorsand v</w:t>
      </w:r>
      <w:r w:rsidR="00DA2C98">
        <w:rPr>
          <w:rStyle w:val="Emphasis"/>
          <w:color w:val="000000"/>
          <w:szCs w:val="20"/>
          <w:bdr w:val="none" w:sz="0" w:space="0" w:color="auto" w:frame="1"/>
          <w:shd w:val="clear" w:color="auto" w:fill="FFFFFF"/>
        </w:rPr>
        <w:t>.</w:t>
      </w:r>
      <w:r w:rsidRPr="0044654D">
        <w:rPr>
          <w:rStyle w:val="Emphasis"/>
          <w:color w:val="000000"/>
          <w:szCs w:val="20"/>
          <w:bdr w:val="none" w:sz="0" w:space="0" w:color="auto" w:frame="1"/>
          <w:shd w:val="clear" w:color="auto" w:fill="FFFFFF"/>
        </w:rPr>
        <w:t xml:space="preserve"> Toronto (City) Police Services Board</w:t>
      </w:r>
      <w:r w:rsidRPr="0044654D">
        <w:rPr>
          <w:szCs w:val="20"/>
          <w:shd w:val="clear" w:color="auto" w:fill="FFFFFF"/>
        </w:rPr>
        <w:t xml:space="preserve"> </w:t>
      </w:r>
      <w:r w:rsidRPr="0044654D">
        <w:rPr>
          <w:color w:val="212121"/>
          <w:szCs w:val="20"/>
          <w:bdr w:val="none" w:sz="0" w:space="0" w:color="auto" w:frame="1"/>
        </w:rPr>
        <w:t xml:space="preserve">(2023 ONSC 1270) at paras </w:t>
      </w:r>
      <w:r w:rsidRPr="0044654D">
        <w:rPr>
          <w:szCs w:val="20"/>
          <w:shd w:val="clear" w:color="auto" w:fill="FFFFFF"/>
        </w:rPr>
        <w:t>7, 19, 38-39, 52-55, 72, 80, 95-96.</w:t>
      </w:r>
    </w:p>
  </w:endnote>
  <w:endnote w:id="101">
    <w:p w14:paraId="405923FF" w14:textId="40449AB0" w:rsidR="00630390" w:rsidRPr="0044654D" w:rsidRDefault="00630390" w:rsidP="00AF1F45">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Robinson v</w:t>
      </w:r>
      <w:r w:rsidR="00DA2C98">
        <w:rPr>
          <w:i/>
          <w:iCs/>
          <w:szCs w:val="20"/>
        </w:rPr>
        <w:t>.</w:t>
      </w:r>
      <w:r w:rsidRPr="0044654D">
        <w:rPr>
          <w:i/>
          <w:iCs/>
          <w:szCs w:val="20"/>
        </w:rPr>
        <w:t xml:space="preserve"> Canada (Attorney General)</w:t>
      </w:r>
      <w:r w:rsidRPr="0044654D">
        <w:rPr>
          <w:szCs w:val="20"/>
        </w:rPr>
        <w:t xml:space="preserve"> (</w:t>
      </w:r>
      <w:r w:rsidRPr="0044654D">
        <w:rPr>
          <w:szCs w:val="20"/>
          <w:bdr w:val="none" w:sz="0" w:space="0" w:color="auto" w:frame="1"/>
        </w:rPr>
        <w:t>2006 FC 1064).</w:t>
      </w:r>
    </w:p>
  </w:endnote>
  <w:endnote w:id="102">
    <w:p w14:paraId="36C6C681" w14:textId="22EF27CF" w:rsidR="00630390" w:rsidRPr="0044654D" w:rsidRDefault="00630390" w:rsidP="00AF1F45">
      <w:pPr>
        <w:pStyle w:val="EndnoteText"/>
        <w:rPr>
          <w:szCs w:val="20"/>
          <w:lang w:val="en-US"/>
        </w:rPr>
      </w:pPr>
      <w:r w:rsidRPr="0044654D">
        <w:rPr>
          <w:rStyle w:val="EndnoteReference"/>
          <w:szCs w:val="20"/>
        </w:rPr>
        <w:endnoteRef/>
      </w:r>
      <w:r w:rsidRPr="0044654D">
        <w:rPr>
          <w:szCs w:val="20"/>
        </w:rPr>
        <w:t xml:space="preserve"> </w:t>
      </w:r>
      <w:r w:rsidRPr="0044654D">
        <w:rPr>
          <w:i/>
          <w:iCs/>
          <w:color w:val="212121"/>
          <w:szCs w:val="20"/>
        </w:rPr>
        <w:t>Tehrankari v</w:t>
      </w:r>
      <w:r w:rsidR="00DA2C98">
        <w:rPr>
          <w:i/>
          <w:iCs/>
          <w:color w:val="212121"/>
          <w:szCs w:val="20"/>
        </w:rPr>
        <w:t>.</w:t>
      </w:r>
      <w:r w:rsidRPr="0044654D">
        <w:rPr>
          <w:i/>
          <w:iCs/>
          <w:color w:val="212121"/>
          <w:szCs w:val="20"/>
        </w:rPr>
        <w:t xml:space="preserve"> Canada (Correctional Service)</w:t>
      </w:r>
      <w:r w:rsidRPr="0044654D">
        <w:rPr>
          <w:color w:val="212121"/>
          <w:szCs w:val="20"/>
        </w:rPr>
        <w:t> (</w:t>
      </w:r>
      <w:r w:rsidRPr="0044654D">
        <w:rPr>
          <w:color w:val="212121"/>
          <w:szCs w:val="20"/>
          <w:bdr w:val="none" w:sz="0" w:space="0" w:color="auto" w:frame="1"/>
        </w:rPr>
        <w:t>[2000] FCJ no 495).</w:t>
      </w:r>
    </w:p>
  </w:endnote>
  <w:endnote w:id="103">
    <w:p w14:paraId="02BA06AD" w14:textId="4BD6E9D2" w:rsidR="00630390" w:rsidRPr="0044654D" w:rsidRDefault="00630390" w:rsidP="00AF1F45">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Youth Criminal Justice Act</w:t>
      </w:r>
      <w:r w:rsidRPr="0044654D">
        <w:rPr>
          <w:szCs w:val="20"/>
        </w:rPr>
        <w:t xml:space="preserve"> (SC 2002, c</w:t>
      </w:r>
      <w:r w:rsidR="00DA2C98">
        <w:rPr>
          <w:szCs w:val="20"/>
        </w:rPr>
        <w:t>.</w:t>
      </w:r>
      <w:r w:rsidRPr="0044654D">
        <w:rPr>
          <w:szCs w:val="20"/>
        </w:rPr>
        <w:t xml:space="preserve"> 1), online: </w:t>
      </w:r>
      <w:hyperlink r:id="rId68" w:history="1">
        <w:r w:rsidRPr="0044654D">
          <w:rPr>
            <w:rStyle w:val="Hyperlink"/>
            <w:szCs w:val="20"/>
          </w:rPr>
          <w:t>https://laws-lois.justice.gc.ca/eng/acts/y-1.5/</w:t>
        </w:r>
      </w:hyperlink>
      <w:r w:rsidRPr="0044654D">
        <w:rPr>
          <w:szCs w:val="20"/>
        </w:rPr>
        <w:t>.</w:t>
      </w:r>
    </w:p>
  </w:endnote>
  <w:endnote w:id="104">
    <w:p w14:paraId="7092BF79" w14:textId="4F7F2E62" w:rsidR="00684CE1" w:rsidRDefault="00684CE1">
      <w:pPr>
        <w:pStyle w:val="EndnoteText"/>
      </w:pPr>
      <w:r>
        <w:rPr>
          <w:rStyle w:val="EndnoteReference"/>
        </w:rPr>
        <w:endnoteRef/>
      </w:r>
      <w:r>
        <w:t xml:space="preserve"> </w:t>
      </w:r>
      <w:r w:rsidR="00DA2C98" w:rsidRPr="00DA2C98">
        <w:rPr>
          <w:i/>
          <w:iCs/>
        </w:rPr>
        <w:t>Legal Aid Services Act</w:t>
      </w:r>
      <w:r w:rsidR="00DA2C98">
        <w:t xml:space="preserve"> (</w:t>
      </w:r>
      <w:r w:rsidR="00DA2C98" w:rsidRPr="00DA2C98">
        <w:t>2020, S.O. 2020, c. 11, Sched. 15</w:t>
      </w:r>
      <w:r w:rsidR="00DA2C98">
        <w:t>)</w:t>
      </w:r>
      <w:r w:rsidR="00166580">
        <w:t xml:space="preserve">, online: </w:t>
      </w:r>
      <w:hyperlink r:id="rId69" w:history="1">
        <w:r w:rsidR="00166580" w:rsidRPr="00455C63">
          <w:rPr>
            <w:rStyle w:val="Hyperlink"/>
          </w:rPr>
          <w:t>https://www.ontario.ca/laws/statute/20l11</w:t>
        </w:r>
      </w:hyperlink>
      <w:r w:rsidR="00166580">
        <w:t xml:space="preserve">. </w:t>
      </w:r>
    </w:p>
  </w:endnote>
  <w:endnote w:id="105">
    <w:p w14:paraId="3D95E896" w14:textId="248007F2" w:rsidR="00684CE1" w:rsidRPr="0044654D" w:rsidRDefault="00684CE1" w:rsidP="00684CE1">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825554">
        <w:rPr>
          <w:i/>
          <w:iCs/>
          <w:szCs w:val="20"/>
        </w:rPr>
        <w:t>.</w:t>
      </w:r>
      <w:r w:rsidRPr="0044654D">
        <w:rPr>
          <w:i/>
          <w:iCs/>
          <w:szCs w:val="20"/>
        </w:rPr>
        <w:t xml:space="preserve"> v</w:t>
      </w:r>
      <w:r w:rsidR="00825554">
        <w:rPr>
          <w:i/>
          <w:iCs/>
          <w:szCs w:val="20"/>
        </w:rPr>
        <w:t>.</w:t>
      </w:r>
      <w:r w:rsidRPr="0044654D">
        <w:rPr>
          <w:i/>
          <w:iCs/>
          <w:szCs w:val="20"/>
        </w:rPr>
        <w:t xml:space="preserve"> JH</w:t>
      </w:r>
      <w:r w:rsidRPr="0044654D">
        <w:rPr>
          <w:szCs w:val="20"/>
        </w:rPr>
        <w:t> (</w:t>
      </w:r>
      <w:r w:rsidRPr="0044654D">
        <w:rPr>
          <w:szCs w:val="20"/>
          <w:bdr w:val="none" w:sz="0" w:space="0" w:color="auto" w:frame="1"/>
        </w:rPr>
        <w:t>[1999] OJ no 3894 (ONCA)).</w:t>
      </w:r>
    </w:p>
  </w:endnote>
  <w:endnote w:id="106">
    <w:p w14:paraId="0696238D" w14:textId="2C44EE31" w:rsidR="000D6AA9" w:rsidRPr="0044654D" w:rsidRDefault="000D6AA9" w:rsidP="000D6AA9">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825554">
        <w:rPr>
          <w:i/>
          <w:iCs/>
          <w:szCs w:val="20"/>
        </w:rPr>
        <w:t>.</w:t>
      </w:r>
      <w:r w:rsidRPr="0044654D">
        <w:rPr>
          <w:i/>
          <w:iCs/>
          <w:szCs w:val="20"/>
        </w:rPr>
        <w:t xml:space="preserve"> v</w:t>
      </w:r>
      <w:r w:rsidR="00825554">
        <w:rPr>
          <w:i/>
          <w:iCs/>
          <w:szCs w:val="20"/>
        </w:rPr>
        <w:t>.</w:t>
      </w:r>
      <w:r w:rsidRPr="0044654D">
        <w:rPr>
          <w:i/>
          <w:iCs/>
          <w:szCs w:val="20"/>
        </w:rPr>
        <w:t xml:space="preserve"> BLA</w:t>
      </w:r>
      <w:r w:rsidRPr="0044654D">
        <w:rPr>
          <w:szCs w:val="20"/>
        </w:rPr>
        <w:t> (</w:t>
      </w:r>
      <w:r w:rsidRPr="0044654D">
        <w:rPr>
          <w:szCs w:val="20"/>
          <w:bdr w:val="none" w:sz="0" w:space="0" w:color="auto" w:frame="1"/>
        </w:rPr>
        <w:t>[2002] OJ no 531 (OCJ)).</w:t>
      </w:r>
    </w:p>
  </w:endnote>
  <w:endnote w:id="107">
    <w:p w14:paraId="5E751597" w14:textId="286AF231" w:rsidR="000D6AA9" w:rsidRPr="0044654D" w:rsidRDefault="000D6AA9" w:rsidP="000D6AA9">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825554">
        <w:rPr>
          <w:i/>
          <w:iCs/>
          <w:szCs w:val="20"/>
        </w:rPr>
        <w:t>.</w:t>
      </w:r>
      <w:r w:rsidRPr="0044654D">
        <w:rPr>
          <w:i/>
          <w:iCs/>
          <w:szCs w:val="20"/>
        </w:rPr>
        <w:t xml:space="preserve"> v</w:t>
      </w:r>
      <w:r w:rsidR="00825554">
        <w:rPr>
          <w:i/>
          <w:iCs/>
          <w:szCs w:val="20"/>
        </w:rPr>
        <w:t>.</w:t>
      </w:r>
      <w:r w:rsidRPr="0044654D">
        <w:rPr>
          <w:i/>
          <w:iCs/>
          <w:szCs w:val="20"/>
        </w:rPr>
        <w:t xml:space="preserve"> ERB</w:t>
      </w:r>
      <w:r w:rsidRPr="0044654D">
        <w:rPr>
          <w:szCs w:val="20"/>
        </w:rPr>
        <w:t> (</w:t>
      </w:r>
      <w:r w:rsidRPr="0044654D">
        <w:rPr>
          <w:szCs w:val="20"/>
          <w:bdr w:val="none" w:sz="0" w:space="0" w:color="auto" w:frame="1"/>
        </w:rPr>
        <w:t>[2003] OJ no 3738 (OCJ)).</w:t>
      </w:r>
    </w:p>
  </w:endnote>
  <w:endnote w:id="108">
    <w:p w14:paraId="6014DD95" w14:textId="77777777" w:rsidR="00630390" w:rsidRPr="0044654D" w:rsidRDefault="00630390" w:rsidP="00AF1F45">
      <w:pPr>
        <w:pStyle w:val="EndnoteText"/>
        <w:rPr>
          <w:szCs w:val="20"/>
          <w:lang w:val="en-US"/>
        </w:rPr>
      </w:pPr>
      <w:r w:rsidRPr="0044654D">
        <w:rPr>
          <w:rStyle w:val="EndnoteReference"/>
          <w:szCs w:val="20"/>
        </w:rPr>
        <w:endnoteRef/>
      </w:r>
      <w:r w:rsidRPr="0044654D">
        <w:rPr>
          <w:szCs w:val="20"/>
        </w:rPr>
        <w:t xml:space="preserve"> </w:t>
      </w:r>
      <w:r w:rsidRPr="0044654D">
        <w:rPr>
          <w:i/>
          <w:iCs/>
          <w:color w:val="000000"/>
          <w:szCs w:val="20"/>
        </w:rPr>
        <w:t>Criminal Code</w:t>
      </w:r>
      <w:r w:rsidRPr="0044654D">
        <w:rPr>
          <w:color w:val="000000"/>
          <w:szCs w:val="20"/>
        </w:rPr>
        <w:t xml:space="preserve"> (RSC 1985, c C-46), </w:t>
      </w:r>
      <w:r w:rsidRPr="0044654D">
        <w:rPr>
          <w:szCs w:val="20"/>
        </w:rPr>
        <w:t>s 672.1,</w:t>
      </w:r>
      <w:r w:rsidRPr="0044654D">
        <w:rPr>
          <w:color w:val="000000"/>
          <w:szCs w:val="20"/>
        </w:rPr>
        <w:t xml:space="preserve"> online: </w:t>
      </w:r>
      <w:hyperlink r:id="rId70" w:history="1">
        <w:r w:rsidRPr="0044654D">
          <w:rPr>
            <w:rStyle w:val="Hyperlink"/>
            <w:szCs w:val="20"/>
          </w:rPr>
          <w:t>https://laws-lois.justice.gc.ca/eng/acts/c-46/</w:t>
        </w:r>
      </w:hyperlink>
      <w:r w:rsidRPr="0044654D">
        <w:rPr>
          <w:color w:val="000000"/>
          <w:szCs w:val="20"/>
        </w:rPr>
        <w:t>.</w:t>
      </w:r>
    </w:p>
  </w:endnote>
  <w:endnote w:id="109">
    <w:p w14:paraId="08B1080E" w14:textId="383F542F" w:rsidR="001A31CF" w:rsidRPr="0044654D" w:rsidRDefault="001A31CF" w:rsidP="001A31CF">
      <w:pPr>
        <w:pStyle w:val="EndnoteText"/>
        <w:rPr>
          <w:szCs w:val="20"/>
        </w:rPr>
      </w:pPr>
      <w:r w:rsidRPr="0044654D">
        <w:rPr>
          <w:rStyle w:val="EndnoteReference"/>
          <w:szCs w:val="20"/>
        </w:rPr>
        <w:endnoteRef/>
      </w:r>
      <w:r w:rsidRPr="0044654D">
        <w:rPr>
          <w:szCs w:val="20"/>
        </w:rPr>
        <w:t xml:space="preserve"> </w:t>
      </w:r>
      <w:r w:rsidRPr="0044654D">
        <w:rPr>
          <w:i/>
          <w:iCs/>
          <w:szCs w:val="20"/>
        </w:rPr>
        <w:t>R</w:t>
      </w:r>
      <w:r w:rsidR="00475E56">
        <w:rPr>
          <w:i/>
          <w:iCs/>
          <w:szCs w:val="20"/>
        </w:rPr>
        <w:t>.</w:t>
      </w:r>
      <w:r w:rsidRPr="0044654D">
        <w:rPr>
          <w:i/>
          <w:iCs/>
          <w:szCs w:val="20"/>
        </w:rPr>
        <w:t xml:space="preserve"> v</w:t>
      </w:r>
      <w:r w:rsidR="00475E56">
        <w:rPr>
          <w:i/>
          <w:iCs/>
          <w:szCs w:val="20"/>
        </w:rPr>
        <w:t>.</w:t>
      </w:r>
      <w:r w:rsidRPr="0044654D">
        <w:rPr>
          <w:i/>
          <w:iCs/>
          <w:szCs w:val="20"/>
        </w:rPr>
        <w:t xml:space="preserve"> Knoblauch </w:t>
      </w:r>
      <w:r w:rsidRPr="0044654D">
        <w:rPr>
          <w:szCs w:val="20"/>
        </w:rPr>
        <w:t>(2000 SCC 58).</w:t>
      </w:r>
    </w:p>
  </w:endnote>
  <w:endnote w:id="110">
    <w:p w14:paraId="3F498D61" w14:textId="67B6CA74" w:rsidR="0052089B" w:rsidRDefault="0052089B">
      <w:pPr>
        <w:pStyle w:val="EndnoteText"/>
      </w:pPr>
      <w:r>
        <w:rPr>
          <w:rStyle w:val="EndnoteReference"/>
        </w:rPr>
        <w:endnoteRef/>
      </w:r>
      <w:r>
        <w:t xml:space="preserve"> </w:t>
      </w:r>
      <w:r w:rsidRPr="0052089B">
        <w:t xml:space="preserve">The </w:t>
      </w:r>
      <w:r w:rsidRPr="00475E56">
        <w:rPr>
          <w:i/>
          <w:iCs/>
        </w:rPr>
        <w:t>Criminal Code’s</w:t>
      </w:r>
      <w:r w:rsidRPr="0052089B">
        <w:t xml:space="preserve"> third-party records regime set out in sections 278.1 through 278.91 (which governs the production of records (</w:t>
      </w:r>
      <w:r w:rsidR="00475E56">
        <w:t xml:space="preserve">from, for instance, those of the </w:t>
      </w:r>
      <w:r w:rsidRPr="0052089B">
        <w:t xml:space="preserve">Children’s Aid Society, </w:t>
      </w:r>
      <w:r w:rsidR="00475E56">
        <w:t>or from medical / therapeutic records, etc.</w:t>
      </w:r>
      <w:r w:rsidRPr="0052089B">
        <w:t>) regarding complainants in specified sexual offences which are in possession of third parties)</w:t>
      </w:r>
      <w:r w:rsidR="00475E56">
        <w:t>.</w:t>
      </w:r>
    </w:p>
  </w:endnote>
  <w:endnote w:id="111">
    <w:p w14:paraId="5B082291" w14:textId="3A854C64" w:rsidR="00630390" w:rsidRPr="0044654D" w:rsidRDefault="00630390" w:rsidP="00B8130F">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 v. Peel Regional Police Service, Chief of Police</w:t>
      </w:r>
      <w:r w:rsidRPr="0044654D">
        <w:rPr>
          <w:szCs w:val="20"/>
        </w:rPr>
        <w:t xml:space="preserve"> ([2000] OJ no 4446 (SC)); </w:t>
      </w:r>
      <w:r w:rsidRPr="0044654D">
        <w:rPr>
          <w:i/>
          <w:iCs/>
          <w:szCs w:val="20"/>
        </w:rPr>
        <w:t>Ontario (An Inquiry into In-Custody Prisoner Delay) (Re)</w:t>
      </w:r>
      <w:r w:rsidRPr="0044654D">
        <w:rPr>
          <w:szCs w:val="20"/>
        </w:rPr>
        <w:t xml:space="preserve"> ([2009] OJ no 1985 (SC)); </w:t>
      </w:r>
      <w:r w:rsidRPr="0044654D">
        <w:rPr>
          <w:i/>
          <w:iCs/>
          <w:szCs w:val="20"/>
        </w:rPr>
        <w:t>Ontario (An Inquiry into the Delay of Prisoners)</w:t>
      </w:r>
      <w:r w:rsidRPr="0044654D">
        <w:rPr>
          <w:szCs w:val="20"/>
        </w:rPr>
        <w:t xml:space="preserve"> ([2009] OJ no</w:t>
      </w:r>
      <w:r w:rsidR="008D3D45">
        <w:rPr>
          <w:szCs w:val="20"/>
        </w:rPr>
        <w:t>.</w:t>
      </w:r>
      <w:r w:rsidRPr="0044654D">
        <w:rPr>
          <w:szCs w:val="20"/>
        </w:rPr>
        <w:t xml:space="preserve"> 2057 (SC)).</w:t>
      </w:r>
    </w:p>
  </w:endnote>
  <w:endnote w:id="112">
    <w:p w14:paraId="622308AA" w14:textId="26D07252" w:rsidR="00630390" w:rsidRPr="0044654D" w:rsidRDefault="00630390" w:rsidP="00B8130F">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Ontario (An Inquiry into the Delay of Prisoners)</w:t>
      </w:r>
      <w:r w:rsidRPr="0044654D">
        <w:rPr>
          <w:szCs w:val="20"/>
        </w:rPr>
        <w:t xml:space="preserve"> ([2009] OJ no 2057 (SC)) at para 10, citing </w:t>
      </w:r>
      <w:r w:rsidRPr="0044654D">
        <w:rPr>
          <w:i/>
          <w:iCs/>
          <w:szCs w:val="20"/>
        </w:rPr>
        <w:t>BCGEU v</w:t>
      </w:r>
      <w:r w:rsidR="008D3D45">
        <w:rPr>
          <w:i/>
          <w:iCs/>
          <w:szCs w:val="20"/>
        </w:rPr>
        <w:t>.</w:t>
      </w:r>
      <w:r w:rsidRPr="0044654D">
        <w:rPr>
          <w:i/>
          <w:iCs/>
          <w:szCs w:val="20"/>
        </w:rPr>
        <w:t xml:space="preserve"> British Columbia (Attorney General)</w:t>
      </w:r>
      <w:r w:rsidRPr="0044654D">
        <w:rPr>
          <w:szCs w:val="20"/>
        </w:rPr>
        <w:t xml:space="preserve"> ([1988] 2SCR 214) at 299, 301-2, 204-5.</w:t>
      </w:r>
    </w:p>
  </w:endnote>
  <w:endnote w:id="113">
    <w:p w14:paraId="7510427D" w14:textId="25BE6D09" w:rsidR="00630390" w:rsidRPr="0044654D" w:rsidRDefault="00630390" w:rsidP="00B8130F">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Ontario (An Inquiry into the Delay of Prisoners)</w:t>
      </w:r>
      <w:r w:rsidRPr="0044654D">
        <w:rPr>
          <w:szCs w:val="20"/>
        </w:rPr>
        <w:t xml:space="preserve"> ([2009] OJ no 2057 (SC)) at para 7, citing </w:t>
      </w:r>
      <w:r w:rsidRPr="0044654D">
        <w:rPr>
          <w:i/>
          <w:iCs/>
          <w:szCs w:val="20"/>
        </w:rPr>
        <w:t>BCGEU v</w:t>
      </w:r>
      <w:r w:rsidR="008D3D45">
        <w:rPr>
          <w:i/>
          <w:iCs/>
          <w:szCs w:val="20"/>
        </w:rPr>
        <w:t>.</w:t>
      </w:r>
      <w:r w:rsidRPr="0044654D">
        <w:rPr>
          <w:i/>
          <w:iCs/>
          <w:szCs w:val="20"/>
        </w:rPr>
        <w:t xml:space="preserve"> British Columbia (Attorney General)</w:t>
      </w:r>
      <w:r w:rsidRPr="0044654D">
        <w:rPr>
          <w:szCs w:val="20"/>
        </w:rPr>
        <w:t xml:space="preserve"> ([1988] 2SCR 214) at 307-9.</w:t>
      </w:r>
    </w:p>
  </w:endnote>
  <w:endnote w:id="114">
    <w:p w14:paraId="0BD3A25C" w14:textId="36C69E84" w:rsidR="00630390" w:rsidRPr="0044654D" w:rsidRDefault="00630390" w:rsidP="00B8130F">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 v. Hannemann</w:t>
      </w:r>
      <w:r w:rsidRPr="0044654D">
        <w:rPr>
          <w:szCs w:val="20"/>
        </w:rPr>
        <w:t xml:space="preserve"> ([2001] OJ no 839 (SC)). </w:t>
      </w:r>
      <w:r w:rsidRPr="0044654D">
        <w:rPr>
          <w:szCs w:val="20"/>
          <w:lang w:val="en-US"/>
        </w:rPr>
        <w:t xml:space="preserve">See also </w:t>
      </w:r>
      <w:r w:rsidRPr="0044654D">
        <w:rPr>
          <w:i/>
          <w:iCs/>
          <w:szCs w:val="20"/>
          <w:lang w:val="en-US"/>
        </w:rPr>
        <w:t>R</w:t>
      </w:r>
      <w:r w:rsidR="008D3D45">
        <w:rPr>
          <w:i/>
          <w:iCs/>
          <w:szCs w:val="20"/>
          <w:lang w:val="en-US"/>
        </w:rPr>
        <w:t>.</w:t>
      </w:r>
      <w:r w:rsidRPr="0044654D">
        <w:rPr>
          <w:i/>
          <w:iCs/>
          <w:szCs w:val="20"/>
          <w:lang w:val="en-US"/>
        </w:rPr>
        <w:t xml:space="preserve"> v</w:t>
      </w:r>
      <w:r w:rsidR="008D3D45">
        <w:rPr>
          <w:i/>
          <w:iCs/>
          <w:szCs w:val="20"/>
          <w:lang w:val="en-US"/>
        </w:rPr>
        <w:t>.</w:t>
      </w:r>
      <w:r w:rsidRPr="0044654D">
        <w:rPr>
          <w:i/>
          <w:iCs/>
          <w:szCs w:val="20"/>
          <w:lang w:val="en-US"/>
        </w:rPr>
        <w:t xml:space="preserve"> Brooks</w:t>
      </w:r>
      <w:r w:rsidRPr="0044654D">
        <w:rPr>
          <w:szCs w:val="20"/>
          <w:lang w:val="en-US"/>
        </w:rPr>
        <w:t xml:space="preserve"> ([2001] OJ no 1563 (SC)); </w:t>
      </w:r>
      <w:r w:rsidRPr="0044654D">
        <w:rPr>
          <w:i/>
          <w:iCs/>
          <w:szCs w:val="20"/>
          <w:lang w:val="en-US"/>
        </w:rPr>
        <w:t>R</w:t>
      </w:r>
      <w:r w:rsidR="008D3D45">
        <w:rPr>
          <w:i/>
          <w:iCs/>
          <w:szCs w:val="20"/>
          <w:lang w:val="en-US"/>
        </w:rPr>
        <w:t>.</w:t>
      </w:r>
      <w:r w:rsidRPr="0044654D">
        <w:rPr>
          <w:i/>
          <w:iCs/>
          <w:szCs w:val="20"/>
          <w:lang w:val="en-US"/>
        </w:rPr>
        <w:t xml:space="preserve"> v</w:t>
      </w:r>
      <w:r w:rsidR="008D3D45">
        <w:rPr>
          <w:i/>
          <w:iCs/>
          <w:szCs w:val="20"/>
          <w:lang w:val="en-US"/>
        </w:rPr>
        <w:t>.</w:t>
      </w:r>
      <w:r w:rsidRPr="0044654D">
        <w:rPr>
          <w:i/>
          <w:iCs/>
          <w:szCs w:val="20"/>
          <w:lang w:val="en-US"/>
        </w:rPr>
        <w:t xml:space="preserve"> Singh</w:t>
      </w:r>
      <w:r w:rsidRPr="0044654D">
        <w:rPr>
          <w:szCs w:val="20"/>
          <w:lang w:val="en-US"/>
        </w:rPr>
        <w:t xml:space="preserve"> ([2004] OJ no 1053 (SC)), part of a series of cases also including </w:t>
      </w:r>
      <w:r w:rsidRPr="0044654D">
        <w:rPr>
          <w:i/>
          <w:iCs/>
          <w:szCs w:val="20"/>
          <w:lang w:val="en-US"/>
        </w:rPr>
        <w:t>R</w:t>
      </w:r>
      <w:r w:rsidR="008D3D45">
        <w:rPr>
          <w:i/>
          <w:iCs/>
          <w:szCs w:val="20"/>
          <w:lang w:val="en-US"/>
        </w:rPr>
        <w:t>.</w:t>
      </w:r>
      <w:r w:rsidRPr="0044654D">
        <w:rPr>
          <w:i/>
          <w:iCs/>
          <w:szCs w:val="20"/>
          <w:lang w:val="en-US"/>
        </w:rPr>
        <w:t xml:space="preserve"> v</w:t>
      </w:r>
      <w:r w:rsidR="008D3D45">
        <w:rPr>
          <w:i/>
          <w:iCs/>
          <w:szCs w:val="20"/>
          <w:lang w:val="en-US"/>
        </w:rPr>
        <w:t>.</w:t>
      </w:r>
      <w:r w:rsidRPr="0044654D">
        <w:rPr>
          <w:i/>
          <w:iCs/>
          <w:szCs w:val="20"/>
          <w:lang w:val="en-US"/>
        </w:rPr>
        <w:t xml:space="preserve"> Juliano</w:t>
      </w:r>
      <w:r w:rsidRPr="0044654D">
        <w:rPr>
          <w:szCs w:val="20"/>
          <w:lang w:val="en-US"/>
        </w:rPr>
        <w:t xml:space="preserve"> ([2002] OJ no 699 (SC); </w:t>
      </w:r>
      <w:r w:rsidRPr="0044654D">
        <w:rPr>
          <w:i/>
          <w:iCs/>
          <w:szCs w:val="20"/>
          <w:lang w:val="en-US"/>
        </w:rPr>
        <w:t>R</w:t>
      </w:r>
      <w:r w:rsidR="008D3D45">
        <w:rPr>
          <w:i/>
          <w:iCs/>
          <w:szCs w:val="20"/>
          <w:lang w:val="en-US"/>
        </w:rPr>
        <w:t>.</w:t>
      </w:r>
      <w:r w:rsidRPr="0044654D">
        <w:rPr>
          <w:i/>
          <w:iCs/>
          <w:szCs w:val="20"/>
          <w:lang w:val="en-US"/>
        </w:rPr>
        <w:t xml:space="preserve"> v</w:t>
      </w:r>
      <w:r w:rsidR="008D3D45">
        <w:rPr>
          <w:i/>
          <w:iCs/>
          <w:szCs w:val="20"/>
          <w:lang w:val="en-US"/>
        </w:rPr>
        <w:t>.</w:t>
      </w:r>
      <w:r w:rsidRPr="0044654D">
        <w:rPr>
          <w:i/>
          <w:iCs/>
          <w:szCs w:val="20"/>
          <w:lang w:val="en-US"/>
        </w:rPr>
        <w:t xml:space="preserve"> Stogdill</w:t>
      </w:r>
      <w:r w:rsidRPr="0044654D">
        <w:rPr>
          <w:szCs w:val="20"/>
          <w:lang w:val="en-US"/>
        </w:rPr>
        <w:t xml:space="preserve"> ((ONSC), March 8, 2004 (Court File no SCA(P) 7216/03)).</w:t>
      </w:r>
    </w:p>
  </w:endnote>
  <w:endnote w:id="115">
    <w:p w14:paraId="190E4205" w14:textId="5133CE91" w:rsidR="0025092B" w:rsidRPr="0044654D" w:rsidRDefault="0025092B" w:rsidP="0025092B">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8D3D45">
        <w:rPr>
          <w:i/>
          <w:iCs/>
          <w:szCs w:val="20"/>
        </w:rPr>
        <w:t>.</w:t>
      </w:r>
      <w:r w:rsidRPr="0044654D">
        <w:rPr>
          <w:i/>
          <w:iCs/>
          <w:szCs w:val="20"/>
        </w:rPr>
        <w:t xml:space="preserve"> v</w:t>
      </w:r>
      <w:r w:rsidR="008D3D45">
        <w:rPr>
          <w:i/>
          <w:iCs/>
          <w:szCs w:val="20"/>
        </w:rPr>
        <w:t>.</w:t>
      </w:r>
      <w:r w:rsidRPr="0044654D">
        <w:rPr>
          <w:i/>
          <w:iCs/>
          <w:szCs w:val="20"/>
        </w:rPr>
        <w:t xml:space="preserve"> Brooks</w:t>
      </w:r>
      <w:r w:rsidRPr="0044654D">
        <w:rPr>
          <w:szCs w:val="20"/>
        </w:rPr>
        <w:t xml:space="preserve"> ([2001] OJ no 1563 (SC)).</w:t>
      </w:r>
    </w:p>
  </w:endnote>
  <w:endnote w:id="116">
    <w:p w14:paraId="3AE164CD" w14:textId="4F536E9E" w:rsidR="003243E6" w:rsidRPr="0044654D" w:rsidRDefault="003243E6" w:rsidP="003243E6">
      <w:pPr>
        <w:pStyle w:val="EndnoteText"/>
        <w:rPr>
          <w:szCs w:val="20"/>
          <w:lang w:val="en-US"/>
        </w:rPr>
      </w:pPr>
      <w:r w:rsidRPr="0044654D">
        <w:rPr>
          <w:rStyle w:val="EndnoteReference"/>
          <w:szCs w:val="20"/>
        </w:rPr>
        <w:endnoteRef/>
      </w:r>
      <w:r w:rsidRPr="0044654D">
        <w:rPr>
          <w:szCs w:val="20"/>
        </w:rPr>
        <w:t xml:space="preserve"> </w:t>
      </w:r>
      <w:r w:rsidRPr="0044654D">
        <w:rPr>
          <w:i/>
          <w:iCs/>
          <w:szCs w:val="20"/>
          <w:lang w:val="en-US"/>
        </w:rPr>
        <w:t>R</w:t>
      </w:r>
      <w:r w:rsidR="008D3D45">
        <w:rPr>
          <w:i/>
          <w:iCs/>
          <w:szCs w:val="20"/>
          <w:lang w:val="en-US"/>
        </w:rPr>
        <w:t>.</w:t>
      </w:r>
      <w:r w:rsidRPr="0044654D">
        <w:rPr>
          <w:i/>
          <w:iCs/>
          <w:szCs w:val="20"/>
          <w:lang w:val="en-US"/>
        </w:rPr>
        <w:t xml:space="preserve"> v</w:t>
      </w:r>
      <w:r w:rsidR="008D3D45">
        <w:rPr>
          <w:i/>
          <w:iCs/>
          <w:szCs w:val="20"/>
          <w:lang w:val="en-US"/>
        </w:rPr>
        <w:t>.</w:t>
      </w:r>
      <w:r w:rsidRPr="0044654D">
        <w:rPr>
          <w:i/>
          <w:iCs/>
          <w:szCs w:val="20"/>
          <w:lang w:val="en-US"/>
        </w:rPr>
        <w:t xml:space="preserve"> Singh</w:t>
      </w:r>
      <w:r w:rsidRPr="0044654D">
        <w:rPr>
          <w:szCs w:val="20"/>
          <w:lang w:val="en-US"/>
        </w:rPr>
        <w:t xml:space="preserve"> ([2004] OJ no 1053 (SC)).</w:t>
      </w:r>
    </w:p>
  </w:endnote>
  <w:endnote w:id="117">
    <w:p w14:paraId="3DCB6CE2" w14:textId="599776BD" w:rsidR="00630390" w:rsidRPr="0044654D" w:rsidRDefault="00630390" w:rsidP="00B8130F">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8D3D45">
        <w:rPr>
          <w:i/>
          <w:iCs/>
          <w:szCs w:val="20"/>
        </w:rPr>
        <w:t>.</w:t>
      </w:r>
      <w:r w:rsidRPr="0044654D">
        <w:rPr>
          <w:i/>
          <w:iCs/>
          <w:szCs w:val="20"/>
        </w:rPr>
        <w:t xml:space="preserve"> v</w:t>
      </w:r>
      <w:r w:rsidR="008D3D45">
        <w:rPr>
          <w:i/>
          <w:iCs/>
          <w:szCs w:val="20"/>
        </w:rPr>
        <w:t>.</w:t>
      </w:r>
      <w:r w:rsidRPr="0044654D">
        <w:rPr>
          <w:i/>
          <w:iCs/>
          <w:szCs w:val="20"/>
        </w:rPr>
        <w:t xml:space="preserve"> Singh</w:t>
      </w:r>
      <w:r w:rsidRPr="0044654D">
        <w:rPr>
          <w:szCs w:val="20"/>
        </w:rPr>
        <w:t xml:space="preserve"> ([2004] OJ no 1723 (SC)) at para 6.</w:t>
      </w:r>
    </w:p>
  </w:endnote>
  <w:endnote w:id="118">
    <w:p w14:paraId="6B8A8386" w14:textId="4D9A74A6" w:rsidR="005C5658" w:rsidRPr="0044654D" w:rsidRDefault="005C5658" w:rsidP="005C5658">
      <w:pPr>
        <w:pStyle w:val="EndnoteText"/>
        <w:rPr>
          <w:szCs w:val="20"/>
          <w:lang w:val="en-US"/>
        </w:rPr>
      </w:pPr>
      <w:r w:rsidRPr="0044654D">
        <w:rPr>
          <w:rStyle w:val="EndnoteReference"/>
          <w:szCs w:val="20"/>
        </w:rPr>
        <w:endnoteRef/>
      </w:r>
      <w:r w:rsidRPr="0044654D">
        <w:rPr>
          <w:szCs w:val="20"/>
        </w:rPr>
        <w:t xml:space="preserve"> </w:t>
      </w:r>
      <w:r w:rsidRPr="0044654D">
        <w:rPr>
          <w:rFonts w:eastAsia="Times New Roman"/>
          <w:i/>
          <w:iCs/>
          <w:szCs w:val="20"/>
        </w:rPr>
        <w:t>R</w:t>
      </w:r>
      <w:r w:rsidR="008D3D45">
        <w:rPr>
          <w:rFonts w:eastAsia="Times New Roman"/>
          <w:i/>
          <w:iCs/>
          <w:szCs w:val="20"/>
        </w:rPr>
        <w:t>.</w:t>
      </w:r>
      <w:r w:rsidRPr="0044654D">
        <w:rPr>
          <w:rFonts w:eastAsia="Times New Roman"/>
          <w:i/>
          <w:iCs/>
          <w:szCs w:val="20"/>
        </w:rPr>
        <w:t xml:space="preserve"> v</w:t>
      </w:r>
      <w:r w:rsidR="008D3D45">
        <w:rPr>
          <w:rFonts w:eastAsia="Times New Roman"/>
          <w:i/>
          <w:iCs/>
          <w:szCs w:val="20"/>
        </w:rPr>
        <w:t>.</w:t>
      </w:r>
      <w:r w:rsidRPr="0044654D">
        <w:rPr>
          <w:rFonts w:eastAsia="Times New Roman"/>
          <w:i/>
          <w:iCs/>
          <w:szCs w:val="20"/>
        </w:rPr>
        <w:t xml:space="preserve"> Flintoff</w:t>
      </w:r>
      <w:r w:rsidRPr="0044654D">
        <w:rPr>
          <w:rFonts w:eastAsia="Times New Roman"/>
          <w:szCs w:val="20"/>
        </w:rPr>
        <w:t xml:space="preserve"> ([1998] OJ no 2337 (ONCA)).</w:t>
      </w:r>
    </w:p>
  </w:endnote>
  <w:endnote w:id="119">
    <w:p w14:paraId="3BE49867" w14:textId="1A22A788" w:rsidR="005C5658" w:rsidRPr="0044654D" w:rsidRDefault="005C5658" w:rsidP="005C5658">
      <w:pPr>
        <w:pStyle w:val="EndnoteText"/>
        <w:rPr>
          <w:szCs w:val="20"/>
          <w:lang w:val="en-US"/>
        </w:rPr>
      </w:pPr>
      <w:r w:rsidRPr="0044654D">
        <w:rPr>
          <w:rStyle w:val="EndnoteReference"/>
          <w:szCs w:val="20"/>
        </w:rPr>
        <w:endnoteRef/>
      </w:r>
      <w:r w:rsidRPr="0044654D">
        <w:rPr>
          <w:szCs w:val="20"/>
        </w:rPr>
        <w:t xml:space="preserve"> </w:t>
      </w:r>
      <w:r w:rsidRPr="0044654D">
        <w:rPr>
          <w:rFonts w:eastAsia="Times New Roman"/>
          <w:i/>
          <w:iCs/>
          <w:szCs w:val="20"/>
        </w:rPr>
        <w:t>R</w:t>
      </w:r>
      <w:r w:rsidR="008D3D45">
        <w:rPr>
          <w:rFonts w:eastAsia="Times New Roman"/>
          <w:i/>
          <w:iCs/>
          <w:szCs w:val="20"/>
        </w:rPr>
        <w:t>.</w:t>
      </w:r>
      <w:r w:rsidRPr="0044654D">
        <w:rPr>
          <w:rFonts w:eastAsia="Times New Roman"/>
          <w:i/>
          <w:iCs/>
          <w:szCs w:val="20"/>
        </w:rPr>
        <w:t xml:space="preserve"> v</w:t>
      </w:r>
      <w:r w:rsidR="008D3D45">
        <w:rPr>
          <w:rFonts w:eastAsia="Times New Roman"/>
          <w:i/>
          <w:iCs/>
          <w:szCs w:val="20"/>
        </w:rPr>
        <w:t>.</w:t>
      </w:r>
      <w:r w:rsidRPr="0044654D">
        <w:rPr>
          <w:rFonts w:eastAsia="Times New Roman"/>
          <w:i/>
          <w:iCs/>
          <w:szCs w:val="20"/>
        </w:rPr>
        <w:t xml:space="preserve"> Mok</w:t>
      </w:r>
      <w:r w:rsidRPr="0044654D">
        <w:rPr>
          <w:rFonts w:eastAsia="Times New Roman"/>
          <w:szCs w:val="20"/>
        </w:rPr>
        <w:t xml:space="preserve"> (2014 ONSC 64). </w:t>
      </w:r>
      <w:r w:rsidRPr="008D3D45">
        <w:rPr>
          <w:rFonts w:eastAsia="Times New Roman"/>
          <w:szCs w:val="20"/>
        </w:rPr>
        <w:t>See also</w:t>
      </w:r>
      <w:r w:rsidRPr="008D3D45">
        <w:rPr>
          <w:rFonts w:eastAsia="Times New Roman"/>
          <w:i/>
          <w:iCs/>
          <w:szCs w:val="20"/>
        </w:rPr>
        <w:t xml:space="preserve"> R</w:t>
      </w:r>
      <w:r w:rsidR="008D3D45">
        <w:rPr>
          <w:rFonts w:eastAsia="Times New Roman"/>
          <w:i/>
          <w:iCs/>
          <w:szCs w:val="20"/>
        </w:rPr>
        <w:t>.</w:t>
      </w:r>
      <w:r w:rsidRPr="008D3D45">
        <w:rPr>
          <w:rFonts w:eastAsia="Times New Roman"/>
          <w:i/>
          <w:iCs/>
          <w:szCs w:val="20"/>
        </w:rPr>
        <w:t xml:space="preserve"> v</w:t>
      </w:r>
      <w:r w:rsidR="008D3D45">
        <w:rPr>
          <w:rFonts w:eastAsia="Times New Roman"/>
          <w:i/>
          <w:iCs/>
          <w:szCs w:val="20"/>
        </w:rPr>
        <w:t>.</w:t>
      </w:r>
      <w:r w:rsidRPr="008D3D45">
        <w:rPr>
          <w:rFonts w:eastAsia="Times New Roman"/>
          <w:i/>
          <w:iCs/>
          <w:szCs w:val="20"/>
        </w:rPr>
        <w:t xml:space="preserve"> King</w:t>
      </w:r>
      <w:r w:rsidRPr="008D3D45">
        <w:rPr>
          <w:rFonts w:eastAsia="Times New Roman"/>
          <w:szCs w:val="20"/>
        </w:rPr>
        <w:t xml:space="preserve"> ([2012] OJ no 2574); </w:t>
      </w:r>
      <w:r w:rsidRPr="008D3D45">
        <w:rPr>
          <w:rFonts w:eastAsia="Times New Roman"/>
          <w:i/>
          <w:iCs/>
          <w:szCs w:val="20"/>
        </w:rPr>
        <w:t>R</w:t>
      </w:r>
      <w:r w:rsidR="008D3D45">
        <w:rPr>
          <w:rFonts w:eastAsia="Times New Roman"/>
          <w:i/>
          <w:iCs/>
          <w:szCs w:val="20"/>
        </w:rPr>
        <w:t>.</w:t>
      </w:r>
      <w:r w:rsidRPr="008D3D45">
        <w:rPr>
          <w:rFonts w:eastAsia="Times New Roman"/>
          <w:i/>
          <w:iCs/>
          <w:szCs w:val="20"/>
        </w:rPr>
        <w:t xml:space="preserve"> v</w:t>
      </w:r>
      <w:r w:rsidR="008D3D45">
        <w:rPr>
          <w:rFonts w:eastAsia="Times New Roman"/>
          <w:i/>
          <w:iCs/>
          <w:szCs w:val="20"/>
        </w:rPr>
        <w:t>.</w:t>
      </w:r>
      <w:r w:rsidRPr="008D3D45">
        <w:rPr>
          <w:rFonts w:eastAsia="Times New Roman"/>
          <w:i/>
          <w:iCs/>
          <w:szCs w:val="20"/>
        </w:rPr>
        <w:t xml:space="preserve"> Teixeira</w:t>
      </w:r>
      <w:r w:rsidRPr="008D3D45">
        <w:rPr>
          <w:rFonts w:eastAsia="Times New Roman"/>
          <w:szCs w:val="20"/>
        </w:rPr>
        <w:t xml:space="preserve"> ([2012] OJ no 6653); </w:t>
      </w:r>
      <w:r w:rsidRPr="008D3D45">
        <w:rPr>
          <w:rFonts w:eastAsia="Times New Roman"/>
          <w:i/>
          <w:iCs/>
          <w:szCs w:val="20"/>
        </w:rPr>
        <w:t>R</w:t>
      </w:r>
      <w:r w:rsidR="008D3D45">
        <w:rPr>
          <w:rFonts w:eastAsia="Times New Roman"/>
          <w:i/>
          <w:iCs/>
          <w:szCs w:val="20"/>
        </w:rPr>
        <w:t>.</w:t>
      </w:r>
      <w:r w:rsidRPr="008D3D45">
        <w:rPr>
          <w:rFonts w:eastAsia="Times New Roman"/>
          <w:i/>
          <w:iCs/>
          <w:szCs w:val="20"/>
        </w:rPr>
        <w:t xml:space="preserve"> v</w:t>
      </w:r>
      <w:r w:rsidR="008D3D45">
        <w:rPr>
          <w:rFonts w:eastAsia="Times New Roman"/>
          <w:i/>
          <w:iCs/>
          <w:szCs w:val="20"/>
        </w:rPr>
        <w:t>.</w:t>
      </w:r>
      <w:r w:rsidRPr="008D3D45">
        <w:rPr>
          <w:rFonts w:eastAsia="Times New Roman"/>
          <w:i/>
          <w:iCs/>
          <w:szCs w:val="20"/>
        </w:rPr>
        <w:t xml:space="preserve"> Chasovskikh</w:t>
      </w:r>
      <w:r w:rsidRPr="008D3D45">
        <w:rPr>
          <w:rFonts w:eastAsia="Times New Roman"/>
          <w:szCs w:val="20"/>
        </w:rPr>
        <w:t xml:space="preserve"> (</w:t>
      </w:r>
      <w:r w:rsidRPr="008D3D45">
        <w:rPr>
          <w:color w:val="212121"/>
          <w:szCs w:val="20"/>
          <w:shd w:val="clear" w:color="auto" w:fill="FFFFFF"/>
        </w:rPr>
        <w:t xml:space="preserve">[2013] OJ no 16); </w:t>
      </w:r>
      <w:r w:rsidRPr="008D3D45">
        <w:rPr>
          <w:rFonts w:eastAsia="Times New Roman"/>
          <w:i/>
          <w:iCs/>
          <w:szCs w:val="20"/>
        </w:rPr>
        <w:t>R</w:t>
      </w:r>
      <w:r w:rsidR="008D3D45">
        <w:rPr>
          <w:rFonts w:eastAsia="Times New Roman"/>
          <w:i/>
          <w:iCs/>
          <w:szCs w:val="20"/>
        </w:rPr>
        <w:t>.</w:t>
      </w:r>
      <w:r w:rsidRPr="008D3D45">
        <w:rPr>
          <w:rFonts w:eastAsia="Times New Roman"/>
          <w:i/>
          <w:iCs/>
          <w:szCs w:val="20"/>
        </w:rPr>
        <w:t xml:space="preserve"> v</w:t>
      </w:r>
      <w:r w:rsidR="008D3D45">
        <w:rPr>
          <w:rFonts w:eastAsia="Times New Roman"/>
          <w:i/>
          <w:iCs/>
          <w:szCs w:val="20"/>
        </w:rPr>
        <w:t>.</w:t>
      </w:r>
      <w:r w:rsidRPr="008D3D45">
        <w:rPr>
          <w:rFonts w:eastAsia="Times New Roman"/>
          <w:i/>
          <w:iCs/>
          <w:szCs w:val="20"/>
        </w:rPr>
        <w:t xml:space="preserve"> Orenchuk</w:t>
      </w:r>
      <w:r w:rsidRPr="008D3D45">
        <w:rPr>
          <w:rFonts w:eastAsia="Times New Roman"/>
          <w:szCs w:val="20"/>
        </w:rPr>
        <w:t xml:space="preserve"> ([2014] OJ no 5864).</w:t>
      </w:r>
    </w:p>
  </w:endnote>
  <w:endnote w:id="120">
    <w:p w14:paraId="6C65DAF9" w14:textId="463DB639" w:rsidR="00630390" w:rsidRPr="0044654D" w:rsidRDefault="00630390" w:rsidP="00D63551">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Toronto Police Services Board, </w:t>
      </w:r>
      <w:r w:rsidRPr="0044654D">
        <w:rPr>
          <w:i/>
          <w:iCs/>
          <w:szCs w:val="20"/>
          <w:lang w:val="en-US"/>
        </w:rPr>
        <w:t>Use of Artificial Intelligence Technology</w:t>
      </w:r>
      <w:r w:rsidRPr="0044654D">
        <w:rPr>
          <w:szCs w:val="20"/>
          <w:lang w:val="en-US"/>
        </w:rPr>
        <w:t xml:space="preserve"> (February </w:t>
      </w:r>
      <w:r w:rsidR="008D3D45">
        <w:rPr>
          <w:szCs w:val="20"/>
          <w:lang w:val="en-US"/>
        </w:rPr>
        <w:t xml:space="preserve">28 </w:t>
      </w:r>
      <w:r w:rsidRPr="0044654D">
        <w:rPr>
          <w:szCs w:val="20"/>
          <w:lang w:val="en-US"/>
        </w:rPr>
        <w:t>2022, amended</w:t>
      </w:r>
      <w:r w:rsidR="008D3D45">
        <w:rPr>
          <w:szCs w:val="20"/>
          <w:lang w:val="en-US"/>
        </w:rPr>
        <w:t xml:space="preserve"> </w:t>
      </w:r>
      <w:r w:rsidRPr="0044654D">
        <w:rPr>
          <w:szCs w:val="20"/>
          <w:lang w:val="en-US"/>
        </w:rPr>
        <w:t xml:space="preserve">January </w:t>
      </w:r>
      <w:r w:rsidR="008D3D45">
        <w:rPr>
          <w:szCs w:val="20"/>
          <w:lang w:val="en-US"/>
        </w:rPr>
        <w:t xml:space="preserve">11 </w:t>
      </w:r>
      <w:r w:rsidRPr="0044654D">
        <w:rPr>
          <w:szCs w:val="20"/>
          <w:lang w:val="en-US"/>
        </w:rPr>
        <w:t xml:space="preserve">2024), online: </w:t>
      </w:r>
      <w:hyperlink r:id="rId71" w:history="1">
        <w:r w:rsidRPr="0044654D">
          <w:rPr>
            <w:rStyle w:val="Hyperlink"/>
            <w:szCs w:val="20"/>
            <w:lang w:val="en-US"/>
          </w:rPr>
          <w:t>https://tpsb.ca/policies-by-laws/board-policies/195-use-of-artificial-intelligence-technology</w:t>
        </w:r>
      </w:hyperlink>
      <w:r w:rsidRPr="0044654D">
        <w:rPr>
          <w:szCs w:val="20"/>
          <w:lang w:val="en-US"/>
        </w:rPr>
        <w:t>.</w:t>
      </w:r>
    </w:p>
  </w:endnote>
  <w:endnote w:id="121">
    <w:p w14:paraId="1A8E6511" w14:textId="178DB21B" w:rsidR="00630390" w:rsidRPr="0044654D" w:rsidRDefault="00630390" w:rsidP="00D63551">
      <w:pPr>
        <w:pStyle w:val="EndnoteText"/>
        <w:rPr>
          <w:szCs w:val="20"/>
          <w:lang w:val="en-US"/>
        </w:rPr>
      </w:pPr>
      <w:r w:rsidRPr="0044654D">
        <w:rPr>
          <w:rStyle w:val="EndnoteReference"/>
          <w:szCs w:val="20"/>
        </w:rPr>
        <w:endnoteRef/>
      </w:r>
      <w:r w:rsidRPr="0044654D">
        <w:rPr>
          <w:szCs w:val="20"/>
        </w:rPr>
        <w:t xml:space="preserve"> </w:t>
      </w:r>
      <w:r w:rsidR="008D3D45" w:rsidRPr="0044654D">
        <w:rPr>
          <w:szCs w:val="20"/>
          <w:lang w:val="en-US"/>
        </w:rPr>
        <w:t xml:space="preserve">Toronto Police Services Board, </w:t>
      </w:r>
      <w:r w:rsidR="008D3D45" w:rsidRPr="0044654D">
        <w:rPr>
          <w:i/>
          <w:iCs/>
          <w:szCs w:val="20"/>
          <w:lang w:val="en-US"/>
        </w:rPr>
        <w:t>Use of Artificial Intelligence Technology</w:t>
      </w:r>
      <w:r w:rsidR="008D3D45" w:rsidRPr="0044654D">
        <w:rPr>
          <w:szCs w:val="20"/>
          <w:lang w:val="en-US"/>
        </w:rPr>
        <w:t xml:space="preserve"> (February </w:t>
      </w:r>
      <w:r w:rsidR="008D3D45">
        <w:rPr>
          <w:szCs w:val="20"/>
          <w:lang w:val="en-US"/>
        </w:rPr>
        <w:t xml:space="preserve">28 </w:t>
      </w:r>
      <w:r w:rsidR="008D3D45" w:rsidRPr="0044654D">
        <w:rPr>
          <w:szCs w:val="20"/>
          <w:lang w:val="en-US"/>
        </w:rPr>
        <w:t>2022, amended</w:t>
      </w:r>
      <w:r w:rsidR="008D3D45">
        <w:rPr>
          <w:szCs w:val="20"/>
          <w:lang w:val="en-US"/>
        </w:rPr>
        <w:t xml:space="preserve"> </w:t>
      </w:r>
      <w:r w:rsidR="008D3D45" w:rsidRPr="0044654D">
        <w:rPr>
          <w:szCs w:val="20"/>
          <w:lang w:val="en-US"/>
        </w:rPr>
        <w:t xml:space="preserve">January </w:t>
      </w:r>
      <w:r w:rsidR="008D3D45">
        <w:rPr>
          <w:szCs w:val="20"/>
          <w:lang w:val="en-US"/>
        </w:rPr>
        <w:t xml:space="preserve">11 </w:t>
      </w:r>
      <w:r w:rsidR="008D3D45" w:rsidRPr="0044654D">
        <w:rPr>
          <w:szCs w:val="20"/>
          <w:lang w:val="en-US"/>
        </w:rPr>
        <w:t xml:space="preserve">2024), online: </w:t>
      </w:r>
      <w:hyperlink r:id="rId72" w:history="1">
        <w:r w:rsidR="008D3D45" w:rsidRPr="0044654D">
          <w:rPr>
            <w:rStyle w:val="Hyperlink"/>
            <w:szCs w:val="20"/>
            <w:lang w:val="en-US"/>
          </w:rPr>
          <w:t>https://tpsb.ca/policies-by-laws/board-policies/195-use-of-artificial-intelligence-technology</w:t>
        </w:r>
      </w:hyperlink>
      <w:r w:rsidR="008D3D45" w:rsidRPr="0044654D">
        <w:rPr>
          <w:szCs w:val="20"/>
          <w:lang w:val="en-US"/>
        </w:rPr>
        <w:t>.</w:t>
      </w:r>
    </w:p>
  </w:endnote>
  <w:endnote w:id="122">
    <w:p w14:paraId="6CB2AAEA" w14:textId="59597757" w:rsidR="00630390" w:rsidRPr="0044654D" w:rsidRDefault="00630390" w:rsidP="00D63551">
      <w:pPr>
        <w:pStyle w:val="EndnoteText"/>
        <w:rPr>
          <w:szCs w:val="20"/>
          <w:lang w:val="en-US"/>
        </w:rPr>
      </w:pPr>
      <w:r w:rsidRPr="0044654D">
        <w:rPr>
          <w:rStyle w:val="EndnoteReference"/>
          <w:szCs w:val="20"/>
        </w:rPr>
        <w:endnoteRef/>
      </w:r>
      <w:r w:rsidRPr="0044654D">
        <w:rPr>
          <w:szCs w:val="20"/>
        </w:rPr>
        <w:t xml:space="preserve"> </w:t>
      </w:r>
      <w:r w:rsidRPr="0044654D">
        <w:rPr>
          <w:rFonts w:eastAsia="Times New Roman"/>
          <w:szCs w:val="20"/>
        </w:rPr>
        <w:t xml:space="preserve">See </w:t>
      </w:r>
      <w:r w:rsidRPr="0044654D">
        <w:rPr>
          <w:rFonts w:eastAsia="Times New Roman"/>
          <w:i/>
          <w:iCs/>
          <w:szCs w:val="20"/>
        </w:rPr>
        <w:t>R</w:t>
      </w:r>
      <w:r w:rsidR="008D3D45">
        <w:rPr>
          <w:rFonts w:eastAsia="Times New Roman"/>
          <w:i/>
          <w:iCs/>
          <w:szCs w:val="20"/>
        </w:rPr>
        <w:t>.</w:t>
      </w:r>
      <w:r w:rsidRPr="0044654D">
        <w:rPr>
          <w:rFonts w:eastAsia="Times New Roman"/>
          <w:i/>
          <w:iCs/>
          <w:szCs w:val="20"/>
        </w:rPr>
        <w:t xml:space="preserve"> v</w:t>
      </w:r>
      <w:r w:rsidR="008D3D45">
        <w:rPr>
          <w:rFonts w:eastAsia="Times New Roman"/>
          <w:i/>
          <w:iCs/>
          <w:szCs w:val="20"/>
        </w:rPr>
        <w:t>.</w:t>
      </w:r>
      <w:r w:rsidRPr="0044654D">
        <w:rPr>
          <w:rFonts w:eastAsia="Times New Roman"/>
          <w:i/>
          <w:iCs/>
          <w:szCs w:val="20"/>
        </w:rPr>
        <w:t xml:space="preserve"> Mok</w:t>
      </w:r>
      <w:r w:rsidRPr="0044654D">
        <w:rPr>
          <w:rFonts w:eastAsia="Times New Roman"/>
          <w:szCs w:val="20"/>
        </w:rPr>
        <w:t xml:space="preserve"> (2014 ONSC 64) at para 91, citing </w:t>
      </w:r>
      <w:r w:rsidRPr="0044654D">
        <w:rPr>
          <w:rFonts w:eastAsia="Times New Roman"/>
          <w:i/>
          <w:iCs/>
          <w:szCs w:val="20"/>
        </w:rPr>
        <w:t xml:space="preserve">Canada (Minister of Citizenship and Immigration) v Tobiass </w:t>
      </w:r>
      <w:r w:rsidRPr="0044654D">
        <w:rPr>
          <w:rFonts w:eastAsia="Times New Roman"/>
          <w:szCs w:val="20"/>
        </w:rPr>
        <w:t>([1997] 3 SCR 391) at para 91:</w:t>
      </w:r>
      <w:r w:rsidRPr="0044654D">
        <w:rPr>
          <w:rFonts w:eastAsia="Times New Roman"/>
          <w:i/>
          <w:iCs/>
          <w:szCs w:val="20"/>
        </w:rPr>
        <w:t xml:space="preserve">  “A stay of proceedings does not redress a wrong that has already been done. It aims to prevent the perpetuation of a wrong that, if left alone, will continue to trouble the parties and the community as a whole in the future.</w:t>
      </w:r>
      <w:r w:rsidRPr="0044654D">
        <w:rPr>
          <w:rFonts w:eastAsia="Times New Roman"/>
          <w:szCs w:val="20"/>
        </w:rPr>
        <w:t>”</w:t>
      </w:r>
    </w:p>
  </w:endnote>
  <w:endnote w:id="123">
    <w:p w14:paraId="35531587" w14:textId="1BDF5D7D" w:rsidR="00C70A80" w:rsidRDefault="00C70A80">
      <w:pPr>
        <w:pStyle w:val="EndnoteText"/>
      </w:pPr>
      <w:r>
        <w:rPr>
          <w:rStyle w:val="EndnoteReference"/>
        </w:rPr>
        <w:endnoteRef/>
      </w:r>
      <w:r>
        <w:t xml:space="preserve"> See for example: </w:t>
      </w:r>
      <w:r w:rsidRPr="0044654D">
        <w:rPr>
          <w:rStyle w:val="ssit"/>
          <w:i/>
          <w:iCs/>
          <w:color w:val="212121"/>
          <w:szCs w:val="20"/>
          <w:bdr w:val="none" w:sz="0" w:space="0" w:color="auto" w:frame="1"/>
        </w:rPr>
        <w:t>R</w:t>
      </w:r>
      <w:r w:rsidR="00004DB8">
        <w:rPr>
          <w:rStyle w:val="ssit"/>
          <w:i/>
          <w:iCs/>
          <w:color w:val="212121"/>
          <w:szCs w:val="20"/>
          <w:bdr w:val="none" w:sz="0" w:space="0" w:color="auto" w:frame="1"/>
        </w:rPr>
        <w:t>.</w:t>
      </w:r>
      <w:r w:rsidRPr="0044654D">
        <w:rPr>
          <w:rStyle w:val="ssit"/>
          <w:i/>
          <w:iCs/>
          <w:color w:val="212121"/>
          <w:szCs w:val="20"/>
          <w:bdr w:val="none" w:sz="0" w:space="0" w:color="auto" w:frame="1"/>
        </w:rPr>
        <w:t xml:space="preserve"> v</w:t>
      </w:r>
      <w:r w:rsidR="00004DB8">
        <w:rPr>
          <w:rStyle w:val="ssit"/>
          <w:i/>
          <w:iCs/>
          <w:color w:val="212121"/>
          <w:szCs w:val="20"/>
          <w:bdr w:val="none" w:sz="0" w:space="0" w:color="auto" w:frame="1"/>
        </w:rPr>
        <w:t>.</w:t>
      </w:r>
      <w:r w:rsidRPr="0044654D">
        <w:rPr>
          <w:rStyle w:val="ssit"/>
          <w:i/>
          <w:iCs/>
          <w:color w:val="212121"/>
          <w:szCs w:val="20"/>
          <w:bdr w:val="none" w:sz="0" w:space="0" w:color="auto" w:frame="1"/>
        </w:rPr>
        <w:t xml:space="preserve"> Beare; R v Higgins</w:t>
      </w:r>
      <w:r w:rsidRPr="0044654D">
        <w:rPr>
          <w:color w:val="212121"/>
          <w:szCs w:val="20"/>
        </w:rPr>
        <w:t> (</w:t>
      </w:r>
      <w:r w:rsidRPr="0044654D">
        <w:rPr>
          <w:color w:val="212121"/>
          <w:szCs w:val="20"/>
          <w:bdr w:val="none" w:sz="0" w:space="0" w:color="auto" w:frame="1"/>
        </w:rPr>
        <w:t>[1988] 2 SCR 387)</w:t>
      </w:r>
      <w:r>
        <w:rPr>
          <w:color w:val="212121"/>
          <w:szCs w:val="20"/>
          <w:bdr w:val="none" w:sz="0" w:space="0" w:color="auto" w:frame="1"/>
        </w:rPr>
        <w:t>, in which</w:t>
      </w:r>
      <w:r w:rsidR="004D5061">
        <w:rPr>
          <w:color w:val="212121"/>
          <w:szCs w:val="20"/>
          <w:bdr w:val="none" w:sz="0" w:space="0" w:color="auto" w:frame="1"/>
        </w:rPr>
        <w:t xml:space="preserve"> </w:t>
      </w:r>
      <w:r w:rsidR="004D5061" w:rsidRPr="004D5061">
        <w:rPr>
          <w:color w:val="212121"/>
          <w:szCs w:val="20"/>
          <w:bdr w:val="none" w:sz="0" w:space="0" w:color="auto" w:frame="1"/>
        </w:rPr>
        <w:t>detainees arrested on reasonable and probable grounds have a reduced expectation of privacy</w:t>
      </w:r>
      <w:r w:rsidR="004D5061">
        <w:rPr>
          <w:color w:val="212121"/>
          <w:szCs w:val="20"/>
          <w:bdr w:val="none" w:sz="0" w:space="0" w:color="auto" w:frame="1"/>
        </w:rPr>
        <w:t xml:space="preserve">; </w:t>
      </w:r>
      <w:r w:rsidRPr="0044654D">
        <w:rPr>
          <w:rStyle w:val="ssit"/>
          <w:i/>
          <w:iCs/>
          <w:color w:val="212121"/>
          <w:szCs w:val="20"/>
          <w:bdr w:val="none" w:sz="0" w:space="0" w:color="auto" w:frame="1"/>
          <w:shd w:val="clear" w:color="auto" w:fill="FFFFFF"/>
        </w:rPr>
        <w:t>R</w:t>
      </w:r>
      <w:r w:rsidR="00004DB8">
        <w:rPr>
          <w:rStyle w:val="ssit"/>
          <w:i/>
          <w:iCs/>
          <w:color w:val="212121"/>
          <w:szCs w:val="20"/>
          <w:bdr w:val="none" w:sz="0" w:space="0" w:color="auto" w:frame="1"/>
          <w:shd w:val="clear" w:color="auto" w:fill="FFFFFF"/>
        </w:rPr>
        <w:t>.</w:t>
      </w:r>
      <w:r w:rsidRPr="0044654D">
        <w:rPr>
          <w:rStyle w:val="ssit"/>
          <w:i/>
          <w:iCs/>
          <w:color w:val="212121"/>
          <w:szCs w:val="20"/>
          <w:bdr w:val="none" w:sz="0" w:space="0" w:color="auto" w:frame="1"/>
          <w:shd w:val="clear" w:color="auto" w:fill="FFFFFF"/>
        </w:rPr>
        <w:t xml:space="preserve"> v</w:t>
      </w:r>
      <w:r w:rsidR="00004DB8">
        <w:rPr>
          <w:rStyle w:val="ssit"/>
          <w:i/>
          <w:iCs/>
          <w:color w:val="212121"/>
          <w:szCs w:val="20"/>
          <w:bdr w:val="none" w:sz="0" w:space="0" w:color="auto" w:frame="1"/>
          <w:shd w:val="clear" w:color="auto" w:fill="FFFFFF"/>
        </w:rPr>
        <w:t>.</w:t>
      </w:r>
      <w:r w:rsidRPr="0044654D">
        <w:rPr>
          <w:rStyle w:val="ssit"/>
          <w:i/>
          <w:iCs/>
          <w:color w:val="212121"/>
          <w:szCs w:val="20"/>
          <w:bdr w:val="none" w:sz="0" w:space="0" w:color="auto" w:frame="1"/>
          <w:shd w:val="clear" w:color="auto" w:fill="FFFFFF"/>
        </w:rPr>
        <w:t xml:space="preserve"> Duarte</w:t>
      </w:r>
      <w:r w:rsidRPr="0044654D">
        <w:rPr>
          <w:color w:val="212121"/>
          <w:szCs w:val="20"/>
          <w:shd w:val="clear" w:color="auto" w:fill="FFFFFF"/>
        </w:rPr>
        <w:t> </w:t>
      </w:r>
      <w:r w:rsidRPr="0044654D">
        <w:rPr>
          <w:szCs w:val="20"/>
          <w:bdr w:val="none" w:sz="0" w:space="0" w:color="auto" w:frame="1"/>
          <w:shd w:val="clear" w:color="auto" w:fill="FFFFFF"/>
        </w:rPr>
        <w:t>([1990] 1 SCR 30) at para 24</w:t>
      </w:r>
      <w:r>
        <w:rPr>
          <w:szCs w:val="20"/>
          <w:bdr w:val="none" w:sz="0" w:space="0" w:color="auto" w:frame="1"/>
          <w:shd w:val="clear" w:color="auto" w:fill="FFFFFF"/>
        </w:rPr>
        <w:t xml:space="preserve"> in</w:t>
      </w:r>
      <w:r w:rsidR="004D5061">
        <w:rPr>
          <w:szCs w:val="20"/>
          <w:bdr w:val="none" w:sz="0" w:space="0" w:color="auto" w:frame="1"/>
          <w:shd w:val="clear" w:color="auto" w:fill="FFFFFF"/>
        </w:rPr>
        <w:t xml:space="preserve"> which courts recognized that “</w:t>
      </w:r>
      <w:r w:rsidR="004D5061" w:rsidRPr="004D5061">
        <w:rPr>
          <w:szCs w:val="20"/>
          <w:bdr w:val="none" w:sz="0" w:space="0" w:color="auto" w:frame="1"/>
          <w:shd w:val="clear" w:color="auto" w:fill="FFFFFF"/>
        </w:rPr>
        <w:t>it thus becomes necessary to strike a reasonable balance between the right of individuals to be left alone and the right of the state to intrude on privacy in the furtherance of its responsibilities for law enforcement</w:t>
      </w:r>
      <w:r w:rsidR="004D5061">
        <w:rPr>
          <w:szCs w:val="20"/>
          <w:bdr w:val="none" w:sz="0" w:space="0" w:color="auto" w:frame="1"/>
          <w:shd w:val="clear" w:color="auto" w:fill="FFFFFF"/>
        </w:rPr>
        <w:t xml:space="preserve">;” and </w:t>
      </w:r>
      <w:r w:rsidR="004D5061" w:rsidRPr="0044654D">
        <w:rPr>
          <w:rStyle w:val="ssit"/>
          <w:i/>
          <w:iCs/>
          <w:color w:val="212121"/>
          <w:szCs w:val="20"/>
          <w:bdr w:val="none" w:sz="0" w:space="0" w:color="auto" w:frame="1"/>
          <w:shd w:val="clear" w:color="auto" w:fill="FFFFFF"/>
        </w:rPr>
        <w:t>R</w:t>
      </w:r>
      <w:r w:rsidR="00004DB8">
        <w:rPr>
          <w:rStyle w:val="ssit"/>
          <w:i/>
          <w:iCs/>
          <w:color w:val="212121"/>
          <w:szCs w:val="20"/>
          <w:bdr w:val="none" w:sz="0" w:space="0" w:color="auto" w:frame="1"/>
          <w:shd w:val="clear" w:color="auto" w:fill="FFFFFF"/>
        </w:rPr>
        <w:t>.</w:t>
      </w:r>
      <w:r w:rsidR="004D5061" w:rsidRPr="0044654D">
        <w:rPr>
          <w:rStyle w:val="ssit"/>
          <w:i/>
          <w:iCs/>
          <w:color w:val="212121"/>
          <w:szCs w:val="20"/>
          <w:bdr w:val="none" w:sz="0" w:space="0" w:color="auto" w:frame="1"/>
          <w:shd w:val="clear" w:color="auto" w:fill="FFFFFF"/>
        </w:rPr>
        <w:t xml:space="preserve"> v</w:t>
      </w:r>
      <w:r w:rsidR="00004DB8">
        <w:rPr>
          <w:rStyle w:val="ssit"/>
          <w:i/>
          <w:iCs/>
          <w:color w:val="212121"/>
          <w:szCs w:val="20"/>
          <w:bdr w:val="none" w:sz="0" w:space="0" w:color="auto" w:frame="1"/>
          <w:shd w:val="clear" w:color="auto" w:fill="FFFFFF"/>
        </w:rPr>
        <w:t>.</w:t>
      </w:r>
      <w:r w:rsidR="004D5061" w:rsidRPr="0044654D">
        <w:rPr>
          <w:rStyle w:val="ssit"/>
          <w:i/>
          <w:iCs/>
          <w:color w:val="212121"/>
          <w:szCs w:val="20"/>
          <w:bdr w:val="none" w:sz="0" w:space="0" w:color="auto" w:frame="1"/>
          <w:shd w:val="clear" w:color="auto" w:fill="FFFFFF"/>
        </w:rPr>
        <w:t xml:space="preserve"> Stillman </w:t>
      </w:r>
      <w:r w:rsidR="004D5061" w:rsidRPr="0044654D">
        <w:rPr>
          <w:rStyle w:val="ssit"/>
          <w:color w:val="212121"/>
          <w:szCs w:val="20"/>
          <w:bdr w:val="none" w:sz="0" w:space="0" w:color="auto" w:frame="1"/>
          <w:shd w:val="clear" w:color="auto" w:fill="FFFFFF"/>
        </w:rPr>
        <w:t>([1997] 1 SCR 607) at para</w:t>
      </w:r>
      <w:r w:rsidR="004D5061">
        <w:rPr>
          <w:rStyle w:val="ssit"/>
          <w:color w:val="212121"/>
          <w:szCs w:val="20"/>
          <w:bdr w:val="none" w:sz="0" w:space="0" w:color="auto" w:frame="1"/>
          <w:shd w:val="clear" w:color="auto" w:fill="FFFFFF"/>
        </w:rPr>
        <w:t>s</w:t>
      </w:r>
      <w:r w:rsidR="004D5061" w:rsidRPr="0044654D">
        <w:rPr>
          <w:rStyle w:val="ssit"/>
          <w:color w:val="212121"/>
          <w:szCs w:val="20"/>
          <w:bdr w:val="none" w:sz="0" w:space="0" w:color="auto" w:frame="1"/>
          <w:shd w:val="clear" w:color="auto" w:fill="FFFFFF"/>
        </w:rPr>
        <w:t xml:space="preserve"> </w:t>
      </w:r>
      <w:r w:rsidR="004D5061">
        <w:rPr>
          <w:rStyle w:val="ssit"/>
          <w:color w:val="212121"/>
          <w:szCs w:val="20"/>
          <w:bdr w:val="none" w:sz="0" w:space="0" w:color="auto" w:frame="1"/>
          <w:shd w:val="clear" w:color="auto" w:fill="FFFFFF"/>
        </w:rPr>
        <w:t xml:space="preserve">42, 47 and </w:t>
      </w:r>
      <w:r w:rsidR="004D5061" w:rsidRPr="0044654D">
        <w:rPr>
          <w:rStyle w:val="ssit"/>
          <w:color w:val="212121"/>
          <w:szCs w:val="20"/>
          <w:bdr w:val="none" w:sz="0" w:space="0" w:color="auto" w:frame="1"/>
          <w:shd w:val="clear" w:color="auto" w:fill="FFFFFF"/>
        </w:rPr>
        <w:t>61</w:t>
      </w:r>
      <w:r w:rsidR="004D5061">
        <w:rPr>
          <w:rStyle w:val="ssit"/>
          <w:color w:val="212121"/>
          <w:szCs w:val="20"/>
          <w:bdr w:val="none" w:sz="0" w:space="0" w:color="auto" w:frame="1"/>
          <w:shd w:val="clear" w:color="auto" w:fill="FFFFFF"/>
        </w:rPr>
        <w:t xml:space="preserve"> in which the court held that</w:t>
      </w:r>
      <w:r w:rsidR="004D5061" w:rsidRPr="004D5061">
        <w:rPr>
          <w:rStyle w:val="ssit"/>
          <w:color w:val="212121"/>
          <w:szCs w:val="20"/>
          <w:bdr w:val="none" w:sz="0" w:space="0" w:color="auto" w:frame="1"/>
          <w:shd w:val="clear" w:color="auto" w:fill="FFFFFF"/>
        </w:rPr>
        <w:t xml:space="preserve"> “certain kinds of searches and seizures may validly be performed on a person in custody which could not validly be performed on persons who have not yet been arrested or convicted.”</w:t>
      </w:r>
    </w:p>
  </w:endnote>
  <w:endnote w:id="124">
    <w:p w14:paraId="5840AA15" w14:textId="4C729716" w:rsidR="004D5061" w:rsidRPr="0044654D" w:rsidRDefault="004D5061" w:rsidP="004D5061">
      <w:pPr>
        <w:pStyle w:val="EndnoteText"/>
        <w:rPr>
          <w:szCs w:val="20"/>
          <w:lang w:val="en-US"/>
        </w:rPr>
      </w:pPr>
      <w:r w:rsidRPr="0044654D">
        <w:rPr>
          <w:rStyle w:val="EndnoteReference"/>
          <w:szCs w:val="20"/>
        </w:rPr>
        <w:endnoteRef/>
      </w:r>
      <w:r>
        <w:rPr>
          <w:szCs w:val="20"/>
        </w:rPr>
        <w:t xml:space="preserve"> See for example:</w:t>
      </w:r>
      <w:r w:rsidRPr="0044654D">
        <w:rPr>
          <w:szCs w:val="20"/>
        </w:rPr>
        <w:t xml:space="preserve"> </w:t>
      </w:r>
      <w:r w:rsidRPr="0044654D">
        <w:rPr>
          <w:rStyle w:val="ssit"/>
          <w:i/>
          <w:iCs/>
          <w:color w:val="212121"/>
          <w:szCs w:val="20"/>
          <w:bdr w:val="none" w:sz="0" w:space="0" w:color="auto" w:frame="1"/>
          <w:shd w:val="clear" w:color="auto" w:fill="FFFFFF"/>
        </w:rPr>
        <w:t>R</w:t>
      </w:r>
      <w:r w:rsidR="00004DB8">
        <w:rPr>
          <w:rStyle w:val="ssit"/>
          <w:i/>
          <w:iCs/>
          <w:color w:val="212121"/>
          <w:szCs w:val="20"/>
          <w:bdr w:val="none" w:sz="0" w:space="0" w:color="auto" w:frame="1"/>
          <w:shd w:val="clear" w:color="auto" w:fill="FFFFFF"/>
        </w:rPr>
        <w:t>.</w:t>
      </w:r>
      <w:r w:rsidRPr="0044654D">
        <w:rPr>
          <w:rStyle w:val="ssit"/>
          <w:i/>
          <w:iCs/>
          <w:color w:val="212121"/>
          <w:szCs w:val="20"/>
          <w:bdr w:val="none" w:sz="0" w:space="0" w:color="auto" w:frame="1"/>
          <w:shd w:val="clear" w:color="auto" w:fill="FFFFFF"/>
        </w:rPr>
        <w:t xml:space="preserve"> v</w:t>
      </w:r>
      <w:r w:rsidR="00004DB8">
        <w:rPr>
          <w:rStyle w:val="ssit"/>
          <w:i/>
          <w:iCs/>
          <w:color w:val="212121"/>
          <w:szCs w:val="20"/>
          <w:bdr w:val="none" w:sz="0" w:space="0" w:color="auto" w:frame="1"/>
          <w:shd w:val="clear" w:color="auto" w:fill="FFFFFF"/>
        </w:rPr>
        <w:t>.</w:t>
      </w:r>
      <w:r w:rsidRPr="0044654D">
        <w:rPr>
          <w:rStyle w:val="ssit"/>
          <w:i/>
          <w:iCs/>
          <w:color w:val="212121"/>
          <w:szCs w:val="20"/>
          <w:bdr w:val="none" w:sz="0" w:space="0" w:color="auto" w:frame="1"/>
          <w:shd w:val="clear" w:color="auto" w:fill="FFFFFF"/>
        </w:rPr>
        <w:t xml:space="preserve"> Stillman </w:t>
      </w:r>
      <w:r w:rsidRPr="0044654D">
        <w:rPr>
          <w:rStyle w:val="ssit"/>
          <w:color w:val="212121"/>
          <w:szCs w:val="20"/>
          <w:bdr w:val="none" w:sz="0" w:space="0" w:color="auto" w:frame="1"/>
          <w:shd w:val="clear" w:color="auto" w:fill="FFFFFF"/>
        </w:rPr>
        <w:t>([1997] 1 SCR 607) at para 42</w:t>
      </w:r>
      <w:r>
        <w:rPr>
          <w:rStyle w:val="ssit"/>
          <w:color w:val="212121"/>
          <w:szCs w:val="20"/>
          <w:bdr w:val="none" w:sz="0" w:space="0" w:color="auto" w:frame="1"/>
          <w:shd w:val="clear" w:color="auto" w:fill="FFFFFF"/>
        </w:rPr>
        <w:t xml:space="preserve"> and 47 where the court observes how “</w:t>
      </w:r>
      <w:r w:rsidRPr="004D5061">
        <w:rPr>
          <w:rStyle w:val="ssit"/>
          <w:color w:val="212121"/>
          <w:szCs w:val="20"/>
          <w:bdr w:val="none" w:sz="0" w:space="0" w:color="auto" w:frame="1"/>
          <w:shd w:val="clear" w:color="auto" w:fill="FFFFFF"/>
        </w:rPr>
        <w:t>It has often been clearly and forcefully expressed that state interference with a person's bodily integrity is a breach of a person's privacy and an affront to human dignity...a violation of the sanctity of a person's body is much more serious than that of his office or even of his home</w:t>
      </w:r>
      <w:r w:rsidRPr="0044654D">
        <w:rPr>
          <w:rStyle w:val="ssit"/>
          <w:color w:val="212121"/>
          <w:szCs w:val="20"/>
          <w:bdr w:val="none" w:sz="0" w:space="0" w:color="auto" w:frame="1"/>
          <w:shd w:val="clear" w:color="auto" w:fill="FFFFFF"/>
        </w:rPr>
        <w:t>.</w:t>
      </w:r>
      <w:r>
        <w:rPr>
          <w:rStyle w:val="ssit"/>
          <w:color w:val="212121"/>
          <w:szCs w:val="20"/>
          <w:bdr w:val="none" w:sz="0" w:space="0" w:color="auto" w:frame="1"/>
          <w:shd w:val="clear" w:color="auto" w:fill="FFFFFF"/>
        </w:rPr>
        <w:t xml:space="preserve"> […] </w:t>
      </w:r>
      <w:r w:rsidRPr="004D5061">
        <w:rPr>
          <w:rStyle w:val="ssit"/>
          <w:color w:val="212121"/>
          <w:szCs w:val="20"/>
          <w:bdr w:val="none" w:sz="0" w:space="0" w:color="auto" w:frame="1"/>
          <w:shd w:val="clear" w:color="auto" w:fill="FFFFFF"/>
        </w:rPr>
        <w:t>When they are carrying out their duties as highly respected and admired agents of the state [the police] must respect the dignity and bodily integrity of all who are arrested</w:t>
      </w:r>
      <w:r>
        <w:rPr>
          <w:rStyle w:val="ssit"/>
          <w:color w:val="212121"/>
          <w:szCs w:val="20"/>
          <w:bdr w:val="none" w:sz="0" w:space="0" w:color="auto" w:frame="1"/>
          <w:shd w:val="clear" w:color="auto" w:fill="FFFFFF"/>
        </w:rPr>
        <w:t>.”</w:t>
      </w:r>
    </w:p>
  </w:endnote>
  <w:endnote w:id="125">
    <w:p w14:paraId="74DBCF18" w14:textId="49BA6863" w:rsidR="00630390" w:rsidRPr="0044654D" w:rsidRDefault="00630390" w:rsidP="00D63551">
      <w:pPr>
        <w:pStyle w:val="EndnoteText"/>
        <w:rPr>
          <w:szCs w:val="20"/>
          <w:lang w:val="en-US"/>
        </w:rPr>
      </w:pPr>
      <w:r w:rsidRPr="0044654D">
        <w:rPr>
          <w:rStyle w:val="EndnoteReference"/>
          <w:szCs w:val="20"/>
        </w:rPr>
        <w:endnoteRef/>
      </w:r>
      <w:r w:rsidRPr="0044654D">
        <w:rPr>
          <w:szCs w:val="20"/>
        </w:rPr>
        <w:t xml:space="preserve"> </w:t>
      </w:r>
      <w:r w:rsidRPr="0044654D">
        <w:rPr>
          <w:szCs w:val="20"/>
          <w:lang w:val="en-US"/>
        </w:rPr>
        <w:t xml:space="preserve">Toronto Police Services Board, </w:t>
      </w:r>
      <w:r w:rsidRPr="0044654D">
        <w:rPr>
          <w:i/>
          <w:iCs/>
          <w:szCs w:val="20"/>
          <w:lang w:val="en-US"/>
        </w:rPr>
        <w:t>Use of Artificial Intelligence Technology</w:t>
      </w:r>
      <w:r w:rsidRPr="0044654D">
        <w:rPr>
          <w:szCs w:val="20"/>
          <w:lang w:val="en-US"/>
        </w:rPr>
        <w:t xml:space="preserve"> (February </w:t>
      </w:r>
      <w:r w:rsidR="00004DB8">
        <w:rPr>
          <w:szCs w:val="20"/>
          <w:lang w:val="en-US"/>
        </w:rPr>
        <w:t xml:space="preserve">28 </w:t>
      </w:r>
      <w:r w:rsidRPr="0044654D">
        <w:rPr>
          <w:szCs w:val="20"/>
          <w:lang w:val="en-US"/>
        </w:rPr>
        <w:t xml:space="preserve">2022, amended January </w:t>
      </w:r>
      <w:r w:rsidR="00004DB8">
        <w:rPr>
          <w:szCs w:val="20"/>
          <w:lang w:val="en-US"/>
        </w:rPr>
        <w:t xml:space="preserve">11 </w:t>
      </w:r>
      <w:r w:rsidRPr="0044654D">
        <w:rPr>
          <w:szCs w:val="20"/>
          <w:lang w:val="en-US"/>
        </w:rPr>
        <w:t xml:space="preserve">2024), online: </w:t>
      </w:r>
      <w:hyperlink r:id="rId73" w:history="1">
        <w:r w:rsidRPr="0044654D">
          <w:rPr>
            <w:rStyle w:val="Hyperlink"/>
            <w:szCs w:val="20"/>
            <w:lang w:val="en-US"/>
          </w:rPr>
          <w:t>https://tpsb.ca/policies-by-laws/board-policies/195-use-of-artificial-intelligence-technology</w:t>
        </w:r>
      </w:hyperlink>
      <w:r w:rsidRPr="0044654D">
        <w:rPr>
          <w:szCs w:val="20"/>
          <w:lang w:val="en-US"/>
        </w:rPr>
        <w:t>.</w:t>
      </w:r>
    </w:p>
  </w:endnote>
  <w:endnote w:id="126">
    <w:p w14:paraId="2FA4BB5D" w14:textId="17228788" w:rsidR="00630390" w:rsidRPr="0044654D" w:rsidRDefault="00630390" w:rsidP="00D63551">
      <w:pPr>
        <w:pStyle w:val="EndnoteText"/>
        <w:rPr>
          <w:szCs w:val="20"/>
          <w:lang w:val="en-US"/>
        </w:rPr>
      </w:pPr>
      <w:r w:rsidRPr="0044654D">
        <w:rPr>
          <w:rStyle w:val="EndnoteReference"/>
          <w:szCs w:val="20"/>
        </w:rPr>
        <w:endnoteRef/>
      </w:r>
      <w:r w:rsidRPr="0044654D">
        <w:rPr>
          <w:szCs w:val="20"/>
        </w:rPr>
        <w:t xml:space="preserve"> </w:t>
      </w:r>
      <w:r w:rsidR="00004DB8" w:rsidRPr="0044654D">
        <w:rPr>
          <w:szCs w:val="20"/>
          <w:lang w:val="en-US"/>
        </w:rPr>
        <w:t xml:space="preserve">Toronto Police Services Board, </w:t>
      </w:r>
      <w:r w:rsidR="00004DB8" w:rsidRPr="0044654D">
        <w:rPr>
          <w:i/>
          <w:iCs/>
          <w:szCs w:val="20"/>
          <w:lang w:val="en-US"/>
        </w:rPr>
        <w:t>Use of Artificial Intelligence Technology</w:t>
      </w:r>
      <w:r w:rsidR="00004DB8" w:rsidRPr="0044654D">
        <w:rPr>
          <w:szCs w:val="20"/>
          <w:lang w:val="en-US"/>
        </w:rPr>
        <w:t xml:space="preserve"> (February </w:t>
      </w:r>
      <w:r w:rsidR="00004DB8">
        <w:rPr>
          <w:szCs w:val="20"/>
          <w:lang w:val="en-US"/>
        </w:rPr>
        <w:t xml:space="preserve">28 </w:t>
      </w:r>
      <w:r w:rsidR="00004DB8" w:rsidRPr="0044654D">
        <w:rPr>
          <w:szCs w:val="20"/>
          <w:lang w:val="en-US"/>
        </w:rPr>
        <w:t xml:space="preserve">2022, amended January </w:t>
      </w:r>
      <w:r w:rsidR="00004DB8">
        <w:rPr>
          <w:szCs w:val="20"/>
          <w:lang w:val="en-US"/>
        </w:rPr>
        <w:t xml:space="preserve">11 </w:t>
      </w:r>
      <w:r w:rsidR="00004DB8" w:rsidRPr="0044654D">
        <w:rPr>
          <w:szCs w:val="20"/>
          <w:lang w:val="en-US"/>
        </w:rPr>
        <w:t xml:space="preserve">2024), online: </w:t>
      </w:r>
      <w:hyperlink r:id="rId74" w:history="1">
        <w:r w:rsidR="00004DB8" w:rsidRPr="0044654D">
          <w:rPr>
            <w:rStyle w:val="Hyperlink"/>
            <w:szCs w:val="20"/>
            <w:lang w:val="en-US"/>
          </w:rPr>
          <w:t>https://tpsb.ca/policies-by-laws/board-policies/195-use-of-artificial-intelligence-technology</w:t>
        </w:r>
      </w:hyperlink>
      <w:r w:rsidR="00004DB8" w:rsidRPr="0044654D">
        <w:rPr>
          <w:szCs w:val="20"/>
          <w:lang w:val="en-US"/>
        </w:rPr>
        <w:t>.</w:t>
      </w:r>
    </w:p>
  </w:endnote>
  <w:endnote w:id="127">
    <w:p w14:paraId="7FA7DD40" w14:textId="351BDEDD" w:rsidR="00231193" w:rsidRPr="00231193" w:rsidRDefault="00231193">
      <w:pPr>
        <w:pStyle w:val="EndnoteText"/>
        <w:rPr>
          <w:lang w:val="en-US"/>
        </w:rPr>
      </w:pPr>
      <w:r>
        <w:rPr>
          <w:rStyle w:val="EndnoteReference"/>
        </w:rPr>
        <w:endnoteRef/>
      </w:r>
      <w:r>
        <w:t xml:space="preserve"> </w:t>
      </w:r>
      <w:r>
        <w:rPr>
          <w:lang w:val="en-US"/>
        </w:rPr>
        <w:t xml:space="preserve">Information and Privacy Commissioner of Ontario, “Letter re: </w:t>
      </w:r>
      <w:r w:rsidRPr="00EE21ED">
        <w:rPr>
          <w:lang w:val="en-US"/>
        </w:rPr>
        <w:t>The Toronto Police Services Board’s Public Consultation Regarding its Use of New</w:t>
      </w:r>
      <w:r>
        <w:rPr>
          <w:lang w:val="en-US"/>
        </w:rPr>
        <w:t xml:space="preserve"> </w:t>
      </w:r>
      <w:r w:rsidRPr="00EE21ED">
        <w:rPr>
          <w:lang w:val="en-US"/>
        </w:rPr>
        <w:t>Artificial Intelligence Technologies Policy</w:t>
      </w:r>
      <w:r>
        <w:rPr>
          <w:lang w:val="en-US"/>
        </w:rPr>
        <w:t xml:space="preserve">” (December 20, 2021), online: </w:t>
      </w:r>
      <w:hyperlink r:id="rId75" w:history="1">
        <w:r w:rsidRPr="00124DFB">
          <w:rPr>
            <w:rStyle w:val="Hyperlink"/>
            <w:lang w:val="en-US"/>
          </w:rPr>
          <w:t>https://www.ipc.on.ca/en/media/3505/download</w:t>
        </w:r>
      </w:hyperlink>
      <w:r>
        <w:rPr>
          <w:lang w:val="en-US"/>
        </w:rPr>
        <w:t xml:space="preserve">. </w:t>
      </w:r>
    </w:p>
  </w:endnote>
  <w:endnote w:id="128">
    <w:p w14:paraId="554EC737" w14:textId="292A8B71" w:rsidR="00630390" w:rsidRPr="0044654D" w:rsidRDefault="00630390" w:rsidP="00ED2F00">
      <w:pPr>
        <w:pStyle w:val="EndnoteText"/>
        <w:rPr>
          <w:szCs w:val="20"/>
          <w:lang w:val="en-US"/>
        </w:rPr>
      </w:pPr>
      <w:r w:rsidRPr="0044654D">
        <w:rPr>
          <w:rStyle w:val="EndnoteReference"/>
          <w:szCs w:val="20"/>
        </w:rPr>
        <w:endnoteRef/>
      </w:r>
      <w:r w:rsidRPr="0044654D">
        <w:rPr>
          <w:szCs w:val="20"/>
        </w:rPr>
        <w:t xml:space="preserve"> Law Commission of Ontario, </w:t>
      </w:r>
      <w:r w:rsidRPr="0044654D">
        <w:rPr>
          <w:i/>
          <w:iCs/>
          <w:szCs w:val="20"/>
        </w:rPr>
        <w:t>The Rise and Fall of AI and Algorithms in American Criminal Justice: Lessons for Canada</w:t>
      </w:r>
      <w:r w:rsidRPr="0044654D">
        <w:rPr>
          <w:szCs w:val="20"/>
        </w:rPr>
        <w:t xml:space="preserve"> (Toronto: LCO, 2020) at 2</w:t>
      </w:r>
      <w:r w:rsidR="00D63C34">
        <w:rPr>
          <w:szCs w:val="20"/>
        </w:rPr>
        <w:t xml:space="preserve">, online: </w:t>
      </w:r>
      <w:hyperlink r:id="rId76" w:history="1">
        <w:r w:rsidR="00D63C34" w:rsidRPr="00455C63">
          <w:rPr>
            <w:rStyle w:val="Hyperlink"/>
            <w:szCs w:val="20"/>
          </w:rPr>
          <w:t>https://www.lco-cdo.org/wp-content/uploads/2020/10/Criminal-AI-Paper-Final-Oct-28-2020.pdf</w:t>
        </w:r>
      </w:hyperlink>
      <w:r w:rsidR="00D63C34">
        <w:rPr>
          <w:szCs w:val="20"/>
        </w:rPr>
        <w:t>.</w:t>
      </w:r>
    </w:p>
  </w:endnote>
  <w:endnote w:id="129">
    <w:p w14:paraId="4A3D5B54" w14:textId="2C8CB227" w:rsidR="00630390" w:rsidRPr="0044654D" w:rsidRDefault="00630390" w:rsidP="00ED2F00">
      <w:pPr>
        <w:pStyle w:val="EndnoteText"/>
        <w:rPr>
          <w:szCs w:val="20"/>
          <w:lang w:val="en-US"/>
        </w:rPr>
      </w:pPr>
      <w:r w:rsidRPr="0044654D">
        <w:rPr>
          <w:rStyle w:val="EndnoteReference"/>
          <w:szCs w:val="20"/>
        </w:rPr>
        <w:endnoteRef/>
      </w:r>
      <w:r w:rsidRPr="0044654D">
        <w:rPr>
          <w:szCs w:val="20"/>
        </w:rPr>
        <w:t xml:space="preserve"> Law Commission of Ontario, </w:t>
      </w:r>
      <w:r w:rsidRPr="0044654D">
        <w:rPr>
          <w:i/>
          <w:iCs/>
          <w:szCs w:val="20"/>
          <w:lang w:val="en-US"/>
        </w:rPr>
        <w:t>Regulating AI: Critical Issues and Choices</w:t>
      </w:r>
      <w:r w:rsidRPr="0044654D">
        <w:rPr>
          <w:szCs w:val="20"/>
          <w:lang w:val="en-US"/>
        </w:rPr>
        <w:t xml:space="preserve"> (Toronto: LCO, 2021) at 14</w:t>
      </w:r>
      <w:r w:rsidR="00D63C34">
        <w:rPr>
          <w:szCs w:val="20"/>
          <w:lang w:val="en-US"/>
        </w:rPr>
        <w:t xml:space="preserve">, online: </w:t>
      </w:r>
      <w:hyperlink r:id="rId77" w:history="1">
        <w:r w:rsidR="00D63C34" w:rsidRPr="00F9124D">
          <w:rPr>
            <w:rStyle w:val="Hyperlink"/>
            <w:szCs w:val="20"/>
            <w:lang w:val="en-US"/>
          </w:rPr>
          <w:t>https://www.lco-cdo.org/en/our-current-projects/ai-adm-and-the-justice-system/regulating-ai-critical-issues-and-choices/</w:t>
        </w:r>
      </w:hyperlink>
      <w:r w:rsidR="00D63C34">
        <w:rPr>
          <w:szCs w:val="20"/>
          <w:lang w:val="en-US"/>
        </w:rPr>
        <w:t xml:space="preserve">. </w:t>
      </w:r>
    </w:p>
  </w:endnote>
  <w:endnote w:id="130">
    <w:p w14:paraId="2EE570E5" w14:textId="6BFDD78B" w:rsidR="00630390" w:rsidRPr="0044654D" w:rsidRDefault="00630390" w:rsidP="00ED2F00">
      <w:pPr>
        <w:pStyle w:val="EndnoteText"/>
        <w:rPr>
          <w:szCs w:val="20"/>
          <w:lang w:val="en-US"/>
        </w:rPr>
      </w:pPr>
      <w:r w:rsidRPr="0044654D">
        <w:rPr>
          <w:rStyle w:val="EndnoteReference"/>
          <w:szCs w:val="20"/>
        </w:rPr>
        <w:endnoteRef/>
      </w:r>
      <w:r w:rsidRPr="0044654D">
        <w:rPr>
          <w:szCs w:val="20"/>
        </w:rPr>
        <w:t xml:space="preserve"> Giannis Tziakouris, “The rise of AI-powered criminals: Identifying threats and opportunities,” </w:t>
      </w:r>
      <w:r w:rsidRPr="0044654D">
        <w:rPr>
          <w:i/>
          <w:iCs/>
          <w:szCs w:val="20"/>
        </w:rPr>
        <w:t>Talos On the Radar</w:t>
      </w:r>
      <w:r w:rsidRPr="0044654D">
        <w:rPr>
          <w:szCs w:val="20"/>
        </w:rPr>
        <w:t xml:space="preserve"> (August </w:t>
      </w:r>
      <w:r w:rsidR="00D63C34">
        <w:rPr>
          <w:szCs w:val="20"/>
        </w:rPr>
        <w:t xml:space="preserve">14 </w:t>
      </w:r>
      <w:r w:rsidRPr="0044654D">
        <w:rPr>
          <w:szCs w:val="20"/>
        </w:rPr>
        <w:t xml:space="preserve">2023), online: </w:t>
      </w:r>
      <w:hyperlink r:id="rId78" w:history="1">
        <w:r w:rsidRPr="0044654D">
          <w:rPr>
            <w:rStyle w:val="Hyperlink"/>
            <w:szCs w:val="20"/>
          </w:rPr>
          <w:t>https://blog.talosintelligence.com/the-rise-of-ai-powered-criminals/</w:t>
        </w:r>
      </w:hyperlink>
      <w:r w:rsidRPr="0044654D">
        <w:rPr>
          <w:szCs w:val="20"/>
        </w:rPr>
        <w:t>.</w:t>
      </w:r>
    </w:p>
  </w:endnote>
  <w:endnote w:id="131">
    <w:p w14:paraId="202CEC56" w14:textId="010378E9" w:rsidR="007C7143" w:rsidRDefault="007C7143">
      <w:pPr>
        <w:pStyle w:val="EndnoteText"/>
      </w:pPr>
      <w:r>
        <w:rPr>
          <w:rStyle w:val="EndnoteReference"/>
        </w:rPr>
        <w:endnoteRef/>
      </w:r>
      <w:r>
        <w:t xml:space="preserve"> </w:t>
      </w:r>
      <w:r w:rsidR="00D63C34" w:rsidRPr="00D63C34">
        <w:t>International Association of Chiefs of Police</w:t>
      </w:r>
      <w:r w:rsidR="00D63C34">
        <w:t>, Police Chief Magazine (</w:t>
      </w:r>
      <w:r w:rsidR="00D63C34" w:rsidRPr="00D63C34">
        <w:t>Brandon Epstein, James Emerson, and ChatGPT</w:t>
      </w:r>
      <w:r w:rsidR="00D63C34">
        <w:t>), “</w:t>
      </w:r>
      <w:r w:rsidRPr="00ED2F00">
        <w:rPr>
          <w:rFonts w:ascii="Calibri" w:eastAsia="Calibri" w:hAnsi="Calibri" w:cs="Calibri"/>
          <w:color w:val="030303"/>
          <w14:ligatures w14:val="standardContextual"/>
        </w:rPr>
        <w:t>Navigating the Future of Policing</w:t>
      </w:r>
      <w:r w:rsidR="00D63C34">
        <w:rPr>
          <w:rFonts w:ascii="Calibri" w:eastAsia="Calibri" w:hAnsi="Calibri" w:cs="Calibri"/>
          <w:color w:val="030303"/>
          <w14:ligatures w14:val="standardContextual"/>
        </w:rPr>
        <w:t xml:space="preserve">: </w:t>
      </w:r>
      <w:r w:rsidR="00D63C34" w:rsidRPr="00D63C34">
        <w:rPr>
          <w:rFonts w:ascii="Calibri" w:eastAsia="Calibri" w:hAnsi="Calibri" w:cs="Calibri"/>
          <w:color w:val="030303"/>
          <w14:ligatures w14:val="standardContextual"/>
        </w:rPr>
        <w:t>Artificial Intelligence (AI) Use, Pitfalls, and Considerations for Executives</w:t>
      </w:r>
      <w:r w:rsidR="00D63C34">
        <w:rPr>
          <w:rFonts w:ascii="Calibri" w:eastAsia="Calibri" w:hAnsi="Calibri" w:cs="Calibri"/>
          <w:color w:val="030303"/>
          <w14:ligatures w14:val="standardContextual"/>
        </w:rPr>
        <w:t xml:space="preserve">” (April 3 2024), online: </w:t>
      </w:r>
      <w:hyperlink r:id="rId79" w:history="1">
        <w:r w:rsidR="00D63C34" w:rsidRPr="00F9124D">
          <w:rPr>
            <w:rStyle w:val="Hyperlink"/>
            <w:rFonts w:ascii="Calibri" w:eastAsia="Calibri" w:hAnsi="Calibri" w:cs="Calibri"/>
            <w14:ligatures w14:val="standardContextual"/>
          </w:rPr>
          <w:t>https://www.policechiefmagazine.org/navigating-future-ai-chatgpt/</w:t>
        </w:r>
      </w:hyperlink>
      <w:r w:rsidR="00D63C34">
        <w:rPr>
          <w:rFonts w:ascii="Calibri" w:eastAsia="Calibri" w:hAnsi="Calibri" w:cs="Calibri"/>
          <w:color w:val="030303"/>
          <w14:ligatures w14:val="standardContextual"/>
        </w:rPr>
        <w:t>.</w:t>
      </w:r>
    </w:p>
  </w:endnote>
  <w:endnote w:id="132">
    <w:p w14:paraId="3328D0B1" w14:textId="1E04A61C" w:rsidR="00630390" w:rsidRPr="0044654D" w:rsidRDefault="00630390" w:rsidP="00ED2F00">
      <w:pPr>
        <w:pStyle w:val="EndnoteText"/>
        <w:rPr>
          <w:szCs w:val="20"/>
          <w:lang w:val="en-US"/>
        </w:rPr>
      </w:pPr>
      <w:r w:rsidRPr="0044654D">
        <w:rPr>
          <w:rStyle w:val="EndnoteReference"/>
          <w:szCs w:val="20"/>
        </w:rPr>
        <w:endnoteRef/>
      </w:r>
      <w:r w:rsidRPr="0044654D">
        <w:rPr>
          <w:szCs w:val="20"/>
        </w:rPr>
        <w:t xml:space="preserve"> Giannis Tziakouris, “The rise of AI-powered criminals: Identifying threats and opportunities,” </w:t>
      </w:r>
      <w:r w:rsidRPr="0044654D">
        <w:rPr>
          <w:i/>
          <w:iCs/>
          <w:szCs w:val="20"/>
        </w:rPr>
        <w:t>Talos On the Radar</w:t>
      </w:r>
      <w:r w:rsidRPr="0044654D">
        <w:rPr>
          <w:szCs w:val="20"/>
        </w:rPr>
        <w:t xml:space="preserve"> (August </w:t>
      </w:r>
      <w:r w:rsidR="000F5C2C">
        <w:rPr>
          <w:szCs w:val="20"/>
        </w:rPr>
        <w:t xml:space="preserve">14 </w:t>
      </w:r>
      <w:r w:rsidRPr="0044654D">
        <w:rPr>
          <w:szCs w:val="20"/>
        </w:rPr>
        <w:t xml:space="preserve">2023), online: </w:t>
      </w:r>
      <w:hyperlink r:id="rId80" w:history="1">
        <w:r w:rsidRPr="0044654D">
          <w:rPr>
            <w:rStyle w:val="Hyperlink"/>
            <w:szCs w:val="20"/>
          </w:rPr>
          <w:t>https://blog.talosintelligence.com/the-rise-of-ai-powered-criminals/</w:t>
        </w:r>
      </w:hyperlink>
      <w:r w:rsidRPr="0044654D">
        <w:rPr>
          <w:szCs w:val="20"/>
        </w:rPr>
        <w:t>.</w:t>
      </w:r>
    </w:p>
  </w:endnote>
  <w:endnote w:id="133">
    <w:p w14:paraId="1F285481" w14:textId="4D1F119B" w:rsidR="00630390" w:rsidRPr="0044654D" w:rsidRDefault="00630390" w:rsidP="008E507E">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0F5C2C">
        <w:rPr>
          <w:i/>
          <w:iCs/>
          <w:szCs w:val="20"/>
        </w:rPr>
        <w:t>.</w:t>
      </w:r>
      <w:r w:rsidRPr="0044654D">
        <w:rPr>
          <w:i/>
          <w:iCs/>
          <w:szCs w:val="20"/>
        </w:rPr>
        <w:t xml:space="preserve"> v</w:t>
      </w:r>
      <w:r w:rsidR="000F5C2C">
        <w:rPr>
          <w:i/>
          <w:iCs/>
          <w:szCs w:val="20"/>
        </w:rPr>
        <w:t>.</w:t>
      </w:r>
      <w:r w:rsidRPr="0044654D">
        <w:rPr>
          <w:i/>
          <w:iCs/>
          <w:szCs w:val="20"/>
        </w:rPr>
        <w:t xml:space="preserve"> Parks </w:t>
      </w:r>
      <w:r w:rsidRPr="0044654D">
        <w:rPr>
          <w:szCs w:val="20"/>
        </w:rPr>
        <w:t>([1993] OJ no 2157 (ONCA)).</w:t>
      </w:r>
    </w:p>
  </w:endnote>
  <w:endnote w:id="134">
    <w:p w14:paraId="693EA404" w14:textId="7D50C966" w:rsidR="00630390" w:rsidRPr="0044654D" w:rsidRDefault="00630390" w:rsidP="008E507E">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0F5C2C">
        <w:rPr>
          <w:i/>
          <w:iCs/>
          <w:szCs w:val="20"/>
        </w:rPr>
        <w:t>.</w:t>
      </w:r>
      <w:r w:rsidRPr="0044654D">
        <w:rPr>
          <w:i/>
          <w:iCs/>
          <w:szCs w:val="20"/>
        </w:rPr>
        <w:t xml:space="preserve"> v</w:t>
      </w:r>
      <w:r w:rsidR="000F5C2C">
        <w:rPr>
          <w:i/>
          <w:iCs/>
          <w:szCs w:val="20"/>
        </w:rPr>
        <w:t>.</w:t>
      </w:r>
      <w:r w:rsidRPr="0044654D">
        <w:rPr>
          <w:i/>
          <w:iCs/>
          <w:szCs w:val="20"/>
        </w:rPr>
        <w:t xml:space="preserve"> Spence </w:t>
      </w:r>
      <w:r w:rsidRPr="0044654D">
        <w:rPr>
          <w:szCs w:val="20"/>
        </w:rPr>
        <w:t>(2005 SCC 71).</w:t>
      </w:r>
    </w:p>
  </w:endnote>
  <w:endnote w:id="135">
    <w:p w14:paraId="23270E6A" w14:textId="1F4B3742" w:rsidR="00630390" w:rsidRPr="0044654D" w:rsidRDefault="00630390" w:rsidP="008E507E">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Ewert v</w:t>
      </w:r>
      <w:r w:rsidR="000F5C2C">
        <w:rPr>
          <w:i/>
          <w:iCs/>
          <w:szCs w:val="20"/>
        </w:rPr>
        <w:t>.</w:t>
      </w:r>
      <w:r w:rsidRPr="0044654D">
        <w:rPr>
          <w:i/>
          <w:iCs/>
          <w:szCs w:val="20"/>
        </w:rPr>
        <w:t xml:space="preserve"> Canada</w:t>
      </w:r>
      <w:r w:rsidRPr="0044654D">
        <w:rPr>
          <w:szCs w:val="20"/>
        </w:rPr>
        <w:t xml:space="preserve"> (2015 FC 1093).</w:t>
      </w:r>
    </w:p>
  </w:endnote>
  <w:endnote w:id="136">
    <w:p w14:paraId="2C60ADA2" w14:textId="6F88BC42" w:rsidR="00630390" w:rsidRPr="0044654D" w:rsidRDefault="00630390" w:rsidP="008E507E">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0F5C2C">
        <w:rPr>
          <w:i/>
          <w:iCs/>
          <w:szCs w:val="20"/>
        </w:rPr>
        <w:t>.</w:t>
      </w:r>
      <w:r w:rsidRPr="0044654D">
        <w:rPr>
          <w:i/>
          <w:iCs/>
          <w:szCs w:val="20"/>
        </w:rPr>
        <w:t xml:space="preserve"> v</w:t>
      </w:r>
      <w:r w:rsidR="000F5C2C">
        <w:rPr>
          <w:i/>
          <w:iCs/>
          <w:szCs w:val="20"/>
        </w:rPr>
        <w:t>.</w:t>
      </w:r>
      <w:r w:rsidRPr="0044654D">
        <w:rPr>
          <w:i/>
          <w:iCs/>
          <w:szCs w:val="20"/>
        </w:rPr>
        <w:t xml:space="preserve"> Le</w:t>
      </w:r>
      <w:r w:rsidRPr="0044654D">
        <w:rPr>
          <w:szCs w:val="20"/>
        </w:rPr>
        <w:t xml:space="preserve"> (2019 SCC 34).</w:t>
      </w:r>
    </w:p>
  </w:endnote>
  <w:endnote w:id="137">
    <w:p w14:paraId="13F1F160" w14:textId="1FA97A60" w:rsidR="00630390" w:rsidRPr="0044654D" w:rsidRDefault="00630390" w:rsidP="008E507E">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0F5C2C">
        <w:rPr>
          <w:i/>
          <w:iCs/>
          <w:szCs w:val="20"/>
        </w:rPr>
        <w:t>.</w:t>
      </w:r>
      <w:r w:rsidRPr="0044654D">
        <w:rPr>
          <w:i/>
          <w:iCs/>
          <w:szCs w:val="20"/>
        </w:rPr>
        <w:t xml:space="preserve"> v</w:t>
      </w:r>
      <w:r w:rsidR="000F5C2C">
        <w:rPr>
          <w:i/>
          <w:iCs/>
          <w:szCs w:val="20"/>
        </w:rPr>
        <w:t>.</w:t>
      </w:r>
      <w:r w:rsidRPr="0044654D">
        <w:rPr>
          <w:i/>
          <w:iCs/>
          <w:szCs w:val="20"/>
        </w:rPr>
        <w:t xml:space="preserve"> Sitaldeen </w:t>
      </w:r>
      <w:r w:rsidRPr="0044654D">
        <w:rPr>
          <w:szCs w:val="20"/>
        </w:rPr>
        <w:t>(2021 ONCA 303).</w:t>
      </w:r>
    </w:p>
  </w:endnote>
  <w:endnote w:id="138">
    <w:p w14:paraId="43C5BB54" w14:textId="43C883C6" w:rsidR="00630390" w:rsidRPr="0044654D" w:rsidRDefault="00630390" w:rsidP="008E507E">
      <w:pPr>
        <w:pStyle w:val="EndnoteText"/>
        <w:rPr>
          <w:szCs w:val="20"/>
          <w:lang w:val="en-US"/>
        </w:rPr>
      </w:pPr>
      <w:r w:rsidRPr="0044654D">
        <w:rPr>
          <w:rStyle w:val="EndnoteReference"/>
          <w:szCs w:val="20"/>
        </w:rPr>
        <w:endnoteRef/>
      </w:r>
      <w:r w:rsidRPr="0044654D">
        <w:rPr>
          <w:szCs w:val="20"/>
        </w:rPr>
        <w:t xml:space="preserve"> </w:t>
      </w:r>
      <w:r w:rsidRPr="0044654D">
        <w:rPr>
          <w:rStyle w:val="Emphasis"/>
          <w:color w:val="000000"/>
          <w:szCs w:val="20"/>
          <w:bdr w:val="none" w:sz="0" w:space="0" w:color="auto" w:frame="1"/>
          <w:shd w:val="clear" w:color="auto" w:fill="FFFFFF"/>
        </w:rPr>
        <w:t>Khorsand v</w:t>
      </w:r>
      <w:r w:rsidR="000F5C2C">
        <w:rPr>
          <w:rStyle w:val="Emphasis"/>
          <w:color w:val="000000"/>
          <w:szCs w:val="20"/>
          <w:bdr w:val="none" w:sz="0" w:space="0" w:color="auto" w:frame="1"/>
          <w:shd w:val="clear" w:color="auto" w:fill="FFFFFF"/>
        </w:rPr>
        <w:t>.</w:t>
      </w:r>
      <w:r w:rsidRPr="0044654D">
        <w:rPr>
          <w:rStyle w:val="Emphasis"/>
          <w:color w:val="000000"/>
          <w:szCs w:val="20"/>
          <w:bdr w:val="none" w:sz="0" w:space="0" w:color="auto" w:frame="1"/>
          <w:shd w:val="clear" w:color="auto" w:fill="FFFFFF"/>
        </w:rPr>
        <w:t xml:space="preserve"> Toronto (City) Police Services Board</w:t>
      </w:r>
      <w:r w:rsidRPr="0044654D">
        <w:rPr>
          <w:szCs w:val="20"/>
          <w:shd w:val="clear" w:color="auto" w:fill="FFFFFF"/>
        </w:rPr>
        <w:t xml:space="preserve"> </w:t>
      </w:r>
      <w:r w:rsidRPr="0044654D">
        <w:rPr>
          <w:color w:val="212121"/>
          <w:szCs w:val="20"/>
          <w:bdr w:val="none" w:sz="0" w:space="0" w:color="auto" w:frame="1"/>
        </w:rPr>
        <w:t>(2023 ONSC 1270).</w:t>
      </w:r>
    </w:p>
  </w:endnote>
  <w:endnote w:id="139">
    <w:p w14:paraId="13B05BFC" w14:textId="490A5185" w:rsidR="00630390" w:rsidRPr="0044654D" w:rsidRDefault="00630390" w:rsidP="008E507E">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0F5C2C">
        <w:rPr>
          <w:i/>
          <w:iCs/>
          <w:szCs w:val="20"/>
        </w:rPr>
        <w:t>.</w:t>
      </w:r>
      <w:r w:rsidRPr="0044654D">
        <w:rPr>
          <w:i/>
          <w:iCs/>
          <w:szCs w:val="20"/>
        </w:rPr>
        <w:t xml:space="preserve"> v</w:t>
      </w:r>
      <w:r w:rsidR="000F5C2C">
        <w:rPr>
          <w:i/>
          <w:iCs/>
          <w:szCs w:val="20"/>
        </w:rPr>
        <w:t>.</w:t>
      </w:r>
      <w:r w:rsidRPr="0044654D">
        <w:rPr>
          <w:i/>
          <w:iCs/>
          <w:szCs w:val="20"/>
        </w:rPr>
        <w:t xml:space="preserve"> Morris </w:t>
      </w:r>
      <w:r w:rsidRPr="0044654D">
        <w:rPr>
          <w:szCs w:val="20"/>
        </w:rPr>
        <w:t>(2021 ONCA 680).</w:t>
      </w:r>
    </w:p>
  </w:endnote>
  <w:endnote w:id="140">
    <w:p w14:paraId="6FC59D8C" w14:textId="5FBAF7E7" w:rsidR="00630390" w:rsidRPr="0044654D" w:rsidRDefault="00630390" w:rsidP="008E507E">
      <w:pPr>
        <w:pStyle w:val="EndnoteText"/>
        <w:rPr>
          <w:szCs w:val="20"/>
          <w:lang w:val="en-US"/>
        </w:rPr>
      </w:pPr>
      <w:r w:rsidRPr="0044654D">
        <w:rPr>
          <w:rStyle w:val="EndnoteReference"/>
          <w:szCs w:val="20"/>
        </w:rPr>
        <w:endnoteRef/>
      </w:r>
      <w:r w:rsidRPr="0044654D">
        <w:rPr>
          <w:szCs w:val="20"/>
        </w:rPr>
        <w:t xml:space="preserve"> See </w:t>
      </w:r>
      <w:r w:rsidR="000F5C2C" w:rsidRPr="0044654D">
        <w:rPr>
          <w:szCs w:val="20"/>
        </w:rPr>
        <w:t xml:space="preserve">Law Commission of Ontario, </w:t>
      </w:r>
      <w:r w:rsidR="000F5C2C" w:rsidRPr="0044654D">
        <w:rPr>
          <w:i/>
          <w:iCs/>
          <w:szCs w:val="20"/>
        </w:rPr>
        <w:t>The Rise and Fall of AI and Algorithms in American Criminal Justice: Lessons for Canada</w:t>
      </w:r>
      <w:r w:rsidR="000F5C2C" w:rsidRPr="0044654D">
        <w:rPr>
          <w:szCs w:val="20"/>
        </w:rPr>
        <w:t xml:space="preserve"> (Toronto: LCO, 2020) at </w:t>
      </w:r>
      <w:r w:rsidR="000F5C2C">
        <w:rPr>
          <w:szCs w:val="20"/>
        </w:rPr>
        <w:t xml:space="preserve">37, online: </w:t>
      </w:r>
      <w:hyperlink r:id="rId81" w:history="1">
        <w:r w:rsidR="000F5C2C" w:rsidRPr="00455C63">
          <w:rPr>
            <w:rStyle w:val="Hyperlink"/>
            <w:szCs w:val="20"/>
          </w:rPr>
          <w:t>https://www.lco-cdo.org/wp-content/uploads/2020/10/Criminal-AI-Paper-Final-Oct-28-2020.pdf</w:t>
        </w:r>
      </w:hyperlink>
      <w:r w:rsidR="000F5C2C">
        <w:rPr>
          <w:szCs w:val="20"/>
        </w:rPr>
        <w:t>.</w:t>
      </w:r>
    </w:p>
  </w:endnote>
  <w:endnote w:id="141">
    <w:p w14:paraId="0B39FD3F" w14:textId="4B2B4A6A" w:rsidR="00630390" w:rsidRPr="0044654D" w:rsidRDefault="00630390" w:rsidP="008E507E">
      <w:pPr>
        <w:pStyle w:val="EndnoteText"/>
        <w:rPr>
          <w:szCs w:val="20"/>
          <w:lang w:val="en-US"/>
        </w:rPr>
      </w:pPr>
      <w:r w:rsidRPr="0044654D">
        <w:rPr>
          <w:rStyle w:val="EndnoteReference"/>
          <w:szCs w:val="20"/>
        </w:rPr>
        <w:endnoteRef/>
      </w:r>
      <w:r w:rsidRPr="0044654D">
        <w:rPr>
          <w:szCs w:val="20"/>
        </w:rPr>
        <w:t xml:space="preserve"> See </w:t>
      </w:r>
      <w:r w:rsidR="000F5C2C" w:rsidRPr="0044654D">
        <w:rPr>
          <w:szCs w:val="20"/>
        </w:rPr>
        <w:t xml:space="preserve">Law Commission of Ontario, </w:t>
      </w:r>
      <w:r w:rsidR="000F5C2C" w:rsidRPr="0044654D">
        <w:rPr>
          <w:i/>
          <w:iCs/>
          <w:szCs w:val="20"/>
        </w:rPr>
        <w:t>The Rise and Fall of AI and Algorithms in American Criminal Justice: Lessons for Canada</w:t>
      </w:r>
      <w:r w:rsidR="000F5C2C" w:rsidRPr="0044654D">
        <w:rPr>
          <w:szCs w:val="20"/>
        </w:rPr>
        <w:t xml:space="preserve"> (Toronto: LCO, 2020) at </w:t>
      </w:r>
      <w:r w:rsidR="000F5C2C">
        <w:rPr>
          <w:szCs w:val="20"/>
        </w:rPr>
        <w:t xml:space="preserve">33, online: </w:t>
      </w:r>
      <w:hyperlink r:id="rId82" w:history="1">
        <w:r w:rsidR="000F5C2C" w:rsidRPr="00455C63">
          <w:rPr>
            <w:rStyle w:val="Hyperlink"/>
            <w:szCs w:val="20"/>
          </w:rPr>
          <w:t>https://www.lco-cdo.org/wp-content/uploads/2020/10/Criminal-AI-Paper-Final-Oct-28-2020.pdf</w:t>
        </w:r>
      </w:hyperlink>
      <w:r w:rsidR="000F5C2C">
        <w:rPr>
          <w:szCs w:val="20"/>
        </w:rPr>
        <w:t>.</w:t>
      </w:r>
    </w:p>
  </w:endnote>
  <w:endnote w:id="142">
    <w:p w14:paraId="1714CA7A" w14:textId="13FF97C3" w:rsidR="00630390" w:rsidRPr="0044654D" w:rsidRDefault="00630390">
      <w:pPr>
        <w:pStyle w:val="EndnoteText"/>
        <w:rPr>
          <w:szCs w:val="20"/>
        </w:rPr>
      </w:pPr>
      <w:r w:rsidRPr="0044654D">
        <w:rPr>
          <w:rStyle w:val="EndnoteReference"/>
          <w:szCs w:val="20"/>
        </w:rPr>
        <w:endnoteRef/>
      </w:r>
      <w:r w:rsidRPr="0044654D">
        <w:rPr>
          <w:szCs w:val="20"/>
        </w:rPr>
        <w:t xml:space="preserve"> See </w:t>
      </w:r>
      <w:r w:rsidR="000F5C2C">
        <w:rPr>
          <w:rFonts w:eastAsia="Calibri"/>
          <w:kern w:val="2"/>
          <w:szCs w:val="20"/>
          <w14:ligatures w14:val="standardContextual"/>
        </w:rPr>
        <w:t>Rand.com, “</w:t>
      </w:r>
      <w:r w:rsidR="000F5C2C" w:rsidRPr="000F5C2C">
        <w:rPr>
          <w:rFonts w:eastAsia="Calibri"/>
          <w:kern w:val="2"/>
          <w:szCs w:val="20"/>
          <w14:ligatures w14:val="standardContextual"/>
        </w:rPr>
        <w:t>Rise of Technology in Criminal Proceedings Poses Risk to Protecting Individuals' Rights</w:t>
      </w:r>
      <w:r w:rsidR="000F5C2C">
        <w:rPr>
          <w:rFonts w:eastAsia="Calibri"/>
          <w:kern w:val="2"/>
          <w:szCs w:val="20"/>
          <w14:ligatures w14:val="standardContextual"/>
        </w:rPr>
        <w:t xml:space="preserve">” (January 10 2017), online: </w:t>
      </w:r>
      <w:hyperlink r:id="rId83" w:history="1">
        <w:r w:rsidR="000F5C2C" w:rsidRPr="00F9124D">
          <w:rPr>
            <w:rStyle w:val="Hyperlink"/>
            <w:rFonts w:eastAsia="Calibri"/>
            <w:kern w:val="2"/>
            <w:szCs w:val="20"/>
            <w14:ligatures w14:val="standardContextual"/>
          </w:rPr>
          <w:t>https://www.rand.org/news/press/2017/01/10.html</w:t>
        </w:r>
      </w:hyperlink>
      <w:r w:rsidR="000F5C2C">
        <w:rPr>
          <w:rFonts w:eastAsia="Calibri"/>
          <w:kern w:val="2"/>
          <w:szCs w:val="20"/>
          <w14:ligatures w14:val="standardContextual"/>
        </w:rPr>
        <w:t xml:space="preserve">. </w:t>
      </w:r>
    </w:p>
  </w:endnote>
  <w:endnote w:id="143">
    <w:p w14:paraId="4AB51741" w14:textId="70C0AA06" w:rsidR="00630390" w:rsidRPr="0044654D" w:rsidRDefault="00630390" w:rsidP="008E507E">
      <w:pPr>
        <w:pStyle w:val="EndnoteText"/>
        <w:rPr>
          <w:szCs w:val="20"/>
        </w:rPr>
      </w:pPr>
      <w:r w:rsidRPr="0044654D">
        <w:rPr>
          <w:rStyle w:val="EndnoteReference"/>
          <w:szCs w:val="20"/>
        </w:rPr>
        <w:endnoteRef/>
      </w:r>
      <w:r w:rsidRPr="0044654D">
        <w:rPr>
          <w:szCs w:val="20"/>
        </w:rPr>
        <w:t xml:space="preserve"> It has been noted how in addition to any policy and law reform, </w:t>
      </w:r>
      <w:r w:rsidRPr="000F5C2C">
        <w:rPr>
          <w:szCs w:val="20"/>
        </w:rPr>
        <w:t>“[d]</w:t>
      </w:r>
      <w:r w:rsidRPr="000F5C2C">
        <w:rPr>
          <w:color w:val="211D1E"/>
          <w:szCs w:val="20"/>
        </w:rPr>
        <w:t xml:space="preserve">eploying AI-enabled tools effectively requires investing in a strategy for the operational, procedural, and change management efforts required for successful implementation.” </w:t>
      </w:r>
      <w:r w:rsidRPr="0044654D">
        <w:rPr>
          <w:color w:val="211D1E"/>
          <w:szCs w:val="20"/>
        </w:rPr>
        <w:t xml:space="preserve">See </w:t>
      </w:r>
      <w:r w:rsidR="000F5C2C">
        <w:rPr>
          <w:color w:val="211D1E"/>
          <w:szCs w:val="20"/>
        </w:rPr>
        <w:t xml:space="preserve">US Department of Justice, </w:t>
      </w:r>
      <w:r w:rsidRPr="0044654D">
        <w:rPr>
          <w:color w:val="211D1E"/>
          <w:szCs w:val="20"/>
        </w:rPr>
        <w:t xml:space="preserve">Criminal Justice Testing and Evaluation Consortium, </w:t>
      </w:r>
      <w:r w:rsidRPr="0044654D">
        <w:rPr>
          <w:i/>
          <w:iCs/>
          <w:szCs w:val="20"/>
        </w:rPr>
        <w:t xml:space="preserve">Artificial Intelligence Applications for Criminal Courts: An </w:t>
      </w:r>
      <w:r w:rsidR="000F5C2C">
        <w:rPr>
          <w:i/>
          <w:iCs/>
          <w:szCs w:val="20"/>
        </w:rPr>
        <w:t>O</w:t>
      </w:r>
      <w:r w:rsidRPr="0044654D">
        <w:rPr>
          <w:i/>
          <w:iCs/>
          <w:szCs w:val="20"/>
        </w:rPr>
        <w:t xml:space="preserve">verview of </w:t>
      </w:r>
      <w:r w:rsidR="000F5C2C">
        <w:rPr>
          <w:i/>
          <w:iCs/>
          <w:szCs w:val="20"/>
        </w:rPr>
        <w:t>A</w:t>
      </w:r>
      <w:r w:rsidRPr="0044654D">
        <w:rPr>
          <w:i/>
          <w:iCs/>
          <w:szCs w:val="20"/>
        </w:rPr>
        <w:t xml:space="preserve">rtificial </w:t>
      </w:r>
      <w:r w:rsidR="000F5C2C">
        <w:rPr>
          <w:i/>
          <w:iCs/>
          <w:szCs w:val="20"/>
        </w:rPr>
        <w:t>I</w:t>
      </w:r>
      <w:r w:rsidRPr="0044654D">
        <w:rPr>
          <w:i/>
          <w:iCs/>
          <w:szCs w:val="20"/>
        </w:rPr>
        <w:t xml:space="preserve">ntelligence </w:t>
      </w:r>
      <w:r w:rsidR="000F5C2C">
        <w:rPr>
          <w:i/>
          <w:iCs/>
          <w:szCs w:val="20"/>
        </w:rPr>
        <w:t>A</w:t>
      </w:r>
      <w:r w:rsidRPr="0044654D">
        <w:rPr>
          <w:i/>
          <w:iCs/>
          <w:szCs w:val="20"/>
        </w:rPr>
        <w:t xml:space="preserve">pplications and </w:t>
      </w:r>
      <w:r w:rsidR="000F5C2C">
        <w:rPr>
          <w:i/>
          <w:iCs/>
          <w:szCs w:val="20"/>
        </w:rPr>
        <w:t>A</w:t>
      </w:r>
      <w:r w:rsidRPr="0044654D">
        <w:rPr>
          <w:i/>
          <w:iCs/>
          <w:szCs w:val="20"/>
        </w:rPr>
        <w:t xml:space="preserve">ssociated </w:t>
      </w:r>
      <w:r w:rsidR="000F5C2C">
        <w:rPr>
          <w:i/>
          <w:iCs/>
          <w:szCs w:val="20"/>
        </w:rPr>
        <w:t>C</w:t>
      </w:r>
      <w:r w:rsidRPr="0044654D">
        <w:rPr>
          <w:i/>
          <w:iCs/>
          <w:szCs w:val="20"/>
        </w:rPr>
        <w:t xml:space="preserve">onsiderations for the </w:t>
      </w:r>
      <w:r w:rsidR="000F5C2C">
        <w:rPr>
          <w:i/>
          <w:iCs/>
          <w:szCs w:val="20"/>
        </w:rPr>
        <w:t>C</w:t>
      </w:r>
      <w:r w:rsidRPr="0044654D">
        <w:rPr>
          <w:i/>
          <w:iCs/>
          <w:szCs w:val="20"/>
        </w:rPr>
        <w:t xml:space="preserve">riminal </w:t>
      </w:r>
      <w:r w:rsidR="000F5C2C">
        <w:rPr>
          <w:i/>
          <w:iCs/>
          <w:szCs w:val="20"/>
        </w:rPr>
        <w:t>C</w:t>
      </w:r>
      <w:r w:rsidRPr="0044654D">
        <w:rPr>
          <w:i/>
          <w:iCs/>
          <w:szCs w:val="20"/>
        </w:rPr>
        <w:t xml:space="preserve">ourt </w:t>
      </w:r>
      <w:r w:rsidR="000F5C2C">
        <w:rPr>
          <w:i/>
          <w:iCs/>
          <w:szCs w:val="20"/>
        </w:rPr>
        <w:t>S</w:t>
      </w:r>
      <w:r w:rsidRPr="0044654D">
        <w:rPr>
          <w:i/>
          <w:iCs/>
          <w:szCs w:val="20"/>
        </w:rPr>
        <w:t>ystem</w:t>
      </w:r>
      <w:r w:rsidRPr="0044654D">
        <w:rPr>
          <w:szCs w:val="20"/>
        </w:rPr>
        <w:t xml:space="preserve"> (</w:t>
      </w:r>
      <w:r w:rsidR="000F5C2C">
        <w:rPr>
          <w:szCs w:val="20"/>
        </w:rPr>
        <w:t xml:space="preserve">August </w:t>
      </w:r>
      <w:r w:rsidRPr="0044654D">
        <w:rPr>
          <w:szCs w:val="20"/>
        </w:rPr>
        <w:t xml:space="preserve">2020) at 1, online: </w:t>
      </w:r>
      <w:hyperlink r:id="rId84" w:history="1">
        <w:r w:rsidRPr="0044654D">
          <w:rPr>
            <w:rStyle w:val="Hyperlink"/>
            <w:szCs w:val="20"/>
          </w:rPr>
          <w:t>https://www.ojp.gov/ncjrs/virtual-library/abstracts/artificial-intelligence-applications-criminal-courts-overview</w:t>
        </w:r>
      </w:hyperlink>
      <w:r w:rsidRPr="0044654D">
        <w:rPr>
          <w:szCs w:val="20"/>
        </w:rPr>
        <w:t>.</w:t>
      </w:r>
    </w:p>
  </w:endnote>
  <w:endnote w:id="144">
    <w:p w14:paraId="3C7843E0" w14:textId="1AB4821C" w:rsidR="00630390" w:rsidRPr="0044654D" w:rsidRDefault="00630390" w:rsidP="00B32C57">
      <w:pPr>
        <w:rPr>
          <w:color w:val="212121"/>
          <w:sz w:val="20"/>
          <w:szCs w:val="20"/>
        </w:rPr>
      </w:pPr>
      <w:r w:rsidRPr="0044654D">
        <w:rPr>
          <w:rStyle w:val="EndnoteReference"/>
          <w:sz w:val="20"/>
          <w:szCs w:val="20"/>
        </w:rPr>
        <w:endnoteRef/>
      </w:r>
      <w:r w:rsidRPr="0044654D">
        <w:rPr>
          <w:sz w:val="20"/>
          <w:szCs w:val="20"/>
        </w:rPr>
        <w:t xml:space="preserve"> </w:t>
      </w:r>
      <w:r w:rsidRPr="0044654D">
        <w:rPr>
          <w:i/>
          <w:iCs/>
          <w:sz w:val="20"/>
          <w:szCs w:val="20"/>
        </w:rPr>
        <w:t>R</w:t>
      </w:r>
      <w:r w:rsidR="000F5C2C">
        <w:rPr>
          <w:i/>
          <w:iCs/>
          <w:sz w:val="20"/>
          <w:szCs w:val="20"/>
        </w:rPr>
        <w:t>.</w:t>
      </w:r>
      <w:r w:rsidRPr="0044654D">
        <w:rPr>
          <w:i/>
          <w:iCs/>
          <w:sz w:val="20"/>
          <w:szCs w:val="20"/>
        </w:rPr>
        <w:t xml:space="preserve"> v</w:t>
      </w:r>
      <w:r w:rsidR="000F5C2C">
        <w:rPr>
          <w:i/>
          <w:iCs/>
          <w:sz w:val="20"/>
          <w:szCs w:val="20"/>
        </w:rPr>
        <w:t>.</w:t>
      </w:r>
      <w:r w:rsidRPr="0044654D">
        <w:rPr>
          <w:i/>
          <w:iCs/>
          <w:sz w:val="20"/>
          <w:szCs w:val="20"/>
        </w:rPr>
        <w:t xml:space="preserve"> Nikolovski</w:t>
      </w:r>
      <w:r w:rsidRPr="0044654D">
        <w:rPr>
          <w:sz w:val="20"/>
          <w:szCs w:val="20"/>
        </w:rPr>
        <w:t xml:space="preserve"> ([1996] 3 SCR 1197)</w:t>
      </w:r>
      <w:r w:rsidRPr="0044654D">
        <w:rPr>
          <w:color w:val="212121"/>
          <w:sz w:val="20"/>
          <w:szCs w:val="20"/>
          <w:bdr w:val="none" w:sz="0" w:space="0" w:color="auto" w:frame="1"/>
        </w:rPr>
        <w:t xml:space="preserve"> </w:t>
      </w:r>
      <w:r w:rsidRPr="0044654D">
        <w:rPr>
          <w:rStyle w:val="pdf-viewer-line"/>
          <w:rFonts w:eastAsia="Times New Roman"/>
          <w:spacing w:val="-2"/>
          <w:sz w:val="20"/>
          <w:szCs w:val="20"/>
        </w:rPr>
        <w:t>at para 13.</w:t>
      </w:r>
    </w:p>
  </w:endnote>
  <w:endnote w:id="145">
    <w:p w14:paraId="6CD0B8C5" w14:textId="2CDE0AC3" w:rsidR="00630390" w:rsidRPr="0044654D" w:rsidRDefault="00630390" w:rsidP="00B32C57">
      <w:pPr>
        <w:pStyle w:val="EndnoteText"/>
        <w:rPr>
          <w:szCs w:val="20"/>
          <w:lang w:val="en-US"/>
        </w:rPr>
      </w:pPr>
      <w:r w:rsidRPr="0044654D">
        <w:rPr>
          <w:rStyle w:val="EndnoteReference"/>
          <w:szCs w:val="20"/>
        </w:rPr>
        <w:endnoteRef/>
      </w:r>
      <w:r w:rsidRPr="0044654D">
        <w:rPr>
          <w:szCs w:val="20"/>
        </w:rPr>
        <w:t xml:space="preserve"> </w:t>
      </w:r>
      <w:r w:rsidRPr="000F5C2C">
        <w:rPr>
          <w:i/>
          <w:iCs/>
          <w:szCs w:val="20"/>
        </w:rPr>
        <w:t>R</w:t>
      </w:r>
      <w:r w:rsidR="000F5C2C" w:rsidRPr="000F5C2C">
        <w:rPr>
          <w:i/>
          <w:iCs/>
          <w:szCs w:val="20"/>
        </w:rPr>
        <w:t>.</w:t>
      </w:r>
      <w:r w:rsidRPr="000F5C2C">
        <w:rPr>
          <w:i/>
          <w:iCs/>
          <w:szCs w:val="20"/>
        </w:rPr>
        <w:t xml:space="preserve"> v</w:t>
      </w:r>
      <w:r w:rsidR="000F5C2C" w:rsidRPr="000F5C2C">
        <w:rPr>
          <w:i/>
          <w:iCs/>
          <w:szCs w:val="20"/>
        </w:rPr>
        <w:t>.</w:t>
      </w:r>
      <w:r w:rsidRPr="000F5C2C">
        <w:rPr>
          <w:i/>
          <w:iCs/>
          <w:szCs w:val="20"/>
        </w:rPr>
        <w:t xml:space="preserve"> Oakes</w:t>
      </w:r>
      <w:r w:rsidRPr="0044654D">
        <w:rPr>
          <w:szCs w:val="20"/>
        </w:rPr>
        <w:t xml:space="preserve"> ([1986] 1 SCR 103).</w:t>
      </w:r>
    </w:p>
  </w:endnote>
  <w:endnote w:id="146">
    <w:p w14:paraId="39BCE115" w14:textId="1BC71B35" w:rsidR="00630390" w:rsidRPr="0044654D" w:rsidRDefault="00630390" w:rsidP="00B32C57">
      <w:pPr>
        <w:pStyle w:val="EndnoteText"/>
        <w:rPr>
          <w:szCs w:val="20"/>
        </w:rPr>
      </w:pPr>
      <w:r w:rsidRPr="0044654D">
        <w:rPr>
          <w:rStyle w:val="EndnoteReference"/>
          <w:szCs w:val="20"/>
        </w:rPr>
        <w:endnoteRef/>
      </w:r>
      <w:r w:rsidRPr="0044654D">
        <w:rPr>
          <w:szCs w:val="20"/>
        </w:rPr>
        <w:t xml:space="preserve"> </w:t>
      </w:r>
      <w:r w:rsidR="000F5C2C" w:rsidRPr="0044654D">
        <w:rPr>
          <w:szCs w:val="20"/>
        </w:rPr>
        <w:t xml:space="preserve">Law Commission of Ontario, </w:t>
      </w:r>
      <w:r w:rsidR="000F5C2C" w:rsidRPr="0044654D">
        <w:rPr>
          <w:i/>
          <w:iCs/>
          <w:szCs w:val="20"/>
        </w:rPr>
        <w:t>The Rise and Fall of AI and Algorithms in American Criminal Justice: Lessons for Canada</w:t>
      </w:r>
      <w:r w:rsidR="000F5C2C" w:rsidRPr="0044654D">
        <w:rPr>
          <w:szCs w:val="20"/>
        </w:rPr>
        <w:t xml:space="preserve"> (Toronto: LCO, 2020) at </w:t>
      </w:r>
      <w:r w:rsidR="000F5C2C">
        <w:rPr>
          <w:szCs w:val="20"/>
        </w:rPr>
        <w:t xml:space="preserve">20, online: </w:t>
      </w:r>
      <w:hyperlink r:id="rId85" w:history="1">
        <w:r w:rsidR="000F5C2C" w:rsidRPr="00455C63">
          <w:rPr>
            <w:rStyle w:val="Hyperlink"/>
            <w:szCs w:val="20"/>
          </w:rPr>
          <w:t>https://www.lco-cdo.org/wp-content/uploads/2020/10/Criminal-AI-Paper-Final-Oct-28-2020.pdf</w:t>
        </w:r>
      </w:hyperlink>
      <w:r w:rsidR="000F5C2C">
        <w:rPr>
          <w:szCs w:val="20"/>
        </w:rPr>
        <w:t>.</w:t>
      </w:r>
    </w:p>
  </w:endnote>
  <w:endnote w:id="147">
    <w:p w14:paraId="1E13BE45" w14:textId="7E56DD58" w:rsidR="00630390" w:rsidRPr="0044654D" w:rsidRDefault="00630390" w:rsidP="000F5C2C">
      <w:pPr>
        <w:ind w:right="340"/>
        <w:rPr>
          <w:i/>
          <w:iCs/>
          <w:sz w:val="20"/>
          <w:szCs w:val="20"/>
        </w:rPr>
      </w:pPr>
      <w:r w:rsidRPr="000F5C2C">
        <w:rPr>
          <w:rStyle w:val="EndnoteReference"/>
          <w:sz w:val="20"/>
          <w:szCs w:val="20"/>
        </w:rPr>
        <w:endnoteRef/>
      </w:r>
      <w:r w:rsidRPr="000F5C2C">
        <w:rPr>
          <w:sz w:val="20"/>
          <w:szCs w:val="20"/>
        </w:rPr>
        <w:t xml:space="preserve"> </w:t>
      </w:r>
      <w:r w:rsidR="000F5C2C" w:rsidRPr="000F5C2C">
        <w:rPr>
          <w:sz w:val="20"/>
          <w:szCs w:val="20"/>
        </w:rPr>
        <w:t>Shawn Singh</w:t>
      </w:r>
      <w:r w:rsidR="000F5C2C">
        <w:rPr>
          <w:sz w:val="20"/>
          <w:szCs w:val="20"/>
        </w:rPr>
        <w:t>,</w:t>
      </w:r>
      <w:r w:rsidR="000F5C2C" w:rsidRPr="000F5C2C">
        <w:rPr>
          <w:i/>
          <w:iCs/>
          <w:sz w:val="20"/>
          <w:szCs w:val="20"/>
        </w:rPr>
        <w:t xml:space="preserve"> </w:t>
      </w:r>
      <w:r w:rsidR="000F5C2C">
        <w:rPr>
          <w:sz w:val="20"/>
          <w:szCs w:val="20"/>
        </w:rPr>
        <w:t>“</w:t>
      </w:r>
      <w:r w:rsidRPr="000F5C2C">
        <w:rPr>
          <w:sz w:val="20"/>
          <w:szCs w:val="20"/>
        </w:rPr>
        <w:t>Algorithmic Policing Technologies in Canada</w:t>
      </w:r>
      <w:r w:rsidR="000F5C2C">
        <w:rPr>
          <w:sz w:val="20"/>
          <w:szCs w:val="20"/>
        </w:rPr>
        <w:t xml:space="preserve">” (44:6 </w:t>
      </w:r>
      <w:r w:rsidRPr="000F5C2C">
        <w:rPr>
          <w:sz w:val="20"/>
          <w:szCs w:val="20"/>
        </w:rPr>
        <w:t>Manitoba Law Journal</w:t>
      </w:r>
      <w:r w:rsidR="000F5C2C">
        <w:rPr>
          <w:sz w:val="20"/>
          <w:szCs w:val="20"/>
        </w:rPr>
        <w:t xml:space="preserve"> </w:t>
      </w:r>
      <w:r w:rsidRPr="000F5C2C">
        <w:rPr>
          <w:sz w:val="20"/>
          <w:szCs w:val="20"/>
        </w:rPr>
        <w:t>(2021)</w:t>
      </w:r>
      <w:r w:rsidR="000F5C2C">
        <w:rPr>
          <w:sz w:val="20"/>
          <w:szCs w:val="20"/>
        </w:rPr>
        <w:t xml:space="preserve">, at para 1, online: </w:t>
      </w:r>
      <w:hyperlink r:id="rId86" w:history="1">
        <w:r w:rsidR="000F5C2C" w:rsidRPr="00F9124D">
          <w:rPr>
            <w:rStyle w:val="Hyperlink"/>
            <w:sz w:val="20"/>
            <w:szCs w:val="20"/>
          </w:rPr>
          <w:t>https://themanitobalawjournal.com/wp-content/uploads/articles/MLJ_44.6/446_Singh.pdf</w:t>
        </w:r>
      </w:hyperlink>
      <w:r w:rsidR="000F5C2C">
        <w:rPr>
          <w:sz w:val="20"/>
          <w:szCs w:val="20"/>
        </w:rPr>
        <w:t xml:space="preserve">. </w:t>
      </w:r>
    </w:p>
  </w:endnote>
  <w:endnote w:id="148">
    <w:p w14:paraId="76771629" w14:textId="004973A1" w:rsidR="00630390" w:rsidRPr="0044654D" w:rsidRDefault="00630390" w:rsidP="00B32C57">
      <w:pPr>
        <w:pStyle w:val="EndnoteText"/>
        <w:rPr>
          <w:szCs w:val="20"/>
        </w:rPr>
      </w:pPr>
      <w:r w:rsidRPr="0044654D">
        <w:rPr>
          <w:rStyle w:val="EndnoteReference"/>
          <w:szCs w:val="20"/>
        </w:rPr>
        <w:endnoteRef/>
      </w:r>
      <w:r w:rsidRPr="0044654D">
        <w:rPr>
          <w:szCs w:val="20"/>
        </w:rPr>
        <w:t xml:space="preserve"> </w:t>
      </w:r>
      <w:r w:rsidR="00574257">
        <w:rPr>
          <w:szCs w:val="20"/>
        </w:rPr>
        <w:t xml:space="preserve">David Asper Centre for Constitutional Rights, </w:t>
      </w:r>
      <w:r w:rsidRPr="0044654D">
        <w:rPr>
          <w:szCs w:val="20"/>
        </w:rPr>
        <w:t>“Facial Recognition Technology &amp; the Canadian Charter</w:t>
      </w:r>
      <w:r w:rsidR="00574257">
        <w:rPr>
          <w:szCs w:val="20"/>
        </w:rPr>
        <w:t xml:space="preserve">: </w:t>
      </w:r>
      <w:r w:rsidR="00574257" w:rsidRPr="0044654D">
        <w:rPr>
          <w:szCs w:val="20"/>
        </w:rPr>
        <w:t>Submission to the Standing Committee on Access to Information, Privacy and Ethics</w:t>
      </w:r>
      <w:r w:rsidRPr="0044654D">
        <w:rPr>
          <w:szCs w:val="20"/>
        </w:rPr>
        <w:t>”</w:t>
      </w:r>
      <w:r w:rsidR="00574257">
        <w:rPr>
          <w:szCs w:val="20"/>
        </w:rPr>
        <w:t xml:space="preserve"> (2021), at p. </w:t>
      </w:r>
      <w:r w:rsidRPr="0044654D">
        <w:rPr>
          <w:szCs w:val="20"/>
        </w:rPr>
        <w:t>8-9</w:t>
      </w:r>
      <w:r w:rsidR="00574257">
        <w:rPr>
          <w:szCs w:val="20"/>
        </w:rPr>
        <w:t xml:space="preserve">, online: </w:t>
      </w:r>
      <w:hyperlink r:id="rId87" w:history="1">
        <w:r w:rsidR="00574257" w:rsidRPr="00F9124D">
          <w:rPr>
            <w:rStyle w:val="Hyperlink"/>
            <w:szCs w:val="20"/>
          </w:rPr>
          <w:t>https://aspercentre.ca/wp-content/uploads/2021/11/FRT-and-the-Charter-Brief.pdf</w:t>
        </w:r>
      </w:hyperlink>
      <w:r w:rsidR="00574257">
        <w:rPr>
          <w:szCs w:val="20"/>
        </w:rPr>
        <w:t>.</w:t>
      </w:r>
    </w:p>
  </w:endnote>
  <w:endnote w:id="149">
    <w:p w14:paraId="519A0C78" w14:textId="0099C532" w:rsidR="00630390" w:rsidRPr="0044654D" w:rsidRDefault="00630390" w:rsidP="00B32C57">
      <w:pPr>
        <w:pStyle w:val="EndnoteText"/>
        <w:rPr>
          <w:szCs w:val="20"/>
          <w:lang w:val="en-US"/>
        </w:rPr>
      </w:pPr>
      <w:r w:rsidRPr="0044654D">
        <w:rPr>
          <w:rStyle w:val="EndnoteReference"/>
          <w:szCs w:val="20"/>
        </w:rPr>
        <w:endnoteRef/>
      </w:r>
      <w:r w:rsidRPr="0044654D">
        <w:rPr>
          <w:szCs w:val="20"/>
        </w:rPr>
        <w:t xml:space="preserve"> </w:t>
      </w:r>
      <w:r w:rsidR="00574257" w:rsidRPr="0044654D">
        <w:rPr>
          <w:szCs w:val="20"/>
        </w:rPr>
        <w:t xml:space="preserve">Law Commission of Ontario, </w:t>
      </w:r>
      <w:r w:rsidR="00574257" w:rsidRPr="0044654D">
        <w:rPr>
          <w:i/>
          <w:iCs/>
          <w:szCs w:val="20"/>
          <w:lang w:val="en-US"/>
        </w:rPr>
        <w:t>Regulating AI: Critical Issues and Choices</w:t>
      </w:r>
      <w:r w:rsidR="00574257" w:rsidRPr="0044654D">
        <w:rPr>
          <w:szCs w:val="20"/>
          <w:lang w:val="en-US"/>
        </w:rPr>
        <w:t xml:space="preserve"> (Toronto: LCO, 2021) at </w:t>
      </w:r>
      <w:r w:rsidR="00574257">
        <w:rPr>
          <w:szCs w:val="20"/>
          <w:lang w:val="en-US"/>
        </w:rPr>
        <w:t xml:space="preserve">22-23, online: </w:t>
      </w:r>
      <w:hyperlink r:id="rId88" w:history="1">
        <w:r w:rsidR="00574257" w:rsidRPr="00F9124D">
          <w:rPr>
            <w:rStyle w:val="Hyperlink"/>
            <w:szCs w:val="20"/>
            <w:lang w:val="en-US"/>
          </w:rPr>
          <w:t>https://www.lco-cdo.org/en/our-current-projects/ai-adm-and-the-justice-system/regulating-ai-critical-issues-and-choices/</w:t>
        </w:r>
      </w:hyperlink>
      <w:r w:rsidR="00574257">
        <w:rPr>
          <w:szCs w:val="20"/>
          <w:lang w:val="en-US"/>
        </w:rPr>
        <w:t xml:space="preserve">. See also </w:t>
      </w:r>
      <w:r w:rsidRPr="0044654D">
        <w:rPr>
          <w:color w:val="262526"/>
          <w:szCs w:val="20"/>
        </w:rPr>
        <w:t xml:space="preserve">Canadian Civil Liberties Association, </w:t>
      </w:r>
      <w:r w:rsidR="00574257">
        <w:rPr>
          <w:color w:val="262526"/>
          <w:szCs w:val="20"/>
        </w:rPr>
        <w:t xml:space="preserve">“Facial Surveillance: Protecting Your Privacy Rights from AI,” online: </w:t>
      </w:r>
      <w:hyperlink r:id="rId89" w:history="1">
        <w:r w:rsidR="00574257" w:rsidRPr="00F9124D">
          <w:rPr>
            <w:rStyle w:val="Hyperlink"/>
            <w:szCs w:val="20"/>
          </w:rPr>
          <w:t>https://ccla.org/our-work/privacy/surveillance-technology/facial-recognition/</w:t>
        </w:r>
      </w:hyperlink>
      <w:r w:rsidR="00574257">
        <w:rPr>
          <w:color w:val="262526"/>
          <w:szCs w:val="20"/>
        </w:rPr>
        <w:t xml:space="preserve">. </w:t>
      </w:r>
    </w:p>
  </w:endnote>
  <w:endnote w:id="150">
    <w:p w14:paraId="1DDD2EE3" w14:textId="1D8946AD" w:rsidR="00630390" w:rsidRPr="0044654D" w:rsidRDefault="00630390" w:rsidP="00B32C57">
      <w:pPr>
        <w:pStyle w:val="EndnoteText"/>
        <w:rPr>
          <w:szCs w:val="20"/>
        </w:rPr>
      </w:pPr>
      <w:r w:rsidRPr="0044654D">
        <w:rPr>
          <w:rStyle w:val="EndnoteReference"/>
          <w:szCs w:val="20"/>
        </w:rPr>
        <w:endnoteRef/>
      </w:r>
      <w:r w:rsidRPr="0044654D">
        <w:rPr>
          <w:szCs w:val="20"/>
        </w:rPr>
        <w:t xml:space="preserve"> </w:t>
      </w:r>
      <w:r w:rsidR="0062632C" w:rsidRPr="0044654D">
        <w:rPr>
          <w:color w:val="262526"/>
          <w:szCs w:val="20"/>
        </w:rPr>
        <w:t xml:space="preserve">Law Commission of Ontario, </w:t>
      </w:r>
      <w:r w:rsidR="0062632C" w:rsidRPr="0044654D">
        <w:rPr>
          <w:i/>
          <w:iCs/>
          <w:color w:val="262526"/>
          <w:szCs w:val="20"/>
        </w:rPr>
        <w:t>AI Case Study: Probabilistic Genotyping DNA Tools in Canadian Criminal Courts</w:t>
      </w:r>
      <w:r w:rsidR="0062632C" w:rsidRPr="0044654D">
        <w:rPr>
          <w:color w:val="262526"/>
          <w:szCs w:val="20"/>
        </w:rPr>
        <w:t xml:space="preserve"> (2021)</w:t>
      </w:r>
      <w:r w:rsidR="0062632C">
        <w:rPr>
          <w:color w:val="262526"/>
          <w:szCs w:val="20"/>
        </w:rPr>
        <w:t>,</w:t>
      </w:r>
      <w:r w:rsidR="0062632C" w:rsidRPr="0044654D">
        <w:rPr>
          <w:color w:val="262526"/>
          <w:szCs w:val="20"/>
        </w:rPr>
        <w:t xml:space="preserve"> </w:t>
      </w:r>
      <w:r w:rsidR="0062632C">
        <w:rPr>
          <w:color w:val="262526"/>
          <w:szCs w:val="20"/>
        </w:rPr>
        <w:t xml:space="preserve">at 10, online: </w:t>
      </w:r>
      <w:hyperlink r:id="rId90" w:history="1">
        <w:r w:rsidR="0062632C" w:rsidRPr="00F9124D">
          <w:rPr>
            <w:rStyle w:val="Hyperlink"/>
            <w:szCs w:val="20"/>
          </w:rPr>
          <w:t>https://www.lco-cdo.org/wp-content/uploads/2021/06/AI-PG-Case-Study-Final-EN-June-2021-2.pdf</w:t>
        </w:r>
      </w:hyperlink>
      <w:r w:rsidR="0062632C">
        <w:rPr>
          <w:color w:val="262526"/>
          <w:szCs w:val="20"/>
        </w:rPr>
        <w:t>.</w:t>
      </w:r>
    </w:p>
  </w:endnote>
  <w:endnote w:id="151">
    <w:p w14:paraId="12F6BA21" w14:textId="77777777" w:rsidR="00AA1672" w:rsidRPr="00AA1672" w:rsidRDefault="00630390" w:rsidP="00AA1672">
      <w:pPr>
        <w:pStyle w:val="EndnoteText"/>
        <w:rPr>
          <w:color w:val="262526"/>
          <w:szCs w:val="20"/>
        </w:rPr>
      </w:pPr>
      <w:r w:rsidRPr="0044654D">
        <w:rPr>
          <w:rStyle w:val="EndnoteReference"/>
          <w:szCs w:val="20"/>
        </w:rPr>
        <w:endnoteRef/>
      </w:r>
      <w:r w:rsidRPr="0044654D">
        <w:rPr>
          <w:szCs w:val="20"/>
        </w:rPr>
        <w:t xml:space="preserve"> </w:t>
      </w:r>
      <w:r w:rsidR="0062632C" w:rsidRPr="0044654D">
        <w:rPr>
          <w:color w:val="262526"/>
          <w:szCs w:val="20"/>
        </w:rPr>
        <w:t xml:space="preserve">Law Commission of Ontario, </w:t>
      </w:r>
      <w:r w:rsidR="0062632C" w:rsidRPr="0044654D">
        <w:rPr>
          <w:i/>
          <w:iCs/>
          <w:color w:val="262526"/>
          <w:szCs w:val="20"/>
        </w:rPr>
        <w:t>AI Case Study: Probabilistic Genotyping DNA Tools in Canadian Criminal Courts</w:t>
      </w:r>
      <w:r w:rsidR="0062632C" w:rsidRPr="0044654D">
        <w:rPr>
          <w:color w:val="262526"/>
          <w:szCs w:val="20"/>
        </w:rPr>
        <w:t xml:space="preserve"> (2021)</w:t>
      </w:r>
      <w:r w:rsidR="0062632C">
        <w:rPr>
          <w:color w:val="262526"/>
          <w:szCs w:val="20"/>
        </w:rPr>
        <w:t>,</w:t>
      </w:r>
      <w:r w:rsidR="0062632C" w:rsidRPr="0044654D">
        <w:rPr>
          <w:color w:val="262526"/>
          <w:szCs w:val="20"/>
        </w:rPr>
        <w:t xml:space="preserve"> </w:t>
      </w:r>
      <w:r w:rsidR="0062632C">
        <w:rPr>
          <w:color w:val="262526"/>
          <w:szCs w:val="20"/>
        </w:rPr>
        <w:t xml:space="preserve">at 7, online: </w:t>
      </w:r>
      <w:hyperlink r:id="rId91" w:history="1">
        <w:r w:rsidR="0062632C" w:rsidRPr="00F9124D">
          <w:rPr>
            <w:rStyle w:val="Hyperlink"/>
            <w:szCs w:val="20"/>
          </w:rPr>
          <w:t>https://www.lco-cdo.org/wp-content/uploads/2021/06/AI-PG-Case-Study-Final-EN-June-2021-2.pdf</w:t>
        </w:r>
      </w:hyperlink>
      <w:r w:rsidR="0062632C">
        <w:rPr>
          <w:color w:val="262526"/>
          <w:szCs w:val="20"/>
        </w:rPr>
        <w:t xml:space="preserve">. Follow-up correspondence received by the LCO from the </w:t>
      </w:r>
      <w:r w:rsidR="0062632C" w:rsidRPr="0062632C">
        <w:rPr>
          <w:color w:val="262526"/>
          <w:szCs w:val="20"/>
        </w:rPr>
        <w:t>Canadian Scientific Working Group on DNA Analysis Methods</w:t>
      </w:r>
      <w:r w:rsidR="0062632C">
        <w:rPr>
          <w:color w:val="262526"/>
          <w:szCs w:val="20"/>
        </w:rPr>
        <w:t xml:space="preserve"> </w:t>
      </w:r>
      <w:r w:rsidR="00AA1672" w:rsidRPr="00AA1672">
        <w:rPr>
          <w:color w:val="262526"/>
          <w:szCs w:val="20"/>
        </w:rPr>
        <w:t>suggests distinctions between “mathematical” and “artificial intelligence” systems</w:t>
      </w:r>
      <w:r w:rsidR="00AA1672">
        <w:rPr>
          <w:color w:val="262526"/>
          <w:szCs w:val="20"/>
        </w:rPr>
        <w:t xml:space="preserve">, while acknowledging the inherent complexities in presenting scientific evidence to the courts. See </w:t>
      </w:r>
      <w:r w:rsidR="00AA1672" w:rsidRPr="0062632C">
        <w:rPr>
          <w:color w:val="262526"/>
          <w:szCs w:val="20"/>
        </w:rPr>
        <w:t>Canadian Scientific Working Group on DNA Analysis Methods</w:t>
      </w:r>
      <w:r w:rsidR="00AA1672">
        <w:rPr>
          <w:color w:val="262526"/>
          <w:szCs w:val="20"/>
        </w:rPr>
        <w:t>, “</w:t>
      </w:r>
      <w:r w:rsidR="00AA1672" w:rsidRPr="00AA1672">
        <w:rPr>
          <w:color w:val="262526"/>
          <w:szCs w:val="20"/>
        </w:rPr>
        <w:t>Response to the Law Commission of Ontario's “AI Case Study: Probabilistic Genotyping DNA Tools in</w:t>
      </w:r>
    </w:p>
    <w:p w14:paraId="495C8565" w14:textId="54387012" w:rsidR="00630390" w:rsidRPr="0044654D" w:rsidRDefault="00AA1672" w:rsidP="00AA1672">
      <w:pPr>
        <w:pStyle w:val="EndnoteText"/>
        <w:rPr>
          <w:szCs w:val="20"/>
          <w:lang w:val="en-US"/>
        </w:rPr>
      </w:pPr>
      <w:r w:rsidRPr="00AA1672">
        <w:rPr>
          <w:color w:val="262526"/>
          <w:szCs w:val="20"/>
        </w:rPr>
        <w:t>Canadian Criminal Courts” by Canadian SWGDAM</w:t>
      </w:r>
      <w:r>
        <w:rPr>
          <w:color w:val="262526"/>
          <w:szCs w:val="20"/>
        </w:rPr>
        <w:t xml:space="preserve">” (Letter to the LCO March 7, 2022), online: </w:t>
      </w:r>
      <w:hyperlink r:id="rId92" w:history="1">
        <w:r w:rsidRPr="00F9124D">
          <w:rPr>
            <w:rStyle w:val="Hyperlink"/>
            <w:szCs w:val="20"/>
          </w:rPr>
          <w:t>https://www.lco-cdo.org/wp-content/uploads/2022/04/CanSWGDAM-response-to-LCO_English-2022-03-07.pdf</w:t>
        </w:r>
      </w:hyperlink>
      <w:r>
        <w:rPr>
          <w:color w:val="262526"/>
          <w:szCs w:val="20"/>
        </w:rPr>
        <w:t>.</w:t>
      </w:r>
    </w:p>
  </w:endnote>
  <w:endnote w:id="152">
    <w:p w14:paraId="7D763FBD" w14:textId="77842402" w:rsidR="00630390" w:rsidRPr="0044654D" w:rsidRDefault="00630390" w:rsidP="00B32C57">
      <w:pPr>
        <w:pStyle w:val="EndnoteText"/>
        <w:rPr>
          <w:szCs w:val="20"/>
        </w:rPr>
      </w:pPr>
      <w:r w:rsidRPr="0044654D">
        <w:rPr>
          <w:rStyle w:val="EndnoteReference"/>
          <w:szCs w:val="20"/>
        </w:rPr>
        <w:endnoteRef/>
      </w:r>
      <w:r w:rsidRPr="0044654D">
        <w:rPr>
          <w:szCs w:val="20"/>
        </w:rPr>
        <w:t xml:space="preserve"> </w:t>
      </w:r>
      <w:r w:rsidR="00AA1672" w:rsidRPr="0044654D">
        <w:rPr>
          <w:color w:val="262526"/>
          <w:szCs w:val="20"/>
        </w:rPr>
        <w:t xml:space="preserve">Law Commission of Ontario, </w:t>
      </w:r>
      <w:r w:rsidR="00AA1672" w:rsidRPr="0044654D">
        <w:rPr>
          <w:i/>
          <w:iCs/>
          <w:color w:val="262526"/>
          <w:szCs w:val="20"/>
        </w:rPr>
        <w:t>AI Case Study: Probabilistic Genotyping DNA Tools in Canadian Criminal Courts</w:t>
      </w:r>
      <w:r w:rsidR="00AA1672" w:rsidRPr="0044654D">
        <w:rPr>
          <w:color w:val="262526"/>
          <w:szCs w:val="20"/>
        </w:rPr>
        <w:t xml:space="preserve"> (2021)</w:t>
      </w:r>
      <w:r w:rsidR="00AA1672">
        <w:rPr>
          <w:color w:val="262526"/>
          <w:szCs w:val="20"/>
        </w:rPr>
        <w:t>,</w:t>
      </w:r>
      <w:r w:rsidR="00AA1672" w:rsidRPr="0044654D">
        <w:rPr>
          <w:color w:val="262526"/>
          <w:szCs w:val="20"/>
        </w:rPr>
        <w:t xml:space="preserve"> </w:t>
      </w:r>
      <w:r w:rsidR="00AA1672">
        <w:rPr>
          <w:color w:val="262526"/>
          <w:szCs w:val="20"/>
        </w:rPr>
        <w:t xml:space="preserve">at 13, online: </w:t>
      </w:r>
      <w:hyperlink r:id="rId93" w:history="1">
        <w:r w:rsidR="00AA1672" w:rsidRPr="00F9124D">
          <w:rPr>
            <w:rStyle w:val="Hyperlink"/>
            <w:szCs w:val="20"/>
          </w:rPr>
          <w:t>https://www.lco-cdo.org/wp-content/uploads/2021/06/AI-PG-Case-Study-Final-EN-June-2021-2.pdf</w:t>
        </w:r>
      </w:hyperlink>
      <w:r w:rsidR="00AA1672">
        <w:rPr>
          <w:color w:val="262526"/>
          <w:szCs w:val="20"/>
        </w:rPr>
        <w:t>.</w:t>
      </w:r>
    </w:p>
  </w:endnote>
  <w:endnote w:id="153">
    <w:p w14:paraId="02E83F56" w14:textId="6CE7DE06" w:rsidR="00630390" w:rsidRPr="0044654D" w:rsidRDefault="00630390" w:rsidP="001E0D8B">
      <w:pPr>
        <w:pStyle w:val="EndnoteText"/>
        <w:rPr>
          <w:szCs w:val="20"/>
        </w:rPr>
      </w:pPr>
      <w:r w:rsidRPr="0044654D">
        <w:rPr>
          <w:rStyle w:val="EndnoteReference"/>
          <w:szCs w:val="20"/>
        </w:rPr>
        <w:endnoteRef/>
      </w:r>
      <w:r w:rsidRPr="0044654D">
        <w:rPr>
          <w:szCs w:val="20"/>
        </w:rPr>
        <w:t xml:space="preserve"> </w:t>
      </w:r>
      <w:r w:rsidRPr="0044654D">
        <w:rPr>
          <w:i/>
          <w:iCs/>
          <w:szCs w:val="20"/>
        </w:rPr>
        <w:t>R. v. Bradshaw</w:t>
      </w:r>
      <w:r w:rsidRPr="0044654D">
        <w:rPr>
          <w:szCs w:val="20"/>
        </w:rPr>
        <w:t xml:space="preserve"> </w:t>
      </w:r>
      <w:r w:rsidR="00AA1672">
        <w:rPr>
          <w:szCs w:val="20"/>
        </w:rPr>
        <w:t>(</w:t>
      </w:r>
      <w:r w:rsidRPr="00AA1672">
        <w:rPr>
          <w:szCs w:val="20"/>
        </w:rPr>
        <w:t>2017 SCC 35</w:t>
      </w:r>
      <w:r w:rsidR="00AA1672">
        <w:t>)</w:t>
      </w:r>
      <w:r w:rsidRPr="0044654D">
        <w:rPr>
          <w:szCs w:val="20"/>
        </w:rPr>
        <w:t xml:space="preserve"> at paras. </w:t>
      </w:r>
      <w:r w:rsidRPr="00AA1672">
        <w:rPr>
          <w:szCs w:val="20"/>
        </w:rPr>
        <w:t>26-27</w:t>
      </w:r>
      <w:r w:rsidR="00AA1672">
        <w:rPr>
          <w:szCs w:val="20"/>
        </w:rPr>
        <w:t>.</w:t>
      </w:r>
    </w:p>
  </w:endnote>
  <w:endnote w:id="154">
    <w:p w14:paraId="22D28183" w14:textId="0513F5B3" w:rsidR="00630390" w:rsidRPr="0044654D" w:rsidRDefault="00630390" w:rsidP="001E0D8B">
      <w:pPr>
        <w:pStyle w:val="EndnoteText"/>
        <w:rPr>
          <w:szCs w:val="20"/>
        </w:rPr>
      </w:pPr>
      <w:r w:rsidRPr="0044654D">
        <w:rPr>
          <w:rStyle w:val="EndnoteReference"/>
          <w:szCs w:val="20"/>
        </w:rPr>
        <w:endnoteRef/>
      </w:r>
      <w:r w:rsidRPr="0044654D">
        <w:rPr>
          <w:szCs w:val="20"/>
        </w:rPr>
        <w:t xml:space="preserve"> </w:t>
      </w:r>
      <w:r w:rsidR="00AA1672" w:rsidRPr="0044654D">
        <w:rPr>
          <w:szCs w:val="20"/>
        </w:rPr>
        <w:t>The Honourable Fred Kaufman</w:t>
      </w:r>
      <w:r w:rsidR="00AA1672">
        <w:rPr>
          <w:szCs w:val="20"/>
        </w:rPr>
        <w:t xml:space="preserve">, </w:t>
      </w:r>
      <w:r w:rsidRPr="0044654D">
        <w:rPr>
          <w:i/>
          <w:iCs/>
          <w:szCs w:val="20"/>
        </w:rPr>
        <w:t>Report of the Kaufman Commission on Proceedings Involving Guy Paul Morin</w:t>
      </w:r>
      <w:r w:rsidR="00AA1672">
        <w:rPr>
          <w:szCs w:val="20"/>
        </w:rPr>
        <w:t xml:space="preserve"> (</w:t>
      </w:r>
      <w:r w:rsidRPr="0044654D">
        <w:rPr>
          <w:szCs w:val="20"/>
        </w:rPr>
        <w:t xml:space="preserve">March </w:t>
      </w:r>
      <w:r w:rsidR="00AA1672">
        <w:rPr>
          <w:szCs w:val="20"/>
        </w:rPr>
        <w:t xml:space="preserve">31 </w:t>
      </w:r>
      <w:r w:rsidRPr="0044654D">
        <w:rPr>
          <w:szCs w:val="20"/>
        </w:rPr>
        <w:t>1998</w:t>
      </w:r>
      <w:r w:rsidR="00AA1672">
        <w:rPr>
          <w:szCs w:val="20"/>
        </w:rPr>
        <w:t>), online:</w:t>
      </w:r>
      <w:r w:rsidRPr="0044654D">
        <w:rPr>
          <w:szCs w:val="20"/>
        </w:rPr>
        <w:t xml:space="preserve"> </w:t>
      </w:r>
      <w:hyperlink r:id="rId94" w:history="1">
        <w:r w:rsidRPr="0044654D">
          <w:rPr>
            <w:rStyle w:val="Hyperlink"/>
            <w:szCs w:val="20"/>
          </w:rPr>
          <w:t>http://netk.net.au/Canada/MorinList.asp</w:t>
        </w:r>
      </w:hyperlink>
      <w:r w:rsidR="00AA1672">
        <w:rPr>
          <w:szCs w:val="20"/>
        </w:rPr>
        <w:t>.</w:t>
      </w:r>
    </w:p>
  </w:endnote>
  <w:endnote w:id="155">
    <w:p w14:paraId="00BF4C12" w14:textId="03290DF1" w:rsidR="00630390" w:rsidRPr="0044654D" w:rsidRDefault="00630390" w:rsidP="001E0D8B">
      <w:pPr>
        <w:pStyle w:val="EndnoteText"/>
        <w:rPr>
          <w:szCs w:val="20"/>
        </w:rPr>
      </w:pPr>
      <w:r w:rsidRPr="0044654D">
        <w:rPr>
          <w:rStyle w:val="EndnoteReference"/>
          <w:szCs w:val="20"/>
        </w:rPr>
        <w:endnoteRef/>
      </w:r>
      <w:r w:rsidRPr="0044654D">
        <w:rPr>
          <w:szCs w:val="20"/>
        </w:rPr>
        <w:t xml:space="preserve"> </w:t>
      </w:r>
      <w:r w:rsidR="00AA1672" w:rsidRPr="0044654D">
        <w:rPr>
          <w:szCs w:val="20"/>
        </w:rPr>
        <w:t>The Honourable Stephen T. Goudge,</w:t>
      </w:r>
      <w:r w:rsidR="00AA1672">
        <w:rPr>
          <w:szCs w:val="20"/>
        </w:rPr>
        <w:t xml:space="preserve"> </w:t>
      </w:r>
      <w:r w:rsidRPr="0044654D">
        <w:rPr>
          <w:i/>
          <w:iCs/>
          <w:szCs w:val="20"/>
        </w:rPr>
        <w:t>Inquiry into Pediatric Forensic Pathology in Ontario</w:t>
      </w:r>
      <w:r w:rsidR="00AA1672">
        <w:rPr>
          <w:szCs w:val="20"/>
        </w:rPr>
        <w:t xml:space="preserve"> (September 30 2008), online: </w:t>
      </w:r>
      <w:hyperlink r:id="rId95" w:history="1">
        <w:r w:rsidR="00AA1672" w:rsidRPr="00F9124D">
          <w:rPr>
            <w:rStyle w:val="Hyperlink"/>
            <w:szCs w:val="20"/>
          </w:rPr>
          <w:t>https://www.archives.gov.on.ca/en/e_records/goudge/report/v1_en.html</w:t>
        </w:r>
      </w:hyperlink>
      <w:r w:rsidR="00AA1672">
        <w:rPr>
          <w:szCs w:val="20"/>
        </w:rPr>
        <w:t xml:space="preserve">. </w:t>
      </w:r>
    </w:p>
  </w:endnote>
  <w:endnote w:id="156">
    <w:p w14:paraId="45D611F9" w14:textId="726D568E" w:rsidR="00630390" w:rsidRPr="00AA1672" w:rsidRDefault="00630390" w:rsidP="001E0D8B">
      <w:pPr>
        <w:pStyle w:val="EndnoteText"/>
        <w:rPr>
          <w:szCs w:val="20"/>
        </w:rPr>
      </w:pPr>
      <w:r w:rsidRPr="0044654D">
        <w:rPr>
          <w:rStyle w:val="EndnoteReference"/>
          <w:szCs w:val="20"/>
        </w:rPr>
        <w:endnoteRef/>
      </w:r>
      <w:r w:rsidRPr="0044654D">
        <w:rPr>
          <w:szCs w:val="20"/>
        </w:rPr>
        <w:t xml:space="preserve"> </w:t>
      </w:r>
      <w:r w:rsidR="00AA1672" w:rsidRPr="00364644">
        <w:rPr>
          <w:szCs w:val="20"/>
          <w:lang w:val="en-US"/>
        </w:rPr>
        <w:t xml:space="preserve">Hon. J.C. Beaman. </w:t>
      </w:r>
      <w:r w:rsidR="00AA1672" w:rsidRPr="00364644">
        <w:rPr>
          <w:i/>
          <w:iCs/>
          <w:szCs w:val="20"/>
          <w:lang w:val="en-US"/>
        </w:rPr>
        <w:t>Harmful Impacts: The reliance on hair testing in child protection, Report of the Motherisk Commission</w:t>
      </w:r>
      <w:r w:rsidR="00AA1672">
        <w:rPr>
          <w:szCs w:val="20"/>
          <w:lang w:val="en-US"/>
        </w:rPr>
        <w:t xml:space="preserve"> (</w:t>
      </w:r>
      <w:r w:rsidR="00AA1672" w:rsidRPr="00364644">
        <w:rPr>
          <w:szCs w:val="20"/>
          <w:lang w:val="en-US"/>
        </w:rPr>
        <w:t xml:space="preserve">Ontario Ministry of the Attorney General, </w:t>
      </w:r>
      <w:r w:rsidR="00AA1672">
        <w:rPr>
          <w:szCs w:val="20"/>
          <w:lang w:val="en-US"/>
        </w:rPr>
        <w:t xml:space="preserve">February </w:t>
      </w:r>
      <w:r w:rsidR="00AA1672" w:rsidRPr="00364644">
        <w:rPr>
          <w:szCs w:val="20"/>
          <w:lang w:val="en-US"/>
        </w:rPr>
        <w:t>2018</w:t>
      </w:r>
      <w:r w:rsidR="00AA1672">
        <w:rPr>
          <w:szCs w:val="20"/>
          <w:lang w:val="en-US"/>
        </w:rPr>
        <w:t>), at</w:t>
      </w:r>
      <w:r w:rsidR="004C6F7B">
        <w:rPr>
          <w:szCs w:val="20"/>
          <w:lang w:val="en-US"/>
        </w:rPr>
        <w:t xml:space="preserve"> p.</w:t>
      </w:r>
      <w:r w:rsidR="00AA1672">
        <w:rPr>
          <w:szCs w:val="20"/>
          <w:lang w:val="en-US"/>
        </w:rPr>
        <w:t xml:space="preserve"> </w:t>
      </w:r>
      <w:r w:rsidR="00AA1672" w:rsidRPr="0044654D">
        <w:rPr>
          <w:szCs w:val="20"/>
        </w:rPr>
        <w:t>v-xii, 105-120</w:t>
      </w:r>
      <w:r w:rsidR="00AA1672">
        <w:rPr>
          <w:szCs w:val="20"/>
        </w:rPr>
        <w:t xml:space="preserve">, </w:t>
      </w:r>
      <w:r w:rsidR="00AA1672">
        <w:rPr>
          <w:szCs w:val="20"/>
          <w:lang w:val="en-US"/>
        </w:rPr>
        <w:t xml:space="preserve">online: </w:t>
      </w:r>
      <w:hyperlink r:id="rId96" w:history="1">
        <w:r w:rsidR="00AA1672" w:rsidRPr="00CB2273">
          <w:rPr>
            <w:rStyle w:val="Hyperlink"/>
            <w:szCs w:val="20"/>
            <w:lang w:val="en-US"/>
          </w:rPr>
          <w:t>https://www.archives.gov.on.ca/en/e_records/motheriskcommission/wp-content/uploads/Report-of-the-Motherisk-Commission.pdf</w:t>
        </w:r>
      </w:hyperlink>
      <w:r w:rsidR="00AA1672">
        <w:rPr>
          <w:szCs w:val="20"/>
          <w:lang w:val="en-US"/>
        </w:rPr>
        <w:t>.</w:t>
      </w:r>
    </w:p>
  </w:endnote>
  <w:endnote w:id="157">
    <w:p w14:paraId="72B7C3C9" w14:textId="54174D24" w:rsidR="00630390" w:rsidRPr="0044654D" w:rsidRDefault="00630390" w:rsidP="001E0D8B">
      <w:pPr>
        <w:pStyle w:val="EndnoteText"/>
        <w:rPr>
          <w:szCs w:val="20"/>
        </w:rPr>
      </w:pPr>
      <w:r w:rsidRPr="0044654D">
        <w:rPr>
          <w:rStyle w:val="EndnoteReference"/>
          <w:szCs w:val="20"/>
        </w:rPr>
        <w:endnoteRef/>
      </w:r>
      <w:r w:rsidRPr="0044654D">
        <w:rPr>
          <w:szCs w:val="20"/>
        </w:rPr>
        <w:t xml:space="preserve"> </w:t>
      </w:r>
      <w:r w:rsidR="004C6F7B" w:rsidRPr="0044654D">
        <w:rPr>
          <w:color w:val="262526"/>
          <w:szCs w:val="20"/>
        </w:rPr>
        <w:t xml:space="preserve">Law Commission of Ontario, </w:t>
      </w:r>
      <w:r w:rsidR="004C6F7B" w:rsidRPr="0044654D">
        <w:rPr>
          <w:i/>
          <w:iCs/>
          <w:color w:val="262526"/>
          <w:szCs w:val="20"/>
        </w:rPr>
        <w:t>AI Case Study: Probabilistic Genotyping DNA Tools in Canadian Criminal Courts</w:t>
      </w:r>
      <w:r w:rsidR="004C6F7B" w:rsidRPr="0044654D">
        <w:rPr>
          <w:color w:val="262526"/>
          <w:szCs w:val="20"/>
        </w:rPr>
        <w:t xml:space="preserve"> (2021)</w:t>
      </w:r>
      <w:r w:rsidR="004C6F7B">
        <w:rPr>
          <w:color w:val="262526"/>
          <w:szCs w:val="20"/>
        </w:rPr>
        <w:t>,</w:t>
      </w:r>
      <w:r w:rsidR="004C6F7B" w:rsidRPr="0044654D">
        <w:rPr>
          <w:color w:val="262526"/>
          <w:szCs w:val="20"/>
        </w:rPr>
        <w:t xml:space="preserve"> </w:t>
      </w:r>
      <w:r w:rsidR="004C6F7B">
        <w:rPr>
          <w:color w:val="262526"/>
          <w:szCs w:val="20"/>
        </w:rPr>
        <w:t xml:space="preserve">at 10-11, online: </w:t>
      </w:r>
      <w:hyperlink r:id="rId97" w:history="1">
        <w:r w:rsidR="004C6F7B" w:rsidRPr="00F9124D">
          <w:rPr>
            <w:rStyle w:val="Hyperlink"/>
            <w:szCs w:val="20"/>
          </w:rPr>
          <w:t>https://www.lco-cdo.org/wp-content/uploads/2021/06/AI-PG-Case-Study-Final-EN-June-2021-2.pdf</w:t>
        </w:r>
      </w:hyperlink>
      <w:r w:rsidR="004C6F7B">
        <w:rPr>
          <w:color w:val="262526"/>
          <w:szCs w:val="20"/>
        </w:rPr>
        <w:t>.</w:t>
      </w:r>
      <w:r w:rsidR="00593E18">
        <w:rPr>
          <w:color w:val="262526"/>
          <w:szCs w:val="20"/>
        </w:rPr>
        <w:t xml:space="preserve"> Note again the caveat at end note 152.</w:t>
      </w:r>
    </w:p>
  </w:endnote>
  <w:endnote w:id="158">
    <w:p w14:paraId="7F55C84C" w14:textId="7B2403EC" w:rsidR="00B1297D" w:rsidRDefault="00B1297D">
      <w:pPr>
        <w:pStyle w:val="EndnoteText"/>
      </w:pPr>
      <w:r>
        <w:rPr>
          <w:rStyle w:val="EndnoteReference"/>
        </w:rPr>
        <w:endnoteRef/>
      </w:r>
      <w:r>
        <w:t xml:space="preserve"> </w:t>
      </w:r>
      <w:r w:rsidRPr="00B1297D">
        <w:t>Bess Stiffleman</w:t>
      </w:r>
      <w:r>
        <w:t>, “</w:t>
      </w:r>
      <w:r w:rsidRPr="00B1297D">
        <w:t>No Longer the Gold Standard: Probabilistic Genotyping is Changing the Nature of DNA Evidence in Criminal Trials</w:t>
      </w:r>
      <w:r>
        <w:t xml:space="preserve">” (24:1 </w:t>
      </w:r>
      <w:r w:rsidRPr="00B1297D">
        <w:t>Berkeley Journal of Criminal Law</w:t>
      </w:r>
      <w:r>
        <w:t xml:space="preserve"> 110 (2019)), online: </w:t>
      </w:r>
      <w:hyperlink r:id="rId98" w:history="1">
        <w:r w:rsidRPr="00122CF5">
          <w:rPr>
            <w:rStyle w:val="Hyperlink"/>
          </w:rPr>
          <w:t>https://lawcat.berkeley.edu/record/1129186?v=pdf</w:t>
        </w:r>
      </w:hyperlink>
      <w:r>
        <w:t>.</w:t>
      </w:r>
    </w:p>
  </w:endnote>
  <w:endnote w:id="159">
    <w:p w14:paraId="4FBC1190" w14:textId="0D1E9C74" w:rsidR="00B1297D" w:rsidRDefault="00B1297D">
      <w:pPr>
        <w:pStyle w:val="EndnoteText"/>
      </w:pPr>
      <w:r>
        <w:rPr>
          <w:rStyle w:val="EndnoteReference"/>
        </w:rPr>
        <w:endnoteRef/>
      </w:r>
      <w:r>
        <w:t xml:space="preserve"> </w:t>
      </w:r>
      <w:r w:rsidRPr="00B1297D">
        <w:t>Bess Stiffleman</w:t>
      </w:r>
      <w:r>
        <w:t>, “</w:t>
      </w:r>
      <w:r w:rsidRPr="00B1297D">
        <w:t>No Longer the Gold Standard: Probabilistic Genotyping is Changing the Nature of DNA Evidence in Criminal Trials</w:t>
      </w:r>
      <w:r>
        <w:t xml:space="preserve">” (24:1 </w:t>
      </w:r>
      <w:r w:rsidRPr="00B1297D">
        <w:t>Berkeley Journal of Criminal Law</w:t>
      </w:r>
      <w:r>
        <w:t xml:space="preserve"> 110 (2019)) at p. 119-120, online: </w:t>
      </w:r>
      <w:hyperlink r:id="rId99" w:history="1">
        <w:r w:rsidRPr="00122CF5">
          <w:rPr>
            <w:rStyle w:val="Hyperlink"/>
          </w:rPr>
          <w:t>https://lawcat.berkeley.edu/record/1129186?v=pdf</w:t>
        </w:r>
      </w:hyperlink>
      <w:r>
        <w:t>.</w:t>
      </w:r>
    </w:p>
  </w:endnote>
  <w:endnote w:id="160">
    <w:p w14:paraId="2E7F9C10" w14:textId="77777777" w:rsidR="006E03FC" w:rsidRPr="0044654D" w:rsidRDefault="006E03FC" w:rsidP="006E03FC">
      <w:pPr>
        <w:pStyle w:val="EndnoteText"/>
        <w:rPr>
          <w:color w:val="262526"/>
          <w:szCs w:val="20"/>
        </w:rPr>
      </w:pPr>
      <w:r w:rsidRPr="0044654D">
        <w:rPr>
          <w:rStyle w:val="EndnoteReference"/>
          <w:szCs w:val="20"/>
        </w:rPr>
        <w:endnoteRef/>
      </w:r>
      <w:r w:rsidRPr="0044654D">
        <w:rPr>
          <w:szCs w:val="20"/>
        </w:rPr>
        <w:t xml:space="preserve"> </w:t>
      </w:r>
      <w:r w:rsidRPr="0044654D">
        <w:rPr>
          <w:color w:val="262526"/>
          <w:szCs w:val="20"/>
        </w:rPr>
        <w:t xml:space="preserve">Law Commission of Ontario, </w:t>
      </w:r>
      <w:r w:rsidRPr="0044654D">
        <w:rPr>
          <w:i/>
          <w:iCs/>
          <w:color w:val="262526"/>
          <w:szCs w:val="20"/>
        </w:rPr>
        <w:t>AI Case Study: Probabilistic Genotyping DNA Tools in Canadian Criminal Courts</w:t>
      </w:r>
      <w:r w:rsidRPr="0044654D">
        <w:rPr>
          <w:color w:val="262526"/>
          <w:szCs w:val="20"/>
        </w:rPr>
        <w:t xml:space="preserve"> (2021)</w:t>
      </w:r>
      <w:r>
        <w:rPr>
          <w:color w:val="262526"/>
          <w:szCs w:val="20"/>
        </w:rPr>
        <w:t>,</w:t>
      </w:r>
      <w:r w:rsidRPr="0044654D">
        <w:rPr>
          <w:color w:val="262526"/>
          <w:szCs w:val="20"/>
        </w:rPr>
        <w:t xml:space="preserve"> </w:t>
      </w:r>
      <w:r>
        <w:rPr>
          <w:color w:val="262526"/>
          <w:szCs w:val="20"/>
        </w:rPr>
        <w:t xml:space="preserve">at 7, online: </w:t>
      </w:r>
      <w:hyperlink r:id="rId100" w:history="1">
        <w:r w:rsidRPr="00F9124D">
          <w:rPr>
            <w:rStyle w:val="Hyperlink"/>
            <w:szCs w:val="20"/>
          </w:rPr>
          <w:t>https://www.lco-cdo.org/wp-content/uploads/2021/06/AI-PG-Case-Study-Final-EN-June-2021-2.pdf</w:t>
        </w:r>
      </w:hyperlink>
      <w:r>
        <w:rPr>
          <w:color w:val="262526"/>
          <w:szCs w:val="20"/>
        </w:rPr>
        <w:t>.</w:t>
      </w:r>
    </w:p>
  </w:endnote>
  <w:endnote w:id="161">
    <w:p w14:paraId="7092E1C2" w14:textId="77777777" w:rsidR="006E03FC" w:rsidRPr="0044654D" w:rsidRDefault="006E03FC" w:rsidP="006E03FC">
      <w:pPr>
        <w:pStyle w:val="EndnoteText"/>
        <w:rPr>
          <w:szCs w:val="20"/>
          <w:lang w:val="en-US"/>
        </w:rPr>
      </w:pPr>
      <w:r w:rsidRPr="0044654D">
        <w:rPr>
          <w:rStyle w:val="EndnoteReference"/>
          <w:szCs w:val="20"/>
        </w:rPr>
        <w:endnoteRef/>
      </w:r>
      <w:r w:rsidRPr="0044654D">
        <w:rPr>
          <w:szCs w:val="20"/>
        </w:rPr>
        <w:t xml:space="preserve"> </w:t>
      </w:r>
      <w:r w:rsidRPr="0044654D">
        <w:rPr>
          <w:color w:val="262526"/>
          <w:szCs w:val="20"/>
        </w:rPr>
        <w:t xml:space="preserve">Law Commission of Ontario, </w:t>
      </w:r>
      <w:r w:rsidRPr="0044654D">
        <w:rPr>
          <w:i/>
          <w:iCs/>
          <w:color w:val="262526"/>
          <w:szCs w:val="20"/>
        </w:rPr>
        <w:t>AI Case Study: Probabilistic Genotyping DNA Tools in Canadian Criminal Courts</w:t>
      </w:r>
      <w:r w:rsidRPr="0044654D">
        <w:rPr>
          <w:color w:val="262526"/>
          <w:szCs w:val="20"/>
        </w:rPr>
        <w:t xml:space="preserve"> (2021)</w:t>
      </w:r>
      <w:r>
        <w:rPr>
          <w:color w:val="262526"/>
          <w:szCs w:val="20"/>
        </w:rPr>
        <w:t>,</w:t>
      </w:r>
      <w:r w:rsidRPr="0044654D">
        <w:rPr>
          <w:color w:val="262526"/>
          <w:szCs w:val="20"/>
        </w:rPr>
        <w:t xml:space="preserve"> </w:t>
      </w:r>
      <w:r>
        <w:rPr>
          <w:color w:val="262526"/>
          <w:szCs w:val="20"/>
        </w:rPr>
        <w:t xml:space="preserve">at 7, online: </w:t>
      </w:r>
      <w:hyperlink r:id="rId101" w:history="1">
        <w:r w:rsidRPr="00F9124D">
          <w:rPr>
            <w:rStyle w:val="Hyperlink"/>
            <w:szCs w:val="20"/>
          </w:rPr>
          <w:t>https://www.lco-cdo.org/wp-content/uploads/2021/06/AI-PG-Case-Study-Final-EN-June-2021-2.pdf</w:t>
        </w:r>
      </w:hyperlink>
      <w:r>
        <w:rPr>
          <w:color w:val="262526"/>
          <w:szCs w:val="20"/>
        </w:rPr>
        <w:t>.</w:t>
      </w:r>
    </w:p>
  </w:endnote>
  <w:endnote w:id="162">
    <w:p w14:paraId="5A95AB77" w14:textId="77777777" w:rsidR="006E03FC" w:rsidRDefault="006E03FC" w:rsidP="006E03FC">
      <w:pPr>
        <w:pStyle w:val="EndnoteText"/>
      </w:pPr>
      <w:r w:rsidRPr="00197E75">
        <w:rPr>
          <w:rStyle w:val="EndnoteReference"/>
          <w:i/>
          <w:iCs/>
        </w:rPr>
        <w:endnoteRef/>
      </w:r>
      <w:r w:rsidRPr="00197E75">
        <w:rPr>
          <w:i/>
          <w:iCs/>
        </w:rPr>
        <w:t xml:space="preserve"> R. v. Stinchcombe</w:t>
      </w:r>
      <w:r>
        <w:t xml:space="preserve"> (</w:t>
      </w:r>
      <w:r w:rsidRPr="00981CE4">
        <w:t>1991 CanLII 45 (SCC)</w:t>
      </w:r>
      <w:r>
        <w:t>).</w:t>
      </w:r>
    </w:p>
  </w:endnote>
  <w:endnote w:id="163">
    <w:p w14:paraId="3ADFCB86" w14:textId="77777777" w:rsidR="006E03FC" w:rsidRDefault="006E03FC" w:rsidP="006E03FC">
      <w:pPr>
        <w:pStyle w:val="EndnoteText"/>
      </w:pPr>
      <w:r>
        <w:rPr>
          <w:rStyle w:val="EndnoteReference"/>
        </w:rPr>
        <w:endnoteRef/>
      </w:r>
      <w:r>
        <w:t xml:space="preserve"> </w:t>
      </w:r>
      <w:r w:rsidRPr="00197E75">
        <w:rPr>
          <w:i/>
          <w:iCs/>
        </w:rPr>
        <w:t>R. v. Gubbins</w:t>
      </w:r>
      <w:r>
        <w:t xml:space="preserve"> (</w:t>
      </w:r>
      <w:r w:rsidRPr="00981CE4">
        <w:t>2018 SCC 44</w:t>
      </w:r>
      <w:r>
        <w:t xml:space="preserve">) at paras. </w:t>
      </w:r>
      <w:r w:rsidRPr="00981CE4">
        <w:t>18</w:t>
      </w:r>
      <w:r>
        <w:t xml:space="preserve"> and </w:t>
      </w:r>
      <w:r w:rsidRPr="00981CE4">
        <w:t>22</w:t>
      </w:r>
      <w:r>
        <w:t xml:space="preserve">, citing </w:t>
      </w:r>
      <w:r w:rsidRPr="00197E75">
        <w:rPr>
          <w:i/>
          <w:iCs/>
        </w:rPr>
        <w:t>R. v. Stinchcombe</w:t>
      </w:r>
      <w:r>
        <w:t xml:space="preserve"> (</w:t>
      </w:r>
      <w:r w:rsidRPr="00981CE4">
        <w:t>1991 CanLII 45 (SCC)</w:t>
      </w:r>
      <w:r>
        <w:t>).</w:t>
      </w:r>
    </w:p>
  </w:endnote>
  <w:endnote w:id="164">
    <w:p w14:paraId="368F9E9C" w14:textId="77777777" w:rsidR="006E03FC" w:rsidRDefault="006E03FC" w:rsidP="006E03FC">
      <w:pPr>
        <w:pStyle w:val="EndnoteText"/>
      </w:pPr>
      <w:r>
        <w:rPr>
          <w:rStyle w:val="EndnoteReference"/>
        </w:rPr>
        <w:endnoteRef/>
      </w:r>
      <w:r>
        <w:t xml:space="preserve"> </w:t>
      </w:r>
      <w:r w:rsidRPr="00197E75">
        <w:rPr>
          <w:i/>
          <w:iCs/>
        </w:rPr>
        <w:t>R. v. Gubbins</w:t>
      </w:r>
      <w:r>
        <w:t xml:space="preserve"> (</w:t>
      </w:r>
      <w:r w:rsidRPr="00981CE4">
        <w:t>2018 SCC 44</w:t>
      </w:r>
      <w:r>
        <w:t xml:space="preserve">) at para. </w:t>
      </w:r>
      <w:r w:rsidRPr="00981CE4">
        <w:t>19</w:t>
      </w:r>
      <w:r>
        <w:t>.</w:t>
      </w:r>
    </w:p>
  </w:endnote>
  <w:endnote w:id="165">
    <w:p w14:paraId="3EC492B9" w14:textId="77777777" w:rsidR="006E03FC" w:rsidRDefault="006E03FC" w:rsidP="006E03FC">
      <w:pPr>
        <w:pStyle w:val="EndnoteText"/>
      </w:pPr>
      <w:r>
        <w:rPr>
          <w:rStyle w:val="EndnoteReference"/>
        </w:rPr>
        <w:endnoteRef/>
      </w:r>
      <w:r>
        <w:t xml:space="preserve"> </w:t>
      </w:r>
      <w:r w:rsidRPr="00197E75">
        <w:rPr>
          <w:i/>
          <w:iCs/>
        </w:rPr>
        <w:t>R. v. Gubbins</w:t>
      </w:r>
      <w:r>
        <w:t xml:space="preserve"> (</w:t>
      </w:r>
      <w:r w:rsidRPr="00981CE4">
        <w:t>2018 SCC 44</w:t>
      </w:r>
      <w:r>
        <w:t xml:space="preserve">) at para. </w:t>
      </w:r>
      <w:r w:rsidRPr="00981CE4">
        <w:t>21</w:t>
      </w:r>
      <w:r>
        <w:t>, which notes: “The Crown has a duty to make reasonable inquiries when put on notice of material in the hands of police or other Crown entities that is potentially relevant.”</w:t>
      </w:r>
    </w:p>
  </w:endnote>
  <w:endnote w:id="166">
    <w:p w14:paraId="163DAB0F" w14:textId="77777777" w:rsidR="006E03FC" w:rsidRPr="00FD47D1" w:rsidRDefault="006E03FC" w:rsidP="006E03FC">
      <w:pPr>
        <w:pStyle w:val="EndnoteText"/>
      </w:pPr>
      <w:r>
        <w:rPr>
          <w:rStyle w:val="EndnoteReference"/>
        </w:rPr>
        <w:endnoteRef/>
      </w:r>
      <w:r>
        <w:t xml:space="preserve"> </w:t>
      </w:r>
      <w:r>
        <w:rPr>
          <w:i/>
          <w:iCs/>
        </w:rPr>
        <w:t xml:space="preserve">R. v. McNeil </w:t>
      </w:r>
      <w:r w:rsidRPr="00981CE4">
        <w:t>(2009 SCC 3</w:t>
      </w:r>
      <w:r>
        <w:t xml:space="preserve">) at paras. </w:t>
      </w:r>
      <w:r w:rsidRPr="00981CE4">
        <w:t>26-35</w:t>
      </w:r>
      <w:r>
        <w:t xml:space="preserve">; </w:t>
      </w:r>
      <w:r w:rsidRPr="00197E75">
        <w:rPr>
          <w:i/>
          <w:iCs/>
        </w:rPr>
        <w:t>R. v. Gubbins</w:t>
      </w:r>
      <w:r>
        <w:t xml:space="preserve"> (</w:t>
      </w:r>
      <w:r w:rsidRPr="00981CE4">
        <w:t>2018 SCC 44</w:t>
      </w:r>
      <w:r>
        <w:t xml:space="preserve">) at paras. </w:t>
      </w:r>
      <w:r w:rsidRPr="00981CE4">
        <w:t>25-29</w:t>
      </w:r>
      <w:r>
        <w:t>.</w:t>
      </w:r>
    </w:p>
  </w:endnote>
  <w:endnote w:id="167">
    <w:p w14:paraId="56D82ED9" w14:textId="77777777" w:rsidR="006E03FC" w:rsidRPr="0009449D" w:rsidRDefault="006E03FC" w:rsidP="006E03FC">
      <w:pPr>
        <w:pStyle w:val="EndnoteText"/>
      </w:pPr>
      <w:r>
        <w:rPr>
          <w:rStyle w:val="EndnoteReference"/>
        </w:rPr>
        <w:endnoteRef/>
      </w:r>
      <w:r>
        <w:t xml:space="preserve"> See CBCNews, “Toronto Police Used </w:t>
      </w:r>
      <w:r w:rsidRPr="0009449D">
        <w:rPr>
          <w:i/>
          <w:iCs/>
        </w:rPr>
        <w:t>Clearview AI</w:t>
      </w:r>
      <w:r>
        <w:rPr>
          <w:i/>
          <w:iCs/>
        </w:rPr>
        <w:t xml:space="preserve"> </w:t>
      </w:r>
      <w:r>
        <w:t xml:space="preserve">facial recognition software in 84 Investigations” (December 23, 2021), online: </w:t>
      </w:r>
      <w:hyperlink r:id="rId102" w:history="1">
        <w:r w:rsidRPr="00BA2446">
          <w:rPr>
            <w:rStyle w:val="Hyperlink"/>
          </w:rPr>
          <w:t>https://www.cbc.ca/news/canada/toronto/toronto-police-report-clearview-ai-1.6295295</w:t>
        </w:r>
      </w:hyperlink>
      <w:r>
        <w:t xml:space="preserve">. </w:t>
      </w:r>
    </w:p>
  </w:endnote>
  <w:endnote w:id="168">
    <w:p w14:paraId="3E8A10DA" w14:textId="77777777" w:rsidR="006E03FC" w:rsidRDefault="006E03FC" w:rsidP="006E03FC">
      <w:pPr>
        <w:pStyle w:val="EndnoteText"/>
      </w:pPr>
      <w:r>
        <w:rPr>
          <w:rStyle w:val="EndnoteReference"/>
        </w:rPr>
        <w:endnoteRef/>
      </w:r>
      <w:r>
        <w:t xml:space="preserve"> </w:t>
      </w:r>
      <w:r w:rsidRPr="002112D9">
        <w:rPr>
          <w:rFonts w:ascii="Calibri" w:hAnsi="Calibri" w:cs="Calibri"/>
          <w:i/>
          <w:iCs/>
        </w:rPr>
        <w:t>R</w:t>
      </w:r>
      <w:r>
        <w:rPr>
          <w:rFonts w:ascii="Calibri" w:hAnsi="Calibri" w:cs="Calibri"/>
          <w:i/>
          <w:iCs/>
        </w:rPr>
        <w:t>.</w:t>
      </w:r>
      <w:r w:rsidRPr="002112D9">
        <w:rPr>
          <w:rFonts w:ascii="Calibri" w:hAnsi="Calibri" w:cs="Calibri"/>
          <w:i/>
          <w:iCs/>
        </w:rPr>
        <w:t xml:space="preserve"> c</w:t>
      </w:r>
      <w:r>
        <w:rPr>
          <w:rFonts w:ascii="Calibri" w:hAnsi="Calibri" w:cs="Calibri"/>
          <w:i/>
          <w:iCs/>
        </w:rPr>
        <w:t>.</w:t>
      </w:r>
      <w:r w:rsidRPr="002112D9">
        <w:rPr>
          <w:rFonts w:ascii="Calibri" w:hAnsi="Calibri" w:cs="Calibri"/>
          <w:i/>
          <w:iCs/>
        </w:rPr>
        <w:t xml:space="preserve"> Mirarchi</w:t>
      </w:r>
      <w:r w:rsidRPr="002112D9">
        <w:rPr>
          <w:rFonts w:ascii="Calibri" w:hAnsi="Calibri" w:cs="Calibri"/>
        </w:rPr>
        <w:t xml:space="preserve"> </w:t>
      </w:r>
      <w:r>
        <w:rPr>
          <w:rFonts w:ascii="Calibri" w:hAnsi="Calibri" w:cs="Calibri"/>
        </w:rPr>
        <w:t>(</w:t>
      </w:r>
      <w:r w:rsidRPr="00981CE4">
        <w:rPr>
          <w:rFonts w:ascii="Calibri" w:hAnsi="Calibri" w:cs="Calibri"/>
        </w:rPr>
        <w:t>2015 QCCS 6628</w:t>
      </w:r>
      <w:r>
        <w:rPr>
          <w:rFonts w:ascii="Calibri" w:hAnsi="Calibri" w:cs="Calibri"/>
        </w:rPr>
        <w:t>).</w:t>
      </w:r>
    </w:p>
  </w:endnote>
  <w:endnote w:id="169">
    <w:p w14:paraId="51B542C0" w14:textId="77777777" w:rsidR="006E03FC" w:rsidRDefault="006E03FC" w:rsidP="006E03FC">
      <w:pPr>
        <w:pStyle w:val="EndnoteText"/>
      </w:pPr>
      <w:r>
        <w:rPr>
          <w:rStyle w:val="EndnoteReference"/>
        </w:rPr>
        <w:endnoteRef/>
      </w:r>
      <w:r>
        <w:t xml:space="preserve"> See </w:t>
      </w:r>
      <w:r w:rsidRPr="00847444">
        <w:rPr>
          <w:rFonts w:ascii="Calibri" w:hAnsi="Calibri" w:cs="Calibri"/>
        </w:rPr>
        <w:t>ProPublica</w:t>
      </w:r>
      <w:r>
        <w:rPr>
          <w:rFonts w:ascii="Calibri" w:hAnsi="Calibri" w:cs="Calibri"/>
        </w:rPr>
        <w:t>,</w:t>
      </w:r>
      <w:r w:rsidRPr="00847444">
        <w:rPr>
          <w:rFonts w:ascii="Calibri" w:hAnsi="Calibri" w:cs="Calibri"/>
        </w:rPr>
        <w:t xml:space="preserve"> “Federal Judge Unseals New York Crime Lab’s Software for Analyzing DNA Evidence”</w:t>
      </w:r>
      <w:r>
        <w:rPr>
          <w:rFonts w:ascii="Calibri" w:hAnsi="Calibri" w:cs="Calibri"/>
        </w:rPr>
        <w:t xml:space="preserve"> (October 20, 2017), online: </w:t>
      </w:r>
      <w:hyperlink r:id="rId103" w:history="1">
        <w:r w:rsidRPr="00BA2446">
          <w:rPr>
            <w:rStyle w:val="Hyperlink"/>
            <w:rFonts w:ascii="Calibri" w:hAnsi="Calibri" w:cs="Calibri"/>
          </w:rPr>
          <w:t>https://www.propublica.org/article/federal-judge-unseals-new-york-crime-labs-software-for-analyzing-dna-evidence</w:t>
        </w:r>
      </w:hyperlink>
      <w:r>
        <w:rPr>
          <w:rFonts w:ascii="Calibri" w:hAnsi="Calibri" w:cs="Calibri"/>
        </w:rPr>
        <w:t>. S</w:t>
      </w:r>
      <w:r w:rsidRPr="00847444">
        <w:rPr>
          <w:rFonts w:ascii="Calibri" w:hAnsi="Calibri" w:cs="Calibri"/>
        </w:rPr>
        <w:t xml:space="preserve">ee </w:t>
      </w:r>
      <w:r>
        <w:rPr>
          <w:rFonts w:ascii="Calibri" w:hAnsi="Calibri" w:cs="Calibri"/>
        </w:rPr>
        <w:t>also “</w:t>
      </w:r>
      <w:r w:rsidRPr="00847444">
        <w:rPr>
          <w:rFonts w:ascii="Calibri" w:hAnsi="Calibri" w:cs="Calibri"/>
        </w:rPr>
        <w:t>Memorandum in Support of Application by ProPublica for Leave to Intervene</w:t>
      </w:r>
      <w:r>
        <w:rPr>
          <w:rFonts w:ascii="Calibri" w:hAnsi="Calibri" w:cs="Calibri"/>
        </w:rPr>
        <w:t>” in</w:t>
      </w:r>
      <w:r w:rsidRPr="00847444">
        <w:rPr>
          <w:rFonts w:ascii="Calibri" w:hAnsi="Calibri" w:cs="Calibri"/>
        </w:rPr>
        <w:t xml:space="preserve"> </w:t>
      </w:r>
      <w:r w:rsidRPr="00847444">
        <w:rPr>
          <w:rFonts w:ascii="Calibri" w:hAnsi="Calibri" w:cs="Calibri"/>
          <w:i/>
          <w:iCs/>
        </w:rPr>
        <w:t>United States of America v. Kevin Johnson</w:t>
      </w:r>
      <w:r>
        <w:rPr>
          <w:rFonts w:ascii="Calibri" w:hAnsi="Calibri" w:cs="Calibri"/>
        </w:rPr>
        <w:t xml:space="preserve"> (September 25, 2017), online: </w:t>
      </w:r>
      <w:hyperlink r:id="rId104" w:history="1">
        <w:r w:rsidRPr="00BA2446">
          <w:rPr>
            <w:rStyle w:val="Hyperlink"/>
            <w:rFonts w:ascii="Calibri" w:hAnsi="Calibri" w:cs="Calibri"/>
          </w:rPr>
          <w:t>https://law.yale.edu/sites/default/files/area/clinic/document/139._memorandum_of_law.pdf</w:t>
        </w:r>
      </w:hyperlink>
      <w:r>
        <w:rPr>
          <w:rFonts w:ascii="Calibri" w:hAnsi="Calibri" w:cs="Calibri"/>
        </w:rPr>
        <w:t>.</w:t>
      </w:r>
    </w:p>
  </w:endnote>
  <w:endnote w:id="170">
    <w:p w14:paraId="51012EC1" w14:textId="77777777" w:rsidR="006E03FC" w:rsidRDefault="006E03FC" w:rsidP="006E03FC">
      <w:pPr>
        <w:pStyle w:val="EndnoteText"/>
      </w:pPr>
      <w:r>
        <w:rPr>
          <w:rStyle w:val="EndnoteReference"/>
        </w:rPr>
        <w:endnoteRef/>
      </w:r>
      <w:r>
        <w:t xml:space="preserve"> </w:t>
      </w:r>
      <w:r w:rsidRPr="00462FE3">
        <w:rPr>
          <w:i/>
          <w:iCs/>
        </w:rPr>
        <w:t>R. v. Mohan</w:t>
      </w:r>
      <w:r>
        <w:t xml:space="preserve"> (</w:t>
      </w:r>
      <w:r w:rsidRPr="00981CE4">
        <w:t>1994 CanLII 80 (SCC)</w:t>
      </w:r>
      <w:r>
        <w:t xml:space="preserve">). </w:t>
      </w:r>
      <w:r w:rsidRPr="00462FE3">
        <w:t>See also</w:t>
      </w:r>
      <w:r>
        <w:t xml:space="preserve">: </w:t>
      </w:r>
      <w:r w:rsidRPr="00462FE3">
        <w:rPr>
          <w:i/>
          <w:iCs/>
        </w:rPr>
        <w:t>R. v. J.-L.J.</w:t>
      </w:r>
      <w:r>
        <w:t xml:space="preserve"> (</w:t>
      </w:r>
      <w:r w:rsidRPr="00981CE4">
        <w:t>2000 SCC 51</w:t>
      </w:r>
      <w:r>
        <w:t>)</w:t>
      </w:r>
      <w:r w:rsidRPr="00462FE3">
        <w:t xml:space="preserve"> at paras.</w:t>
      </w:r>
      <w:r>
        <w:t xml:space="preserve"> </w:t>
      </w:r>
      <w:r w:rsidRPr="00981CE4">
        <w:t>25-26</w:t>
      </w:r>
      <w:r w:rsidRPr="00462FE3">
        <w:t>;</w:t>
      </w:r>
      <w:r>
        <w:t xml:space="preserve"> </w:t>
      </w:r>
      <w:r w:rsidRPr="00462FE3">
        <w:rPr>
          <w:i/>
          <w:iCs/>
        </w:rPr>
        <w:t>R. v. Sekhon</w:t>
      </w:r>
      <w:r>
        <w:t xml:space="preserve"> (</w:t>
      </w:r>
      <w:r w:rsidRPr="00981CE4">
        <w:t>2014 SCC 15</w:t>
      </w:r>
      <w:r>
        <w:t>)</w:t>
      </w:r>
      <w:r w:rsidRPr="00462FE3">
        <w:t xml:space="preserve"> at para.</w:t>
      </w:r>
      <w:r>
        <w:t xml:space="preserve"> </w:t>
      </w:r>
      <w:r w:rsidRPr="00981CE4">
        <w:t>46</w:t>
      </w:r>
      <w:r w:rsidRPr="00462FE3">
        <w:t>.</w:t>
      </w:r>
    </w:p>
  </w:endnote>
  <w:endnote w:id="171">
    <w:p w14:paraId="356B7E80" w14:textId="77777777" w:rsidR="006E03FC" w:rsidRPr="00B01B8E" w:rsidRDefault="006E03FC" w:rsidP="006E03FC">
      <w:pPr>
        <w:pStyle w:val="EndnoteText"/>
        <w:rPr>
          <w:i/>
          <w:iCs/>
        </w:rPr>
      </w:pPr>
      <w:r>
        <w:rPr>
          <w:rStyle w:val="EndnoteReference"/>
        </w:rPr>
        <w:endnoteRef/>
      </w:r>
      <w:r>
        <w:t xml:space="preserve"> </w:t>
      </w:r>
      <w:r w:rsidRPr="00B01B8E">
        <w:rPr>
          <w:i/>
          <w:iCs/>
        </w:rPr>
        <w:t>White Burgess Langille Inman v. Abbott and Haliburton Co.</w:t>
      </w:r>
      <w:r>
        <w:rPr>
          <w:i/>
          <w:iCs/>
        </w:rPr>
        <w:t xml:space="preserve"> </w:t>
      </w:r>
      <w:r w:rsidRPr="00981CE4">
        <w:t>(2015 SCC 23</w:t>
      </w:r>
      <w:r>
        <w:t xml:space="preserve">) at paras. </w:t>
      </w:r>
      <w:r w:rsidRPr="00981CE4">
        <w:t>16-25</w:t>
      </w:r>
      <w:r>
        <w:t xml:space="preserve">. See also: </w:t>
      </w:r>
      <w:r w:rsidRPr="00904021">
        <w:rPr>
          <w:i/>
          <w:iCs/>
        </w:rPr>
        <w:t>R. v. Abbey</w:t>
      </w:r>
      <w:r>
        <w:t xml:space="preserve"> (</w:t>
      </w:r>
      <w:r w:rsidRPr="00981CE4">
        <w:t>2009 ONCA 624</w:t>
      </w:r>
      <w:r>
        <w:t>).</w:t>
      </w:r>
    </w:p>
  </w:endnote>
  <w:endnote w:id="172">
    <w:p w14:paraId="77E0CCEA" w14:textId="77777777" w:rsidR="006E03FC" w:rsidRPr="004C6117" w:rsidRDefault="006E03FC" w:rsidP="006E03FC">
      <w:pPr>
        <w:pStyle w:val="EndnoteText"/>
      </w:pPr>
      <w:r>
        <w:rPr>
          <w:rStyle w:val="EndnoteReference"/>
        </w:rPr>
        <w:endnoteRef/>
      </w:r>
      <w:r>
        <w:t xml:space="preserve"> </w:t>
      </w:r>
      <w:r>
        <w:rPr>
          <w:i/>
          <w:iCs/>
        </w:rPr>
        <w:t>Criminal Code</w:t>
      </w:r>
      <w:r>
        <w:t xml:space="preserve">, section </w:t>
      </w:r>
      <w:r w:rsidRPr="00981CE4">
        <w:t>320.32(1)</w:t>
      </w:r>
      <w:r>
        <w:t>.</w:t>
      </w:r>
    </w:p>
  </w:endnote>
  <w:endnote w:id="173">
    <w:p w14:paraId="062213BD" w14:textId="77777777" w:rsidR="006E03FC" w:rsidRPr="004C6117" w:rsidRDefault="006E03FC" w:rsidP="006E03FC">
      <w:pPr>
        <w:pStyle w:val="EndnoteText"/>
      </w:pPr>
      <w:r>
        <w:rPr>
          <w:rStyle w:val="EndnoteReference"/>
        </w:rPr>
        <w:endnoteRef/>
      </w:r>
      <w:r>
        <w:t xml:space="preserve"> </w:t>
      </w:r>
      <w:r>
        <w:rPr>
          <w:i/>
          <w:iCs/>
        </w:rPr>
        <w:t xml:space="preserve">Criminal Code, </w:t>
      </w:r>
      <w:r>
        <w:t xml:space="preserve">section </w:t>
      </w:r>
      <w:r w:rsidRPr="00981CE4">
        <w:t>320.31(1)</w:t>
      </w:r>
      <w:r>
        <w:t>.</w:t>
      </w:r>
    </w:p>
  </w:endnote>
  <w:endnote w:id="174">
    <w:p w14:paraId="645BEE55" w14:textId="03ABB16C" w:rsidR="006E03FC" w:rsidRDefault="006E03FC" w:rsidP="006E03FC">
      <w:pPr>
        <w:pStyle w:val="EndnoteText"/>
      </w:pPr>
      <w:r>
        <w:rPr>
          <w:rStyle w:val="EndnoteReference"/>
        </w:rPr>
        <w:endnoteRef/>
      </w:r>
      <w:r>
        <w:t xml:space="preserve"> </w:t>
      </w:r>
      <w:r w:rsidRPr="00595E80">
        <w:rPr>
          <w:i/>
          <w:iCs/>
        </w:rPr>
        <w:t>R. v. Hamilton</w:t>
      </w:r>
      <w:r w:rsidR="00482058">
        <w:t xml:space="preserve"> (</w:t>
      </w:r>
      <w:r w:rsidRPr="00981CE4">
        <w:t>2011 ONCA 399</w:t>
      </w:r>
      <w:r w:rsidR="00482058">
        <w:t>)</w:t>
      </w:r>
      <w:r>
        <w:t xml:space="preserve"> at paras. </w:t>
      </w:r>
      <w:r w:rsidRPr="00981CE4">
        <w:t>273-284</w:t>
      </w:r>
      <w:r>
        <w:t>.</w:t>
      </w:r>
    </w:p>
  </w:endnote>
  <w:endnote w:id="175">
    <w:p w14:paraId="57DE13B8" w14:textId="75DC1282" w:rsidR="006E03FC" w:rsidRDefault="006E03FC" w:rsidP="006E03FC">
      <w:pPr>
        <w:pStyle w:val="EndnoteText"/>
      </w:pPr>
      <w:r>
        <w:rPr>
          <w:rStyle w:val="EndnoteReference"/>
        </w:rPr>
        <w:endnoteRef/>
      </w:r>
      <w:r>
        <w:t xml:space="preserve"> </w:t>
      </w:r>
      <w:r w:rsidRPr="002567C6">
        <w:rPr>
          <w:i/>
          <w:iCs/>
        </w:rPr>
        <w:t>R. v. Tessling</w:t>
      </w:r>
      <w:r w:rsidR="00482058">
        <w:t xml:space="preserve"> (</w:t>
      </w:r>
      <w:r w:rsidRPr="00482058">
        <w:t>2004 SCC 67</w:t>
      </w:r>
      <w:r w:rsidR="00482058">
        <w:t>)</w:t>
      </w:r>
      <w:r>
        <w:t xml:space="preserve"> at paras. </w:t>
      </w:r>
      <w:r w:rsidRPr="00482058">
        <w:t>12-16</w:t>
      </w:r>
      <w:r>
        <w:t>.</w:t>
      </w:r>
    </w:p>
  </w:endnote>
  <w:endnote w:id="176">
    <w:p w14:paraId="627A7905" w14:textId="5B3E0E06" w:rsidR="00630390" w:rsidRPr="0044654D" w:rsidRDefault="00630390" w:rsidP="001E0D8B">
      <w:pPr>
        <w:pStyle w:val="EndnoteText"/>
        <w:rPr>
          <w:szCs w:val="20"/>
        </w:rPr>
      </w:pPr>
      <w:r w:rsidRPr="0044654D">
        <w:rPr>
          <w:rStyle w:val="EndnoteReference"/>
          <w:szCs w:val="20"/>
        </w:rPr>
        <w:endnoteRef/>
      </w:r>
      <w:r w:rsidRPr="0044654D">
        <w:rPr>
          <w:szCs w:val="20"/>
        </w:rPr>
        <w:t xml:space="preserve"> </w:t>
      </w:r>
      <w:r w:rsidRPr="0044654D">
        <w:rPr>
          <w:i/>
          <w:iCs/>
          <w:szCs w:val="20"/>
        </w:rPr>
        <w:t xml:space="preserve">La Presse </w:t>
      </w:r>
      <w:r w:rsidR="004C6F7B">
        <w:rPr>
          <w:i/>
          <w:iCs/>
          <w:szCs w:val="20"/>
        </w:rPr>
        <w:t>I</w:t>
      </w:r>
      <w:r w:rsidRPr="0044654D">
        <w:rPr>
          <w:i/>
          <w:iCs/>
          <w:szCs w:val="20"/>
        </w:rPr>
        <w:t>nc. v. Quebec</w:t>
      </w:r>
      <w:r w:rsidR="00853BF9">
        <w:rPr>
          <w:szCs w:val="20"/>
        </w:rPr>
        <w:t xml:space="preserve"> (</w:t>
      </w:r>
      <w:r w:rsidRPr="004C6F7B">
        <w:rPr>
          <w:szCs w:val="20"/>
        </w:rPr>
        <w:t>2023 SCC 22</w:t>
      </w:r>
      <w:r w:rsidR="00853BF9">
        <w:rPr>
          <w:szCs w:val="20"/>
        </w:rPr>
        <w:t>)</w:t>
      </w:r>
      <w:r w:rsidRPr="0044654D">
        <w:rPr>
          <w:szCs w:val="20"/>
        </w:rPr>
        <w:t xml:space="preserve"> at para. </w:t>
      </w:r>
      <w:r w:rsidRPr="004C6F7B">
        <w:rPr>
          <w:szCs w:val="20"/>
        </w:rPr>
        <w:t>3</w:t>
      </w:r>
      <w:r w:rsidR="00853BF9">
        <w:rPr>
          <w:szCs w:val="20"/>
        </w:rPr>
        <w:t>3.</w:t>
      </w:r>
    </w:p>
  </w:endnote>
  <w:endnote w:id="177">
    <w:p w14:paraId="0F819BD9" w14:textId="75ED85D4" w:rsidR="00630390" w:rsidRPr="0044654D" w:rsidRDefault="00630390" w:rsidP="001E0D8B">
      <w:pPr>
        <w:pStyle w:val="EndnoteText"/>
        <w:rPr>
          <w:szCs w:val="20"/>
          <w:lang w:val="en-US"/>
        </w:rPr>
      </w:pPr>
      <w:r w:rsidRPr="0044654D">
        <w:rPr>
          <w:rStyle w:val="EndnoteReference"/>
          <w:szCs w:val="20"/>
        </w:rPr>
        <w:endnoteRef/>
      </w:r>
      <w:r w:rsidRPr="0044654D">
        <w:rPr>
          <w:szCs w:val="20"/>
        </w:rPr>
        <w:t xml:space="preserve"> </w:t>
      </w:r>
      <w:r w:rsidR="00853BF9" w:rsidRPr="00A36722">
        <w:rPr>
          <w:szCs w:val="20"/>
        </w:rPr>
        <w:t xml:space="preserve">Jesse Beatson, Gerald Chan, Jill R. Presser </w:t>
      </w:r>
      <w:r w:rsidR="00853BF9">
        <w:rPr>
          <w:szCs w:val="20"/>
        </w:rPr>
        <w:t xml:space="preserve">(eds.), </w:t>
      </w:r>
      <w:r w:rsidR="00853BF9" w:rsidRPr="00A36722">
        <w:rPr>
          <w:i/>
          <w:szCs w:val="20"/>
        </w:rPr>
        <w:t>Litigating Artificial Intelligence</w:t>
      </w:r>
      <w:r w:rsidR="00853BF9">
        <w:rPr>
          <w:i/>
          <w:szCs w:val="20"/>
        </w:rPr>
        <w:t xml:space="preserve"> </w:t>
      </w:r>
      <w:r w:rsidR="00853BF9">
        <w:rPr>
          <w:iCs/>
          <w:szCs w:val="20"/>
        </w:rPr>
        <w:t xml:space="preserve">(Toronto: Emond, May 2020) </w:t>
      </w:r>
      <w:r w:rsidRPr="0044654D">
        <w:rPr>
          <w:szCs w:val="20"/>
          <w:lang w:val="en-US"/>
        </w:rPr>
        <w:t>at p. 248-250</w:t>
      </w:r>
      <w:r w:rsidR="00853BF9">
        <w:rPr>
          <w:szCs w:val="20"/>
          <w:lang w:val="en-US"/>
        </w:rPr>
        <w:t xml:space="preserve">. </w:t>
      </w:r>
    </w:p>
  </w:endnote>
  <w:endnote w:id="178">
    <w:p w14:paraId="5F9DBD2B" w14:textId="77777777" w:rsidR="001C7104" w:rsidRPr="0044654D" w:rsidRDefault="001C7104" w:rsidP="001C7104">
      <w:pPr>
        <w:pStyle w:val="EndnoteText"/>
        <w:rPr>
          <w:szCs w:val="20"/>
          <w:lang w:val="en-US"/>
        </w:rPr>
      </w:pPr>
      <w:r w:rsidRPr="0044654D">
        <w:rPr>
          <w:rStyle w:val="EndnoteReference"/>
          <w:szCs w:val="20"/>
        </w:rPr>
        <w:endnoteRef/>
      </w:r>
      <w:r w:rsidRPr="0044654D">
        <w:rPr>
          <w:szCs w:val="20"/>
        </w:rPr>
        <w:t xml:space="preserve"> </w:t>
      </w:r>
      <w:r w:rsidRPr="00A36722">
        <w:rPr>
          <w:szCs w:val="20"/>
        </w:rPr>
        <w:t xml:space="preserve">Jesse Beatson, Gerald Chan, Jill R. Presser </w:t>
      </w:r>
      <w:r>
        <w:rPr>
          <w:szCs w:val="20"/>
        </w:rPr>
        <w:t xml:space="preserve">(eds.), </w:t>
      </w:r>
      <w:r w:rsidRPr="00A36722">
        <w:rPr>
          <w:i/>
          <w:szCs w:val="20"/>
        </w:rPr>
        <w:t>Litigating Artificial Intelligence</w:t>
      </w:r>
      <w:r>
        <w:rPr>
          <w:i/>
          <w:szCs w:val="20"/>
        </w:rPr>
        <w:t xml:space="preserve"> </w:t>
      </w:r>
      <w:r>
        <w:rPr>
          <w:iCs/>
          <w:szCs w:val="20"/>
        </w:rPr>
        <w:t xml:space="preserve">(Toronto: Emond, May 2020) at </w:t>
      </w:r>
      <w:r w:rsidRPr="0044654D">
        <w:rPr>
          <w:szCs w:val="20"/>
          <w:lang w:val="en-US"/>
        </w:rPr>
        <w:t>p.</w:t>
      </w:r>
      <w:r>
        <w:rPr>
          <w:szCs w:val="20"/>
          <w:lang w:val="en-US"/>
        </w:rPr>
        <w:t xml:space="preserve"> </w:t>
      </w:r>
      <w:r w:rsidRPr="0044654D">
        <w:rPr>
          <w:szCs w:val="20"/>
          <w:lang w:val="en-US"/>
        </w:rPr>
        <w:t>249</w:t>
      </w:r>
      <w:r>
        <w:rPr>
          <w:szCs w:val="20"/>
          <w:lang w:val="en-US"/>
        </w:rPr>
        <w:t>,</w:t>
      </w:r>
      <w:r w:rsidRPr="0044654D">
        <w:rPr>
          <w:szCs w:val="20"/>
          <w:lang w:val="en-US"/>
        </w:rPr>
        <w:t xml:space="preserve"> citing </w:t>
      </w:r>
      <w:r w:rsidRPr="0044654D">
        <w:rPr>
          <w:color w:val="000000"/>
          <w:szCs w:val="20"/>
          <w:shd w:val="clear" w:color="auto" w:fill="FFFFFF"/>
        </w:rPr>
        <w:t xml:space="preserve">Sarah Valentine, “Impoverished Algorithms: Misguided Governments, Flawed Technologies, and Social Control” </w:t>
      </w:r>
      <w:r>
        <w:rPr>
          <w:color w:val="000000"/>
          <w:szCs w:val="20"/>
          <w:shd w:val="clear" w:color="auto" w:fill="FFFFFF"/>
        </w:rPr>
        <w:t>(</w:t>
      </w:r>
      <w:r w:rsidRPr="0044654D">
        <w:rPr>
          <w:color w:val="000000"/>
          <w:szCs w:val="20"/>
          <w:shd w:val="clear" w:color="auto" w:fill="FFFFFF"/>
        </w:rPr>
        <w:t>46 Fordham Urb LJ 364</w:t>
      </w:r>
      <w:r>
        <w:rPr>
          <w:color w:val="000000"/>
          <w:szCs w:val="20"/>
          <w:shd w:val="clear" w:color="auto" w:fill="FFFFFF"/>
        </w:rPr>
        <w:t xml:space="preserve"> (2019))</w:t>
      </w:r>
      <w:r w:rsidRPr="0044654D">
        <w:rPr>
          <w:color w:val="000000"/>
          <w:szCs w:val="20"/>
          <w:shd w:val="clear" w:color="auto" w:fill="FFFFFF"/>
        </w:rPr>
        <w:t xml:space="preserve"> at </w:t>
      </w:r>
      <w:r>
        <w:rPr>
          <w:color w:val="000000"/>
          <w:szCs w:val="20"/>
          <w:shd w:val="clear" w:color="auto" w:fill="FFFFFF"/>
        </w:rPr>
        <w:t xml:space="preserve">p. </w:t>
      </w:r>
      <w:r w:rsidRPr="0044654D">
        <w:rPr>
          <w:color w:val="000000"/>
          <w:szCs w:val="20"/>
          <w:shd w:val="clear" w:color="auto" w:fill="FFFFFF"/>
        </w:rPr>
        <w:t>393, 408</w:t>
      </w:r>
      <w:r>
        <w:rPr>
          <w:color w:val="000000"/>
          <w:szCs w:val="20"/>
          <w:shd w:val="clear" w:color="auto" w:fill="FFFFFF"/>
        </w:rPr>
        <w:t xml:space="preserve">, </w:t>
      </w:r>
      <w:r w:rsidRPr="0044654D">
        <w:rPr>
          <w:color w:val="000000"/>
          <w:szCs w:val="20"/>
          <w:shd w:val="clear" w:color="auto" w:fill="FFFFFF"/>
        </w:rPr>
        <w:t xml:space="preserve"> online:</w:t>
      </w:r>
      <w:r>
        <w:t xml:space="preserve"> </w:t>
      </w:r>
      <w:hyperlink r:id="rId105" w:history="1">
        <w:r w:rsidRPr="00F9124D">
          <w:rPr>
            <w:rStyle w:val="Hyperlink"/>
          </w:rPr>
          <w:t>https://papers.ssrn.com/sol3/papers.cfm?abstract_id=3374005</w:t>
        </w:r>
      </w:hyperlink>
      <w:r>
        <w:t xml:space="preserve">. </w:t>
      </w:r>
    </w:p>
  </w:endnote>
  <w:endnote w:id="179">
    <w:p w14:paraId="77FE7305" w14:textId="17AB6BCD" w:rsidR="00630390" w:rsidRPr="0044654D" w:rsidRDefault="00630390" w:rsidP="001E0D8B">
      <w:pPr>
        <w:pStyle w:val="EndnoteText"/>
        <w:rPr>
          <w:szCs w:val="20"/>
          <w:lang w:val="en-US"/>
        </w:rPr>
      </w:pPr>
      <w:r w:rsidRPr="0044654D">
        <w:rPr>
          <w:rStyle w:val="EndnoteReference"/>
          <w:szCs w:val="20"/>
        </w:rPr>
        <w:endnoteRef/>
      </w:r>
      <w:r w:rsidRPr="0044654D">
        <w:rPr>
          <w:szCs w:val="20"/>
        </w:rPr>
        <w:t xml:space="preserve"> </w:t>
      </w:r>
      <w:r w:rsidR="00554174" w:rsidRPr="0044654D">
        <w:rPr>
          <w:szCs w:val="20"/>
        </w:rPr>
        <w:t xml:space="preserve">Law Commission of Ontario, </w:t>
      </w:r>
      <w:r w:rsidR="00554174" w:rsidRPr="0044654D">
        <w:rPr>
          <w:i/>
          <w:iCs/>
          <w:szCs w:val="20"/>
          <w:lang w:val="en-US"/>
        </w:rPr>
        <w:t>Regulating AI: Critical Issues and Choices</w:t>
      </w:r>
      <w:r w:rsidR="00554174" w:rsidRPr="0044654D">
        <w:rPr>
          <w:szCs w:val="20"/>
          <w:lang w:val="en-US"/>
        </w:rPr>
        <w:t xml:space="preserve"> (Toronto: LCO, 2021) at </w:t>
      </w:r>
      <w:r w:rsidR="00554174">
        <w:rPr>
          <w:szCs w:val="20"/>
          <w:lang w:val="en-US"/>
        </w:rPr>
        <w:t xml:space="preserve">7, online: </w:t>
      </w:r>
      <w:hyperlink r:id="rId106" w:history="1">
        <w:r w:rsidR="00554174" w:rsidRPr="00F9124D">
          <w:rPr>
            <w:rStyle w:val="Hyperlink"/>
            <w:szCs w:val="20"/>
            <w:lang w:val="en-US"/>
          </w:rPr>
          <w:t>https://www.lco-cdo.org/en/our-current-projects/ai-adm-and-the-justice-system/regulating-ai-critical-issues-and-choices/</w:t>
        </w:r>
      </w:hyperlink>
      <w:r w:rsidR="00554174">
        <w:rPr>
          <w:szCs w:val="20"/>
          <w:lang w:val="en-US"/>
        </w:rPr>
        <w:t>.</w:t>
      </w:r>
    </w:p>
  </w:endnote>
  <w:endnote w:id="180">
    <w:p w14:paraId="778F7B67" w14:textId="576D888E" w:rsidR="00630390" w:rsidRPr="0044654D" w:rsidRDefault="00630390" w:rsidP="001E0D8B">
      <w:pPr>
        <w:pStyle w:val="EndnoteText"/>
        <w:rPr>
          <w:szCs w:val="20"/>
          <w:lang w:val="en-US"/>
        </w:rPr>
      </w:pPr>
      <w:r w:rsidRPr="0044654D">
        <w:rPr>
          <w:rStyle w:val="EndnoteReference"/>
          <w:szCs w:val="20"/>
        </w:rPr>
        <w:endnoteRef/>
      </w:r>
      <w:r w:rsidRPr="0044654D">
        <w:rPr>
          <w:szCs w:val="20"/>
        </w:rPr>
        <w:t xml:space="preserve"> </w:t>
      </w:r>
      <w:r w:rsidR="00554174" w:rsidRPr="00A36722">
        <w:rPr>
          <w:szCs w:val="20"/>
        </w:rPr>
        <w:t xml:space="preserve">Jesse Beatson, Gerald Chan, Jill R. Presser </w:t>
      </w:r>
      <w:r w:rsidR="00554174">
        <w:rPr>
          <w:szCs w:val="20"/>
        </w:rPr>
        <w:t xml:space="preserve">(eds.), </w:t>
      </w:r>
      <w:r w:rsidR="00554174" w:rsidRPr="00A36722">
        <w:rPr>
          <w:i/>
          <w:szCs w:val="20"/>
        </w:rPr>
        <w:t>Litigating Artificial Intelligence</w:t>
      </w:r>
      <w:r w:rsidR="00554174">
        <w:rPr>
          <w:i/>
          <w:szCs w:val="20"/>
        </w:rPr>
        <w:t xml:space="preserve"> </w:t>
      </w:r>
      <w:r w:rsidR="00554174">
        <w:rPr>
          <w:iCs/>
          <w:szCs w:val="20"/>
        </w:rPr>
        <w:t xml:space="preserve">(Toronto: Emond, May 2020) </w:t>
      </w:r>
      <w:r w:rsidR="00554174" w:rsidRPr="0044654D">
        <w:rPr>
          <w:szCs w:val="20"/>
          <w:lang w:val="en-US"/>
        </w:rPr>
        <w:t xml:space="preserve">at p. </w:t>
      </w:r>
      <w:r w:rsidR="00554174">
        <w:rPr>
          <w:szCs w:val="20"/>
          <w:lang w:val="en-US"/>
        </w:rPr>
        <w:t>251.</w:t>
      </w:r>
    </w:p>
  </w:endnote>
  <w:endnote w:id="181">
    <w:p w14:paraId="567E1088" w14:textId="091403A1" w:rsidR="00630390" w:rsidRPr="0044654D" w:rsidRDefault="00630390" w:rsidP="001E0D8B">
      <w:pPr>
        <w:pStyle w:val="EndnoteText"/>
        <w:rPr>
          <w:szCs w:val="20"/>
          <w:lang w:val="en-US"/>
        </w:rPr>
      </w:pPr>
      <w:r w:rsidRPr="0044654D">
        <w:rPr>
          <w:rStyle w:val="EndnoteReference"/>
          <w:szCs w:val="20"/>
        </w:rPr>
        <w:endnoteRef/>
      </w:r>
      <w:r w:rsidRPr="0044654D">
        <w:rPr>
          <w:szCs w:val="20"/>
        </w:rPr>
        <w:t xml:space="preserve"> </w:t>
      </w:r>
      <w:r w:rsidR="00554174" w:rsidRPr="00A36722">
        <w:rPr>
          <w:szCs w:val="20"/>
        </w:rPr>
        <w:t xml:space="preserve">Jesse Beatson, Gerald Chan, Jill R. Presser </w:t>
      </w:r>
      <w:r w:rsidR="00554174">
        <w:rPr>
          <w:szCs w:val="20"/>
        </w:rPr>
        <w:t xml:space="preserve">(eds.), </w:t>
      </w:r>
      <w:r w:rsidR="00554174" w:rsidRPr="00A36722">
        <w:rPr>
          <w:i/>
          <w:szCs w:val="20"/>
        </w:rPr>
        <w:t>Litigating Artificial Intelligence</w:t>
      </w:r>
      <w:r w:rsidR="00554174">
        <w:rPr>
          <w:i/>
          <w:szCs w:val="20"/>
        </w:rPr>
        <w:t xml:space="preserve"> </w:t>
      </w:r>
      <w:r w:rsidR="00554174">
        <w:rPr>
          <w:iCs/>
          <w:szCs w:val="20"/>
        </w:rPr>
        <w:t xml:space="preserve">(Toronto: Emond, May 2020) </w:t>
      </w:r>
      <w:r w:rsidR="00554174" w:rsidRPr="0044654D">
        <w:rPr>
          <w:szCs w:val="20"/>
          <w:lang w:val="en-US"/>
        </w:rPr>
        <w:t xml:space="preserve">at p. </w:t>
      </w:r>
      <w:r w:rsidR="00554174">
        <w:rPr>
          <w:szCs w:val="20"/>
          <w:lang w:val="en-US"/>
        </w:rPr>
        <w:t>252.</w:t>
      </w:r>
    </w:p>
  </w:endnote>
  <w:endnote w:id="182">
    <w:p w14:paraId="3D4D23D2" w14:textId="75501D82" w:rsidR="00630390" w:rsidRPr="0044654D" w:rsidRDefault="00630390" w:rsidP="001E0D8B">
      <w:pPr>
        <w:pStyle w:val="EndnoteText"/>
        <w:rPr>
          <w:szCs w:val="20"/>
        </w:rPr>
      </w:pPr>
      <w:r w:rsidRPr="0044654D">
        <w:rPr>
          <w:rStyle w:val="EndnoteReference"/>
          <w:szCs w:val="20"/>
        </w:rPr>
        <w:endnoteRef/>
      </w:r>
      <w:r w:rsidRPr="0044654D">
        <w:rPr>
          <w:szCs w:val="20"/>
        </w:rPr>
        <w:t xml:space="preserve"> </w:t>
      </w:r>
      <w:r w:rsidRPr="0044654D">
        <w:rPr>
          <w:i/>
          <w:iCs/>
          <w:szCs w:val="20"/>
        </w:rPr>
        <w:t>Schenk v</w:t>
      </w:r>
      <w:r w:rsidR="00554174">
        <w:rPr>
          <w:i/>
          <w:iCs/>
          <w:szCs w:val="20"/>
        </w:rPr>
        <w:t>.</w:t>
      </w:r>
      <w:r w:rsidRPr="0044654D">
        <w:rPr>
          <w:i/>
          <w:iCs/>
          <w:szCs w:val="20"/>
        </w:rPr>
        <w:t xml:space="preserve"> Valeant Pharmaceuticals International I</w:t>
      </w:r>
      <w:r w:rsidR="00554174">
        <w:rPr>
          <w:i/>
          <w:iCs/>
          <w:szCs w:val="20"/>
        </w:rPr>
        <w:t xml:space="preserve">nc. </w:t>
      </w:r>
      <w:r w:rsidR="00554174" w:rsidRPr="00554174">
        <w:rPr>
          <w:szCs w:val="20"/>
        </w:rPr>
        <w:t>(</w:t>
      </w:r>
      <w:r w:rsidRPr="0044654D">
        <w:rPr>
          <w:szCs w:val="20"/>
        </w:rPr>
        <w:t>2015 ONSC 3215</w:t>
      </w:r>
      <w:r w:rsidR="00554174">
        <w:rPr>
          <w:szCs w:val="20"/>
        </w:rPr>
        <w:t>)</w:t>
      </w:r>
      <w:r w:rsidRPr="0044654D">
        <w:rPr>
          <w:szCs w:val="20"/>
        </w:rPr>
        <w:t xml:space="preserve"> at para. 8</w:t>
      </w:r>
      <w:r w:rsidR="00554174">
        <w:rPr>
          <w:szCs w:val="20"/>
        </w:rPr>
        <w:t>.</w:t>
      </w:r>
    </w:p>
  </w:endnote>
  <w:endnote w:id="183">
    <w:p w14:paraId="53641724" w14:textId="3CF91D0F" w:rsidR="00630390" w:rsidRPr="0044654D" w:rsidRDefault="00630390" w:rsidP="001E0D8B">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Bayens v</w:t>
      </w:r>
      <w:r w:rsidR="00554174">
        <w:rPr>
          <w:i/>
          <w:iCs/>
          <w:szCs w:val="20"/>
        </w:rPr>
        <w:t>.</w:t>
      </w:r>
      <w:r w:rsidRPr="0044654D">
        <w:rPr>
          <w:i/>
          <w:iCs/>
          <w:szCs w:val="20"/>
        </w:rPr>
        <w:t xml:space="preserve"> Kinross Gold Corporation</w:t>
      </w:r>
      <w:r w:rsidR="00554174">
        <w:rPr>
          <w:szCs w:val="20"/>
        </w:rPr>
        <w:t xml:space="preserve"> (</w:t>
      </w:r>
      <w:r w:rsidRPr="0044654D">
        <w:rPr>
          <w:szCs w:val="20"/>
        </w:rPr>
        <w:t>2013 ONSC 4974</w:t>
      </w:r>
      <w:r w:rsidR="00554174">
        <w:rPr>
          <w:szCs w:val="20"/>
        </w:rPr>
        <w:t>).</w:t>
      </w:r>
    </w:p>
  </w:endnote>
  <w:endnote w:id="184">
    <w:p w14:paraId="41D8907A" w14:textId="6871C540" w:rsidR="00630390" w:rsidRPr="0044654D" w:rsidRDefault="00630390" w:rsidP="001E0D8B">
      <w:pPr>
        <w:pStyle w:val="EndnoteText"/>
        <w:rPr>
          <w:szCs w:val="20"/>
          <w:lang w:val="en-US"/>
        </w:rPr>
      </w:pPr>
      <w:r w:rsidRPr="0044654D">
        <w:rPr>
          <w:rStyle w:val="EndnoteReference"/>
          <w:szCs w:val="20"/>
        </w:rPr>
        <w:endnoteRef/>
      </w:r>
      <w:r w:rsidRPr="0044654D">
        <w:rPr>
          <w:szCs w:val="20"/>
        </w:rPr>
        <w:t xml:space="preserve"> </w:t>
      </w:r>
      <w:r w:rsidR="00554174" w:rsidRPr="0044654D">
        <w:rPr>
          <w:szCs w:val="20"/>
        </w:rPr>
        <w:t xml:space="preserve">Law Commission of Ontario, </w:t>
      </w:r>
      <w:r w:rsidR="00554174" w:rsidRPr="0044654D">
        <w:rPr>
          <w:i/>
          <w:iCs/>
          <w:szCs w:val="20"/>
          <w:lang w:val="en-US"/>
        </w:rPr>
        <w:t>Regulating AI: Critical Issues and Choices</w:t>
      </w:r>
      <w:r w:rsidR="00554174" w:rsidRPr="0044654D">
        <w:rPr>
          <w:szCs w:val="20"/>
          <w:lang w:val="en-US"/>
        </w:rPr>
        <w:t xml:space="preserve"> (Toronto: LCO, 2021) at </w:t>
      </w:r>
      <w:r w:rsidR="00554174">
        <w:rPr>
          <w:szCs w:val="20"/>
          <w:lang w:val="en-US"/>
        </w:rPr>
        <w:t xml:space="preserve">11, online: </w:t>
      </w:r>
      <w:hyperlink r:id="rId107" w:history="1">
        <w:r w:rsidR="00554174" w:rsidRPr="00F9124D">
          <w:rPr>
            <w:rStyle w:val="Hyperlink"/>
            <w:szCs w:val="20"/>
            <w:lang w:val="en-US"/>
          </w:rPr>
          <w:t>https://www.lco-cdo.org/en/our-current-projects/ai-adm-and-the-justice-system/regulating-ai-critical-issues-and-choices/</w:t>
        </w:r>
      </w:hyperlink>
      <w:r w:rsidR="00554174">
        <w:rPr>
          <w:szCs w:val="20"/>
          <w:lang w:val="en-US"/>
        </w:rPr>
        <w:t>.</w:t>
      </w:r>
    </w:p>
  </w:endnote>
  <w:endnote w:id="185">
    <w:p w14:paraId="52C18529" w14:textId="10744C98"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00554174" w:rsidRPr="0044654D">
        <w:rPr>
          <w:szCs w:val="20"/>
          <w:lang w:val="en-US"/>
        </w:rPr>
        <w:t xml:space="preserve">Ontario, </w:t>
      </w:r>
      <w:r w:rsidR="00554174" w:rsidRPr="0044654D">
        <w:rPr>
          <w:i/>
          <w:iCs/>
          <w:szCs w:val="20"/>
          <w:lang w:val="en-US"/>
        </w:rPr>
        <w:t xml:space="preserve">Crown Prosecution Manual </w:t>
      </w:r>
      <w:r w:rsidR="00554174" w:rsidRPr="0044654D">
        <w:rPr>
          <w:szCs w:val="20"/>
          <w:lang w:val="en-US"/>
        </w:rPr>
        <w:t xml:space="preserve">(updated January 24, 2024), </w:t>
      </w:r>
      <w:r w:rsidR="00554174">
        <w:rPr>
          <w:szCs w:val="20"/>
          <w:lang w:val="en-US"/>
        </w:rPr>
        <w:t xml:space="preserve">at s. D.1, </w:t>
      </w:r>
      <w:r w:rsidR="00554174" w:rsidRPr="0044654D">
        <w:rPr>
          <w:szCs w:val="20"/>
          <w:lang w:val="en-US"/>
        </w:rPr>
        <w:t xml:space="preserve">online: </w:t>
      </w:r>
      <w:hyperlink r:id="rId108" w:history="1">
        <w:r w:rsidR="00554174" w:rsidRPr="00F9124D">
          <w:rPr>
            <w:rStyle w:val="Hyperlink"/>
          </w:rPr>
          <w:t>https://www.ontario.ca/document/crown-prosecution-manual/d-1-appeals</w:t>
        </w:r>
      </w:hyperlink>
      <w:r w:rsidR="00554174">
        <w:t xml:space="preserve">. </w:t>
      </w:r>
    </w:p>
  </w:endnote>
  <w:endnote w:id="186">
    <w:p w14:paraId="651E666F" w14:textId="433DC465"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See </w:t>
      </w:r>
      <w:r w:rsidRPr="0044654D">
        <w:rPr>
          <w:i/>
          <w:szCs w:val="20"/>
        </w:rPr>
        <w:t>R</w:t>
      </w:r>
      <w:r w:rsidR="00554174">
        <w:rPr>
          <w:i/>
          <w:szCs w:val="20"/>
        </w:rPr>
        <w:t>.</w:t>
      </w:r>
      <w:r w:rsidRPr="0044654D">
        <w:rPr>
          <w:i/>
          <w:szCs w:val="20"/>
        </w:rPr>
        <w:t xml:space="preserve"> v</w:t>
      </w:r>
      <w:r w:rsidR="00554174">
        <w:rPr>
          <w:i/>
          <w:szCs w:val="20"/>
        </w:rPr>
        <w:t>.</w:t>
      </w:r>
      <w:r w:rsidRPr="0044654D">
        <w:rPr>
          <w:i/>
          <w:szCs w:val="20"/>
        </w:rPr>
        <w:t xml:space="preserve"> Menear</w:t>
      </w:r>
      <w:r w:rsidRPr="0044654D">
        <w:rPr>
          <w:szCs w:val="20"/>
        </w:rPr>
        <w:t xml:space="preserve"> ([2002] OJ no 244 (ONCA)) at para 20; application for extension of time to appeal convictions dismissed (</w:t>
      </w:r>
      <w:r w:rsidRPr="0044654D">
        <w:rPr>
          <w:color w:val="212121"/>
          <w:szCs w:val="20"/>
          <w:shd w:val="clear" w:color="auto" w:fill="FFFFFF"/>
        </w:rPr>
        <w:t>[2002] SCCA no 116)</w:t>
      </w:r>
      <w:r w:rsidRPr="0044654D">
        <w:rPr>
          <w:szCs w:val="20"/>
        </w:rPr>
        <w:t xml:space="preserve">. See also </w:t>
      </w:r>
      <w:r w:rsidRPr="0044654D">
        <w:rPr>
          <w:i/>
          <w:iCs/>
          <w:szCs w:val="20"/>
        </w:rPr>
        <w:t>R</w:t>
      </w:r>
      <w:r w:rsidR="00554174">
        <w:rPr>
          <w:i/>
          <w:iCs/>
          <w:szCs w:val="20"/>
        </w:rPr>
        <w:t>.</w:t>
      </w:r>
      <w:r w:rsidRPr="0044654D">
        <w:rPr>
          <w:i/>
          <w:iCs/>
          <w:szCs w:val="20"/>
        </w:rPr>
        <w:t xml:space="preserve"> v</w:t>
      </w:r>
      <w:r w:rsidR="00554174">
        <w:rPr>
          <w:i/>
          <w:iCs/>
          <w:szCs w:val="20"/>
        </w:rPr>
        <w:t>.</w:t>
      </w:r>
      <w:r w:rsidRPr="0044654D">
        <w:rPr>
          <w:i/>
          <w:iCs/>
          <w:szCs w:val="20"/>
        </w:rPr>
        <w:t xml:space="preserve"> Ansari</w:t>
      </w:r>
      <w:r w:rsidRPr="0044654D">
        <w:rPr>
          <w:szCs w:val="20"/>
        </w:rPr>
        <w:t xml:space="preserve"> (2015 ONCA 891).</w:t>
      </w:r>
    </w:p>
  </w:endnote>
  <w:endnote w:id="187">
    <w:p w14:paraId="5A4CA9C8" w14:textId="3D56BE09"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See </w:t>
      </w:r>
      <w:r w:rsidRPr="0044654D">
        <w:rPr>
          <w:i/>
          <w:szCs w:val="20"/>
        </w:rPr>
        <w:t>R</w:t>
      </w:r>
      <w:r w:rsidR="00554174">
        <w:rPr>
          <w:i/>
          <w:szCs w:val="20"/>
        </w:rPr>
        <w:t>.</w:t>
      </w:r>
      <w:r w:rsidRPr="0044654D">
        <w:rPr>
          <w:i/>
          <w:szCs w:val="20"/>
        </w:rPr>
        <w:t xml:space="preserve"> v</w:t>
      </w:r>
      <w:r w:rsidR="00554174">
        <w:rPr>
          <w:i/>
          <w:szCs w:val="20"/>
        </w:rPr>
        <w:t>.</w:t>
      </w:r>
      <w:r w:rsidRPr="0044654D">
        <w:rPr>
          <w:i/>
          <w:szCs w:val="20"/>
        </w:rPr>
        <w:t xml:space="preserve"> Garland</w:t>
      </w:r>
      <w:r w:rsidRPr="0044654D">
        <w:rPr>
          <w:szCs w:val="20"/>
        </w:rPr>
        <w:t xml:space="preserve"> (2008 ONCA 134) at para 3.</w:t>
      </w:r>
    </w:p>
  </w:endnote>
  <w:endnote w:id="188">
    <w:p w14:paraId="4A1A485B" w14:textId="3EAB29AE"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554174">
        <w:rPr>
          <w:i/>
          <w:iCs/>
          <w:szCs w:val="20"/>
        </w:rPr>
        <w:t>.</w:t>
      </w:r>
      <w:r w:rsidRPr="0044654D">
        <w:rPr>
          <w:i/>
          <w:iCs/>
          <w:szCs w:val="20"/>
        </w:rPr>
        <w:t xml:space="preserve"> v</w:t>
      </w:r>
      <w:r w:rsidR="00554174">
        <w:rPr>
          <w:i/>
          <w:iCs/>
          <w:szCs w:val="20"/>
        </w:rPr>
        <w:t>.</w:t>
      </w:r>
      <w:r w:rsidRPr="0044654D">
        <w:rPr>
          <w:i/>
          <w:iCs/>
          <w:szCs w:val="20"/>
        </w:rPr>
        <w:t xml:space="preserve"> Reeve</w:t>
      </w:r>
      <w:r w:rsidRPr="0044654D">
        <w:rPr>
          <w:szCs w:val="20"/>
        </w:rPr>
        <w:t xml:space="preserve"> (2008 ONCA 340) at para 64; </w:t>
      </w:r>
      <w:r w:rsidRPr="0044654D">
        <w:rPr>
          <w:i/>
          <w:iCs/>
          <w:szCs w:val="20"/>
        </w:rPr>
        <w:t>R v Hamilton; R</w:t>
      </w:r>
      <w:r w:rsidR="00BF6E3A">
        <w:rPr>
          <w:i/>
          <w:iCs/>
          <w:szCs w:val="20"/>
        </w:rPr>
        <w:t>.</w:t>
      </w:r>
      <w:r w:rsidRPr="0044654D">
        <w:rPr>
          <w:i/>
          <w:iCs/>
          <w:szCs w:val="20"/>
        </w:rPr>
        <w:t xml:space="preserve"> v</w:t>
      </w:r>
      <w:r w:rsidR="00BF6E3A">
        <w:rPr>
          <w:i/>
          <w:iCs/>
          <w:szCs w:val="20"/>
        </w:rPr>
        <w:t>.</w:t>
      </w:r>
      <w:r w:rsidRPr="0044654D">
        <w:rPr>
          <w:i/>
          <w:iCs/>
          <w:szCs w:val="20"/>
        </w:rPr>
        <w:t xml:space="preserve"> Rhingo </w:t>
      </w:r>
      <w:r w:rsidRPr="0044654D">
        <w:rPr>
          <w:szCs w:val="20"/>
        </w:rPr>
        <w:t>([1997] OJ no 1110) at para 34.</w:t>
      </w:r>
    </w:p>
  </w:endnote>
  <w:endnote w:id="189">
    <w:p w14:paraId="7C61047A" w14:textId="77777777" w:rsidR="000C0C23" w:rsidRPr="0044654D" w:rsidRDefault="000C0C23" w:rsidP="000C0C23">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Pr>
          <w:i/>
          <w:iCs/>
          <w:szCs w:val="20"/>
        </w:rPr>
        <w:t>.</w:t>
      </w:r>
      <w:r w:rsidRPr="0044654D">
        <w:rPr>
          <w:i/>
          <w:iCs/>
          <w:szCs w:val="20"/>
        </w:rPr>
        <w:t xml:space="preserve"> v</w:t>
      </w:r>
      <w:r>
        <w:rPr>
          <w:i/>
          <w:iCs/>
          <w:szCs w:val="20"/>
        </w:rPr>
        <w:t>.</w:t>
      </w:r>
      <w:r w:rsidRPr="0044654D">
        <w:rPr>
          <w:i/>
          <w:iCs/>
          <w:szCs w:val="20"/>
        </w:rPr>
        <w:t xml:space="preserve"> Jordan</w:t>
      </w:r>
      <w:r w:rsidRPr="0044654D">
        <w:rPr>
          <w:szCs w:val="20"/>
        </w:rPr>
        <w:t xml:space="preserve"> (2016 SCC 27).</w:t>
      </w:r>
    </w:p>
  </w:endnote>
  <w:endnote w:id="190">
    <w:p w14:paraId="2E06F3FD" w14:textId="2D02AC4F"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See </w:t>
      </w:r>
      <w:r w:rsidRPr="0044654D">
        <w:rPr>
          <w:i/>
          <w:iCs/>
          <w:szCs w:val="20"/>
        </w:rPr>
        <w:t>R</w:t>
      </w:r>
      <w:r w:rsidR="00554174">
        <w:rPr>
          <w:i/>
          <w:iCs/>
          <w:szCs w:val="20"/>
        </w:rPr>
        <w:t>.</w:t>
      </w:r>
      <w:r w:rsidRPr="0044654D">
        <w:rPr>
          <w:i/>
          <w:iCs/>
          <w:szCs w:val="20"/>
        </w:rPr>
        <w:t xml:space="preserve"> v</w:t>
      </w:r>
      <w:r w:rsidR="00554174">
        <w:rPr>
          <w:i/>
          <w:iCs/>
          <w:szCs w:val="20"/>
        </w:rPr>
        <w:t>.</w:t>
      </w:r>
      <w:r w:rsidRPr="0044654D">
        <w:rPr>
          <w:i/>
          <w:iCs/>
          <w:szCs w:val="20"/>
        </w:rPr>
        <w:t xml:space="preserve"> Palmer</w:t>
      </w:r>
      <w:r w:rsidRPr="0044654D">
        <w:rPr>
          <w:szCs w:val="20"/>
        </w:rPr>
        <w:t xml:space="preserve"> ([1980] 1 SCR 759) at 775-76.</w:t>
      </w:r>
    </w:p>
  </w:endnote>
  <w:endnote w:id="191">
    <w:p w14:paraId="5BCB06B4" w14:textId="3C46B5BE"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i/>
          <w:szCs w:val="20"/>
        </w:rPr>
        <w:t>R</w:t>
      </w:r>
      <w:r w:rsidR="00554174">
        <w:rPr>
          <w:i/>
          <w:szCs w:val="20"/>
        </w:rPr>
        <w:t>.</w:t>
      </w:r>
      <w:r w:rsidRPr="0044654D">
        <w:rPr>
          <w:i/>
          <w:szCs w:val="20"/>
        </w:rPr>
        <w:t xml:space="preserve"> v</w:t>
      </w:r>
      <w:r w:rsidR="00554174">
        <w:rPr>
          <w:i/>
          <w:szCs w:val="20"/>
        </w:rPr>
        <w:t>.</w:t>
      </w:r>
      <w:r w:rsidRPr="0044654D">
        <w:rPr>
          <w:i/>
          <w:szCs w:val="20"/>
        </w:rPr>
        <w:t xml:space="preserve"> Truscott</w:t>
      </w:r>
      <w:r w:rsidRPr="0044654D">
        <w:rPr>
          <w:szCs w:val="20"/>
        </w:rPr>
        <w:t xml:space="preserve"> (2007 ONCA 575) at para 81.</w:t>
      </w:r>
    </w:p>
  </w:endnote>
  <w:endnote w:id="192">
    <w:p w14:paraId="16CD0069" w14:textId="2E288F75"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554174">
        <w:rPr>
          <w:i/>
          <w:iCs/>
          <w:szCs w:val="20"/>
        </w:rPr>
        <w:t>.</w:t>
      </w:r>
      <w:r w:rsidRPr="0044654D">
        <w:rPr>
          <w:i/>
          <w:iCs/>
          <w:szCs w:val="20"/>
        </w:rPr>
        <w:t xml:space="preserve"> v</w:t>
      </w:r>
      <w:r w:rsidR="00554174">
        <w:rPr>
          <w:i/>
          <w:iCs/>
          <w:szCs w:val="20"/>
        </w:rPr>
        <w:t>.</w:t>
      </w:r>
      <w:r w:rsidRPr="0044654D">
        <w:rPr>
          <w:i/>
          <w:iCs/>
          <w:szCs w:val="20"/>
        </w:rPr>
        <w:t xml:space="preserve"> Hamilton</w:t>
      </w:r>
      <w:r w:rsidRPr="0044654D">
        <w:rPr>
          <w:szCs w:val="20"/>
        </w:rPr>
        <w:t xml:space="preserve"> (2011 ONCA 399) at para 317.</w:t>
      </w:r>
    </w:p>
  </w:endnote>
  <w:endnote w:id="193">
    <w:p w14:paraId="51956787" w14:textId="56B672AD"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i/>
          <w:iCs/>
          <w:color w:val="212121"/>
          <w:szCs w:val="20"/>
          <w:shd w:val="clear" w:color="auto" w:fill="FFFFFF"/>
        </w:rPr>
        <w:t>R</w:t>
      </w:r>
      <w:r w:rsidR="00554174">
        <w:rPr>
          <w:i/>
          <w:iCs/>
          <w:color w:val="212121"/>
          <w:szCs w:val="20"/>
          <w:shd w:val="clear" w:color="auto" w:fill="FFFFFF"/>
        </w:rPr>
        <w:t>.</w:t>
      </w:r>
      <w:r w:rsidRPr="0044654D">
        <w:rPr>
          <w:i/>
          <w:iCs/>
          <w:color w:val="212121"/>
          <w:szCs w:val="20"/>
          <w:shd w:val="clear" w:color="auto" w:fill="FFFFFF"/>
        </w:rPr>
        <w:t xml:space="preserve"> v</w:t>
      </w:r>
      <w:r w:rsidR="00554174">
        <w:rPr>
          <w:i/>
          <w:iCs/>
          <w:color w:val="212121"/>
          <w:szCs w:val="20"/>
          <w:shd w:val="clear" w:color="auto" w:fill="FFFFFF"/>
        </w:rPr>
        <w:t>.</w:t>
      </w:r>
      <w:r w:rsidRPr="0044654D">
        <w:rPr>
          <w:i/>
          <w:iCs/>
          <w:color w:val="212121"/>
          <w:szCs w:val="20"/>
          <w:shd w:val="clear" w:color="auto" w:fill="FFFFFF"/>
        </w:rPr>
        <w:t xml:space="preserve"> Lévesque</w:t>
      </w:r>
      <w:r w:rsidRPr="0044654D">
        <w:rPr>
          <w:color w:val="212121"/>
          <w:szCs w:val="20"/>
          <w:shd w:val="clear" w:color="auto" w:fill="FFFFFF"/>
        </w:rPr>
        <w:t xml:space="preserve"> (2000 SCC 47) at para 20.</w:t>
      </w:r>
    </w:p>
  </w:endnote>
  <w:endnote w:id="194">
    <w:p w14:paraId="6BB18666" w14:textId="10FB5508"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See </w:t>
      </w:r>
      <w:r w:rsidRPr="0044654D">
        <w:rPr>
          <w:i/>
          <w:szCs w:val="20"/>
        </w:rPr>
        <w:t>R</w:t>
      </w:r>
      <w:r w:rsidR="00554174">
        <w:rPr>
          <w:i/>
          <w:szCs w:val="20"/>
        </w:rPr>
        <w:t>.</w:t>
      </w:r>
      <w:r w:rsidRPr="0044654D">
        <w:rPr>
          <w:i/>
          <w:szCs w:val="20"/>
        </w:rPr>
        <w:t xml:space="preserve"> v</w:t>
      </w:r>
      <w:r w:rsidR="00554174">
        <w:rPr>
          <w:i/>
          <w:szCs w:val="20"/>
        </w:rPr>
        <w:t>.</w:t>
      </w:r>
      <w:r w:rsidRPr="0044654D">
        <w:rPr>
          <w:i/>
          <w:szCs w:val="20"/>
        </w:rPr>
        <w:t xml:space="preserve"> Nourreddine</w:t>
      </w:r>
      <w:r w:rsidRPr="0044654D">
        <w:rPr>
          <w:szCs w:val="20"/>
        </w:rPr>
        <w:t xml:space="preserve"> (2015 ONCA 770) at para </w:t>
      </w:r>
      <w:r w:rsidRPr="00554174">
        <w:rPr>
          <w:szCs w:val="20"/>
        </w:rPr>
        <w:t>47</w:t>
      </w:r>
      <w:r w:rsidRPr="0044654D">
        <w:rPr>
          <w:szCs w:val="20"/>
        </w:rPr>
        <w:t xml:space="preserve">; </w:t>
      </w:r>
      <w:r w:rsidRPr="0044654D">
        <w:rPr>
          <w:i/>
          <w:szCs w:val="20"/>
        </w:rPr>
        <w:t>R v Khan</w:t>
      </w:r>
      <w:r w:rsidRPr="0044654D">
        <w:rPr>
          <w:szCs w:val="20"/>
        </w:rPr>
        <w:t xml:space="preserve"> (</w:t>
      </w:r>
      <w:r w:rsidRPr="00554174">
        <w:rPr>
          <w:szCs w:val="20"/>
        </w:rPr>
        <w:t>2001 SCC 86</w:t>
      </w:r>
      <w:r w:rsidR="00554174">
        <w:rPr>
          <w:szCs w:val="20"/>
        </w:rPr>
        <w:t xml:space="preserve">) </w:t>
      </w:r>
      <w:r w:rsidRPr="0044654D">
        <w:rPr>
          <w:szCs w:val="20"/>
        </w:rPr>
        <w:t xml:space="preserve">at para </w:t>
      </w:r>
      <w:r w:rsidRPr="00554174">
        <w:rPr>
          <w:szCs w:val="20"/>
        </w:rPr>
        <w:t>1</w:t>
      </w:r>
      <w:r w:rsidR="00554174">
        <w:rPr>
          <w:szCs w:val="20"/>
        </w:rPr>
        <w:t xml:space="preserve">1. </w:t>
      </w:r>
    </w:p>
  </w:endnote>
  <w:endnote w:id="195">
    <w:p w14:paraId="147DE786" w14:textId="4F48966B"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554174">
        <w:rPr>
          <w:i/>
          <w:iCs/>
          <w:szCs w:val="20"/>
        </w:rPr>
        <w:t>.</w:t>
      </w:r>
      <w:r w:rsidRPr="0044654D">
        <w:rPr>
          <w:i/>
          <w:iCs/>
          <w:szCs w:val="20"/>
        </w:rPr>
        <w:t xml:space="preserve"> v</w:t>
      </w:r>
      <w:r w:rsidR="00554174">
        <w:rPr>
          <w:i/>
          <w:iCs/>
          <w:szCs w:val="20"/>
        </w:rPr>
        <w:t>.</w:t>
      </w:r>
      <w:r w:rsidRPr="0044654D">
        <w:rPr>
          <w:i/>
          <w:iCs/>
          <w:szCs w:val="20"/>
        </w:rPr>
        <w:t xml:space="preserve"> GDB</w:t>
      </w:r>
      <w:r w:rsidRPr="0044654D">
        <w:rPr>
          <w:szCs w:val="20"/>
        </w:rPr>
        <w:t xml:space="preserve"> (2000 SCC 22) at para 24.</w:t>
      </w:r>
    </w:p>
  </w:endnote>
  <w:endnote w:id="196">
    <w:p w14:paraId="3D27CBE2" w14:textId="7DF9A2C7"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554174">
        <w:rPr>
          <w:i/>
          <w:iCs/>
          <w:szCs w:val="20"/>
        </w:rPr>
        <w:t>.</w:t>
      </w:r>
      <w:r w:rsidRPr="0044654D">
        <w:rPr>
          <w:i/>
          <w:iCs/>
          <w:szCs w:val="20"/>
        </w:rPr>
        <w:t xml:space="preserve"> v</w:t>
      </w:r>
      <w:r w:rsidR="00554174">
        <w:rPr>
          <w:i/>
          <w:iCs/>
          <w:szCs w:val="20"/>
        </w:rPr>
        <w:t>.</w:t>
      </w:r>
      <w:r w:rsidRPr="0044654D">
        <w:rPr>
          <w:i/>
          <w:iCs/>
          <w:szCs w:val="20"/>
        </w:rPr>
        <w:t xml:space="preserve"> Fiorilli</w:t>
      </w:r>
      <w:r w:rsidRPr="0044654D">
        <w:rPr>
          <w:szCs w:val="20"/>
        </w:rPr>
        <w:t xml:space="preserve"> (2021 ONCA 461) at para 48.</w:t>
      </w:r>
    </w:p>
  </w:endnote>
  <w:endnote w:id="197">
    <w:p w14:paraId="3AC56C87" w14:textId="6923ADEB"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554174">
        <w:rPr>
          <w:i/>
          <w:iCs/>
          <w:szCs w:val="20"/>
        </w:rPr>
        <w:t>.</w:t>
      </w:r>
      <w:r w:rsidRPr="0044654D">
        <w:rPr>
          <w:i/>
          <w:iCs/>
          <w:szCs w:val="20"/>
        </w:rPr>
        <w:t xml:space="preserve"> v</w:t>
      </w:r>
      <w:r w:rsidR="00554174">
        <w:rPr>
          <w:i/>
          <w:iCs/>
          <w:szCs w:val="20"/>
        </w:rPr>
        <w:t>.</w:t>
      </w:r>
      <w:r w:rsidRPr="0044654D">
        <w:rPr>
          <w:i/>
          <w:iCs/>
          <w:szCs w:val="20"/>
        </w:rPr>
        <w:t xml:space="preserve"> Joanisse</w:t>
      </w:r>
      <w:r w:rsidRPr="0044654D">
        <w:rPr>
          <w:szCs w:val="20"/>
        </w:rPr>
        <w:t xml:space="preserve"> ([1995] OJ no 2883 (ONCA)) at para 65; leave to appeal refused ([1996] SCCA no 347).</w:t>
      </w:r>
    </w:p>
  </w:endnote>
  <w:endnote w:id="198">
    <w:p w14:paraId="42E13F33" w14:textId="1750CE53"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554174">
        <w:rPr>
          <w:i/>
          <w:iCs/>
          <w:szCs w:val="20"/>
        </w:rPr>
        <w:t>.</w:t>
      </w:r>
      <w:r w:rsidRPr="0044654D">
        <w:rPr>
          <w:i/>
          <w:iCs/>
          <w:szCs w:val="20"/>
        </w:rPr>
        <w:t xml:space="preserve"> v</w:t>
      </w:r>
      <w:r w:rsidR="00554174">
        <w:rPr>
          <w:i/>
          <w:iCs/>
          <w:szCs w:val="20"/>
        </w:rPr>
        <w:t>.</w:t>
      </w:r>
      <w:r w:rsidRPr="0044654D">
        <w:rPr>
          <w:i/>
          <w:iCs/>
          <w:szCs w:val="20"/>
        </w:rPr>
        <w:t xml:space="preserve"> Theriault</w:t>
      </w:r>
      <w:r w:rsidRPr="0044654D">
        <w:rPr>
          <w:szCs w:val="20"/>
        </w:rPr>
        <w:t xml:space="preserve"> (</w:t>
      </w:r>
      <w:r w:rsidRPr="0044654D">
        <w:rPr>
          <w:color w:val="000000"/>
          <w:szCs w:val="20"/>
        </w:rPr>
        <w:t>2021 ONCA 517) at para 150; leave to appeal refused ([2021] SCCA no 362).</w:t>
      </w:r>
    </w:p>
  </w:endnote>
  <w:endnote w:id="199">
    <w:p w14:paraId="56425E4B" w14:textId="3145763A"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rStyle w:val="Emphasis"/>
          <w:color w:val="000000"/>
          <w:szCs w:val="20"/>
        </w:rPr>
        <w:t>R</w:t>
      </w:r>
      <w:r w:rsidR="00554174">
        <w:rPr>
          <w:rStyle w:val="Emphasis"/>
          <w:color w:val="000000"/>
          <w:szCs w:val="20"/>
        </w:rPr>
        <w:t>.</w:t>
      </w:r>
      <w:r w:rsidRPr="0044654D">
        <w:rPr>
          <w:rStyle w:val="Emphasis"/>
          <w:color w:val="000000"/>
          <w:szCs w:val="20"/>
        </w:rPr>
        <w:t xml:space="preserve"> v</w:t>
      </w:r>
      <w:r w:rsidR="00554174">
        <w:rPr>
          <w:rStyle w:val="Emphasis"/>
          <w:color w:val="000000"/>
          <w:szCs w:val="20"/>
        </w:rPr>
        <w:t>.</w:t>
      </w:r>
      <w:r w:rsidRPr="0044654D">
        <w:rPr>
          <w:rStyle w:val="Emphasis"/>
          <w:color w:val="000000"/>
          <w:szCs w:val="20"/>
        </w:rPr>
        <w:t xml:space="preserve"> Morrissey (</w:t>
      </w:r>
      <w:r w:rsidRPr="0044654D">
        <w:rPr>
          <w:color w:val="000000"/>
          <w:szCs w:val="20"/>
        </w:rPr>
        <w:t>(1995) 97 CCC (3d) 193 (ONCA) at 219; </w:t>
      </w:r>
      <w:r w:rsidRPr="0044654D">
        <w:rPr>
          <w:i/>
          <w:iCs/>
          <w:color w:val="000000"/>
          <w:szCs w:val="20"/>
        </w:rPr>
        <w:t>R</w:t>
      </w:r>
      <w:r w:rsidR="00554174">
        <w:rPr>
          <w:i/>
          <w:iCs/>
          <w:color w:val="000000"/>
          <w:szCs w:val="20"/>
        </w:rPr>
        <w:t>.</w:t>
      </w:r>
      <w:r w:rsidRPr="0044654D">
        <w:rPr>
          <w:i/>
          <w:iCs/>
          <w:color w:val="000000"/>
          <w:szCs w:val="20"/>
        </w:rPr>
        <w:t xml:space="preserve"> v</w:t>
      </w:r>
      <w:r w:rsidR="00554174">
        <w:rPr>
          <w:i/>
          <w:iCs/>
          <w:color w:val="000000"/>
          <w:szCs w:val="20"/>
        </w:rPr>
        <w:t>.</w:t>
      </w:r>
      <w:r w:rsidRPr="0044654D">
        <w:rPr>
          <w:color w:val="000000"/>
          <w:szCs w:val="20"/>
        </w:rPr>
        <w:t xml:space="preserve"> </w:t>
      </w:r>
      <w:r w:rsidRPr="0044654D">
        <w:rPr>
          <w:rStyle w:val="Emphasis"/>
          <w:color w:val="000000"/>
          <w:szCs w:val="20"/>
        </w:rPr>
        <w:t>Stennett (2021 ONCA 258</w:t>
      </w:r>
      <w:r w:rsidRPr="0044654D">
        <w:rPr>
          <w:color w:val="000000"/>
          <w:szCs w:val="20"/>
        </w:rPr>
        <w:t>) at para 51.</w:t>
      </w:r>
    </w:p>
  </w:endnote>
  <w:endnote w:id="200">
    <w:p w14:paraId="4B284A1F" w14:textId="219D3891"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rStyle w:val="Emphasis"/>
          <w:color w:val="000000"/>
          <w:szCs w:val="20"/>
        </w:rPr>
        <w:t>R</w:t>
      </w:r>
      <w:r w:rsidR="00554174">
        <w:rPr>
          <w:rStyle w:val="Emphasis"/>
          <w:color w:val="000000"/>
          <w:szCs w:val="20"/>
        </w:rPr>
        <w:t>.</w:t>
      </w:r>
      <w:r w:rsidRPr="0044654D">
        <w:rPr>
          <w:rStyle w:val="Emphasis"/>
          <w:color w:val="000000"/>
          <w:szCs w:val="20"/>
        </w:rPr>
        <w:t xml:space="preserve"> v</w:t>
      </w:r>
      <w:r w:rsidR="00554174">
        <w:rPr>
          <w:rStyle w:val="Emphasis"/>
          <w:color w:val="000000"/>
          <w:szCs w:val="20"/>
        </w:rPr>
        <w:t>.</w:t>
      </w:r>
      <w:r w:rsidRPr="0044654D">
        <w:rPr>
          <w:rStyle w:val="Emphasis"/>
          <w:color w:val="000000"/>
          <w:szCs w:val="20"/>
        </w:rPr>
        <w:t xml:space="preserve"> Morrissey (</w:t>
      </w:r>
      <w:r w:rsidRPr="0044654D">
        <w:rPr>
          <w:color w:val="000000"/>
          <w:szCs w:val="20"/>
        </w:rPr>
        <w:t>(1995) 97 CCC (3d) 193 (ONCA) at</w:t>
      </w:r>
      <w:r w:rsidRPr="0044654D" w:rsidDel="00297792">
        <w:rPr>
          <w:rStyle w:val="Emphasis"/>
          <w:color w:val="000000"/>
          <w:szCs w:val="20"/>
        </w:rPr>
        <w:t xml:space="preserve"> </w:t>
      </w:r>
      <w:r w:rsidRPr="0044654D">
        <w:rPr>
          <w:color w:val="000000"/>
          <w:szCs w:val="20"/>
        </w:rPr>
        <w:t>p 221;</w:t>
      </w:r>
      <w:r w:rsidRPr="0044654D">
        <w:rPr>
          <w:rStyle w:val="Emphasis"/>
          <w:color w:val="000000"/>
          <w:szCs w:val="20"/>
        </w:rPr>
        <w:t> R</w:t>
      </w:r>
      <w:r w:rsidR="00554174">
        <w:rPr>
          <w:rStyle w:val="Emphasis"/>
          <w:color w:val="000000"/>
          <w:szCs w:val="20"/>
        </w:rPr>
        <w:t>.</w:t>
      </w:r>
      <w:r w:rsidRPr="0044654D">
        <w:rPr>
          <w:rStyle w:val="Emphasis"/>
          <w:color w:val="000000"/>
          <w:szCs w:val="20"/>
        </w:rPr>
        <w:t xml:space="preserve"> v</w:t>
      </w:r>
      <w:r w:rsidR="00554174">
        <w:rPr>
          <w:rStyle w:val="Emphasis"/>
          <w:color w:val="000000"/>
          <w:szCs w:val="20"/>
        </w:rPr>
        <w:t>.</w:t>
      </w:r>
      <w:r w:rsidRPr="0044654D">
        <w:rPr>
          <w:rStyle w:val="Emphasis"/>
          <w:color w:val="000000"/>
          <w:szCs w:val="20"/>
        </w:rPr>
        <w:t xml:space="preserve"> Lohrer (</w:t>
      </w:r>
      <w:r w:rsidRPr="0044654D">
        <w:rPr>
          <w:color w:val="000000"/>
          <w:szCs w:val="20"/>
        </w:rPr>
        <w:t>2004 SCC 80) at paras </w:t>
      </w:r>
      <w:r w:rsidRPr="0044654D">
        <w:rPr>
          <w:szCs w:val="20"/>
        </w:rPr>
        <w:t>2,</w:t>
      </w:r>
      <w:r w:rsidRPr="0044654D">
        <w:rPr>
          <w:color w:val="000000"/>
          <w:szCs w:val="20"/>
        </w:rPr>
        <w:t xml:space="preserve"> 8.</w:t>
      </w:r>
    </w:p>
  </w:endnote>
  <w:endnote w:id="201">
    <w:p w14:paraId="63B07029" w14:textId="53EABE3B"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rStyle w:val="Emphasis"/>
          <w:color w:val="000000"/>
          <w:szCs w:val="20"/>
        </w:rPr>
        <w:t>R</w:t>
      </w:r>
      <w:r w:rsidR="00554174">
        <w:rPr>
          <w:rStyle w:val="Emphasis"/>
          <w:color w:val="000000"/>
          <w:szCs w:val="20"/>
        </w:rPr>
        <w:t>.</w:t>
      </w:r>
      <w:r w:rsidRPr="0044654D">
        <w:rPr>
          <w:rStyle w:val="Emphasis"/>
          <w:color w:val="000000"/>
          <w:szCs w:val="20"/>
        </w:rPr>
        <w:t xml:space="preserve"> v</w:t>
      </w:r>
      <w:r w:rsidR="00554174">
        <w:rPr>
          <w:rStyle w:val="Emphasis"/>
          <w:color w:val="000000"/>
          <w:szCs w:val="20"/>
        </w:rPr>
        <w:t>.</w:t>
      </w:r>
      <w:r w:rsidRPr="0044654D">
        <w:rPr>
          <w:rStyle w:val="Emphasis"/>
          <w:color w:val="000000"/>
          <w:szCs w:val="20"/>
        </w:rPr>
        <w:t xml:space="preserve"> Morrissey (</w:t>
      </w:r>
      <w:r w:rsidRPr="0044654D">
        <w:rPr>
          <w:color w:val="000000"/>
          <w:szCs w:val="20"/>
        </w:rPr>
        <w:t>(1995) 97 CCC (3d) 193 (ONCA) at</w:t>
      </w:r>
      <w:r w:rsidRPr="0044654D" w:rsidDel="00297792">
        <w:rPr>
          <w:rStyle w:val="Emphasis"/>
          <w:color w:val="000000"/>
          <w:szCs w:val="20"/>
        </w:rPr>
        <w:t xml:space="preserve"> </w:t>
      </w:r>
      <w:r w:rsidRPr="0044654D">
        <w:rPr>
          <w:color w:val="000000"/>
          <w:szCs w:val="20"/>
        </w:rPr>
        <w:t>219-20; </w:t>
      </w:r>
      <w:r w:rsidRPr="0044654D">
        <w:rPr>
          <w:i/>
          <w:iCs/>
          <w:color w:val="000000"/>
          <w:szCs w:val="20"/>
        </w:rPr>
        <w:t>R</w:t>
      </w:r>
      <w:r w:rsidR="00554174">
        <w:rPr>
          <w:i/>
          <w:iCs/>
          <w:color w:val="000000"/>
          <w:szCs w:val="20"/>
        </w:rPr>
        <w:t>.</w:t>
      </w:r>
      <w:r w:rsidRPr="0044654D">
        <w:rPr>
          <w:i/>
          <w:iCs/>
          <w:color w:val="000000"/>
          <w:szCs w:val="20"/>
        </w:rPr>
        <w:t xml:space="preserve"> v</w:t>
      </w:r>
      <w:r w:rsidR="00554174">
        <w:rPr>
          <w:i/>
          <w:iCs/>
          <w:color w:val="000000"/>
          <w:szCs w:val="20"/>
        </w:rPr>
        <w:t>.</w:t>
      </w:r>
      <w:r w:rsidRPr="0044654D">
        <w:rPr>
          <w:color w:val="000000"/>
          <w:szCs w:val="20"/>
        </w:rPr>
        <w:t xml:space="preserve"> </w:t>
      </w:r>
      <w:r w:rsidRPr="0044654D">
        <w:rPr>
          <w:rStyle w:val="Emphasis"/>
          <w:color w:val="000000"/>
          <w:szCs w:val="20"/>
        </w:rPr>
        <w:t>Stennett (2021 ONCA 258</w:t>
      </w:r>
      <w:r w:rsidRPr="0044654D">
        <w:rPr>
          <w:color w:val="000000"/>
          <w:szCs w:val="20"/>
        </w:rPr>
        <w:t>) at</w:t>
      </w:r>
      <w:r w:rsidRPr="0044654D">
        <w:rPr>
          <w:rStyle w:val="Emphasis"/>
          <w:color w:val="000000"/>
          <w:szCs w:val="20"/>
        </w:rPr>
        <w:t xml:space="preserve"> </w:t>
      </w:r>
      <w:r w:rsidRPr="0044654D">
        <w:rPr>
          <w:color w:val="000000"/>
          <w:szCs w:val="20"/>
        </w:rPr>
        <w:t>para 51.</w:t>
      </w:r>
    </w:p>
  </w:endnote>
  <w:endnote w:id="202">
    <w:p w14:paraId="02CBBA20" w14:textId="3FCCAB89"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rStyle w:val="Emphasis"/>
          <w:color w:val="000000"/>
          <w:szCs w:val="20"/>
        </w:rPr>
        <w:t>R</w:t>
      </w:r>
      <w:r w:rsidR="00554174">
        <w:rPr>
          <w:rStyle w:val="Emphasis"/>
          <w:color w:val="000000"/>
          <w:szCs w:val="20"/>
        </w:rPr>
        <w:t>.</w:t>
      </w:r>
      <w:r w:rsidRPr="0044654D">
        <w:rPr>
          <w:rStyle w:val="Emphasis"/>
          <w:color w:val="000000"/>
          <w:szCs w:val="20"/>
        </w:rPr>
        <w:t xml:space="preserve"> v</w:t>
      </w:r>
      <w:r w:rsidR="00554174">
        <w:rPr>
          <w:rStyle w:val="Emphasis"/>
          <w:color w:val="000000"/>
          <w:szCs w:val="20"/>
        </w:rPr>
        <w:t>.</w:t>
      </w:r>
      <w:r w:rsidRPr="0044654D">
        <w:rPr>
          <w:rStyle w:val="Emphasis"/>
          <w:color w:val="000000"/>
          <w:szCs w:val="20"/>
        </w:rPr>
        <w:t xml:space="preserve"> Morrissey (</w:t>
      </w:r>
      <w:r w:rsidRPr="0044654D">
        <w:rPr>
          <w:color w:val="000000"/>
          <w:szCs w:val="20"/>
        </w:rPr>
        <w:t>(1995) 97 CCC (3d) 193 (ONCA) at</w:t>
      </w:r>
      <w:r w:rsidRPr="0044654D" w:rsidDel="00297792">
        <w:rPr>
          <w:rStyle w:val="Emphasis"/>
          <w:color w:val="000000"/>
          <w:szCs w:val="20"/>
        </w:rPr>
        <w:t xml:space="preserve"> </w:t>
      </w:r>
      <w:r w:rsidRPr="0044654D">
        <w:rPr>
          <w:color w:val="000000"/>
          <w:szCs w:val="20"/>
        </w:rPr>
        <w:t>220.</w:t>
      </w:r>
      <w:r w:rsidRPr="0044654D">
        <w:rPr>
          <w:rStyle w:val="Emphasis"/>
          <w:color w:val="000000"/>
          <w:szCs w:val="20"/>
        </w:rPr>
        <w:t> </w:t>
      </w:r>
      <w:r w:rsidRPr="0044654D">
        <w:rPr>
          <w:color w:val="000000"/>
          <w:szCs w:val="20"/>
        </w:rPr>
        <w:t xml:space="preserve">See also </w:t>
      </w:r>
      <w:r w:rsidRPr="0044654D">
        <w:rPr>
          <w:i/>
          <w:iCs/>
          <w:color w:val="000000"/>
          <w:szCs w:val="20"/>
        </w:rPr>
        <w:t>Criminal Code</w:t>
      </w:r>
      <w:r w:rsidRPr="0044654D">
        <w:rPr>
          <w:color w:val="000000"/>
          <w:szCs w:val="20"/>
        </w:rPr>
        <w:t xml:space="preserve"> (RSC 1985, c C-46), s 686(1)(b)(iii), online: </w:t>
      </w:r>
      <w:hyperlink r:id="rId109" w:history="1">
        <w:r w:rsidRPr="0044654D">
          <w:rPr>
            <w:rStyle w:val="Hyperlink"/>
            <w:szCs w:val="20"/>
          </w:rPr>
          <w:t>https://laws-lois.justice.gc.ca/eng/acts/c-46/</w:t>
        </w:r>
      </w:hyperlink>
      <w:r w:rsidRPr="0044654D">
        <w:rPr>
          <w:color w:val="000000"/>
          <w:szCs w:val="20"/>
        </w:rPr>
        <w:t>.</w:t>
      </w:r>
    </w:p>
  </w:endnote>
  <w:endnote w:id="203">
    <w:p w14:paraId="5CB0204F" w14:textId="21F59A83"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554174">
        <w:rPr>
          <w:i/>
          <w:iCs/>
          <w:szCs w:val="20"/>
        </w:rPr>
        <w:t>.</w:t>
      </w:r>
      <w:r w:rsidRPr="0044654D">
        <w:rPr>
          <w:i/>
          <w:iCs/>
          <w:szCs w:val="20"/>
        </w:rPr>
        <w:t xml:space="preserve"> v</w:t>
      </w:r>
      <w:r w:rsidR="00554174">
        <w:rPr>
          <w:i/>
          <w:iCs/>
          <w:szCs w:val="20"/>
        </w:rPr>
        <w:t>.</w:t>
      </w:r>
      <w:r w:rsidRPr="0044654D">
        <w:rPr>
          <w:i/>
          <w:iCs/>
          <w:szCs w:val="20"/>
        </w:rPr>
        <w:t xml:space="preserve"> RP</w:t>
      </w:r>
      <w:r w:rsidRPr="0044654D">
        <w:rPr>
          <w:szCs w:val="20"/>
        </w:rPr>
        <w:t xml:space="preserve"> (2012 SCC 22) at para 10.</w:t>
      </w:r>
    </w:p>
  </w:endnote>
  <w:endnote w:id="204">
    <w:p w14:paraId="6BD469DD" w14:textId="279A8A54" w:rsidR="00630390" w:rsidRPr="0044654D" w:rsidRDefault="00630390" w:rsidP="00F353EB">
      <w:pPr>
        <w:pStyle w:val="EndnoteText"/>
        <w:rPr>
          <w:szCs w:val="20"/>
        </w:rPr>
      </w:pPr>
      <w:r w:rsidRPr="0044654D">
        <w:rPr>
          <w:rStyle w:val="EndnoteReference"/>
          <w:szCs w:val="20"/>
        </w:rPr>
        <w:endnoteRef/>
      </w:r>
      <w:r w:rsidRPr="0044654D">
        <w:rPr>
          <w:szCs w:val="20"/>
        </w:rPr>
        <w:t xml:space="preserve"> </w:t>
      </w:r>
      <w:r w:rsidRPr="0044654D">
        <w:rPr>
          <w:i/>
          <w:iCs/>
          <w:szCs w:val="20"/>
        </w:rPr>
        <w:t>R</w:t>
      </w:r>
      <w:r w:rsidR="00554174">
        <w:rPr>
          <w:i/>
          <w:iCs/>
          <w:szCs w:val="20"/>
        </w:rPr>
        <w:t>.</w:t>
      </w:r>
      <w:r w:rsidRPr="0044654D">
        <w:rPr>
          <w:i/>
          <w:iCs/>
          <w:szCs w:val="20"/>
        </w:rPr>
        <w:t xml:space="preserve"> v</w:t>
      </w:r>
      <w:r w:rsidR="00554174">
        <w:rPr>
          <w:i/>
          <w:iCs/>
          <w:szCs w:val="20"/>
        </w:rPr>
        <w:t>.</w:t>
      </w:r>
      <w:r w:rsidRPr="0044654D">
        <w:rPr>
          <w:i/>
          <w:iCs/>
          <w:szCs w:val="20"/>
        </w:rPr>
        <w:t xml:space="preserve"> Biniaris</w:t>
      </w:r>
      <w:r w:rsidRPr="0044654D">
        <w:rPr>
          <w:szCs w:val="20"/>
        </w:rPr>
        <w:t xml:space="preserve"> (2000 SCC 15) at para 36.</w:t>
      </w:r>
    </w:p>
  </w:endnote>
  <w:endnote w:id="205">
    <w:p w14:paraId="4EEE3B18" w14:textId="5E19D6C9"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554174">
        <w:rPr>
          <w:i/>
          <w:iCs/>
          <w:szCs w:val="20"/>
        </w:rPr>
        <w:t>.</w:t>
      </w:r>
      <w:r w:rsidRPr="0044654D">
        <w:rPr>
          <w:i/>
          <w:iCs/>
          <w:szCs w:val="20"/>
        </w:rPr>
        <w:t xml:space="preserve"> v</w:t>
      </w:r>
      <w:r w:rsidR="00554174">
        <w:rPr>
          <w:i/>
          <w:iCs/>
          <w:szCs w:val="20"/>
        </w:rPr>
        <w:t>.</w:t>
      </w:r>
      <w:r w:rsidRPr="0044654D">
        <w:rPr>
          <w:i/>
          <w:iCs/>
          <w:szCs w:val="20"/>
        </w:rPr>
        <w:t xml:space="preserve"> CLS</w:t>
      </w:r>
      <w:r w:rsidRPr="0044654D">
        <w:rPr>
          <w:szCs w:val="20"/>
        </w:rPr>
        <w:t xml:space="preserve"> (2021 ABCA 147) at para 50.</w:t>
      </w:r>
    </w:p>
  </w:endnote>
  <w:endnote w:id="206">
    <w:p w14:paraId="245DF2A5" w14:textId="79B2E9A9"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554174">
        <w:rPr>
          <w:i/>
          <w:iCs/>
          <w:szCs w:val="20"/>
        </w:rPr>
        <w:t>.</w:t>
      </w:r>
      <w:r w:rsidRPr="0044654D">
        <w:rPr>
          <w:i/>
          <w:iCs/>
          <w:szCs w:val="20"/>
        </w:rPr>
        <w:t xml:space="preserve"> v</w:t>
      </w:r>
      <w:r w:rsidR="00554174">
        <w:rPr>
          <w:i/>
          <w:iCs/>
          <w:szCs w:val="20"/>
        </w:rPr>
        <w:t>.</w:t>
      </w:r>
      <w:r w:rsidRPr="0044654D">
        <w:rPr>
          <w:i/>
          <w:iCs/>
          <w:szCs w:val="20"/>
        </w:rPr>
        <w:t xml:space="preserve"> Sinclair</w:t>
      </w:r>
      <w:r w:rsidRPr="0044654D">
        <w:rPr>
          <w:szCs w:val="20"/>
        </w:rPr>
        <w:t xml:space="preserve"> (2011 SCC 40) at paras 11-26.</w:t>
      </w:r>
    </w:p>
  </w:endnote>
  <w:endnote w:id="207">
    <w:p w14:paraId="56746FB5" w14:textId="77777777" w:rsidR="00CC5625" w:rsidRDefault="00CC5625" w:rsidP="00CC5625">
      <w:pPr>
        <w:pStyle w:val="EndnoteText"/>
      </w:pPr>
      <w:r>
        <w:rPr>
          <w:rStyle w:val="EndnoteReference"/>
        </w:rPr>
        <w:endnoteRef/>
      </w:r>
      <w:r>
        <w:t xml:space="preserve"> This section reads as follows: “Powers of Court of Appeal against sentence. 687 (1) Where an appeal is taken against sentence, the court of appeal shall, unless the sentence is one fixed by law, consider the fitness of the sentence appealed against, and may on such evidence, if any, as it thinks fit to require or to receive,</w:t>
      </w:r>
    </w:p>
    <w:p w14:paraId="340847F5" w14:textId="77777777" w:rsidR="00CC5625" w:rsidRDefault="00CC5625" w:rsidP="00CC5625">
      <w:pPr>
        <w:pStyle w:val="EndnoteText"/>
        <w:numPr>
          <w:ilvl w:val="0"/>
          <w:numId w:val="147"/>
        </w:numPr>
      </w:pPr>
      <w:r>
        <w:t>vary the sentence within the limits prescribed by law for the offence of which the accused was convicted; or</w:t>
      </w:r>
    </w:p>
    <w:p w14:paraId="0F04907E" w14:textId="0CC31BA5" w:rsidR="00CC5625" w:rsidRDefault="00CC5625" w:rsidP="00CC5625">
      <w:pPr>
        <w:pStyle w:val="EndnoteText"/>
        <w:numPr>
          <w:ilvl w:val="0"/>
          <w:numId w:val="147"/>
        </w:numPr>
      </w:pPr>
      <w:r>
        <w:t>dismiss the appeal.</w:t>
      </w:r>
    </w:p>
    <w:p w14:paraId="6278C830" w14:textId="23CA767C" w:rsidR="00CC5625" w:rsidRDefault="00CC5625" w:rsidP="00CC5625">
      <w:pPr>
        <w:pStyle w:val="EndnoteText"/>
      </w:pPr>
      <w:r>
        <w:t>Effect of judgment.</w:t>
      </w:r>
      <w:r>
        <w:br/>
        <w:t>(2) A judgment of a court of appeal that varies the sentence of an accused who was convicted has the same force and effect as if it were a sentence passed by the trial court.R.S., c. C-34, s. 614</w:t>
      </w:r>
    </w:p>
  </w:endnote>
  <w:endnote w:id="208">
    <w:p w14:paraId="43325F23" w14:textId="30A35EC7" w:rsidR="00630390" w:rsidRPr="0044654D" w:rsidRDefault="00630390" w:rsidP="00F353EB">
      <w:pPr>
        <w:pStyle w:val="EndnoteText"/>
        <w:rPr>
          <w:szCs w:val="20"/>
          <w:lang w:val="en-US"/>
        </w:rPr>
      </w:pPr>
      <w:r w:rsidRPr="0044654D">
        <w:rPr>
          <w:rStyle w:val="EndnoteReference"/>
          <w:szCs w:val="20"/>
        </w:rPr>
        <w:endnoteRef/>
      </w:r>
      <w:r w:rsidRPr="0044654D">
        <w:rPr>
          <w:szCs w:val="20"/>
        </w:rPr>
        <w:t xml:space="preserve"> </w:t>
      </w:r>
      <w:r w:rsidRPr="0044654D">
        <w:rPr>
          <w:i/>
          <w:iCs/>
          <w:szCs w:val="20"/>
        </w:rPr>
        <w:t>R</w:t>
      </w:r>
      <w:r w:rsidR="00554174">
        <w:rPr>
          <w:i/>
          <w:iCs/>
          <w:szCs w:val="20"/>
        </w:rPr>
        <w:t>.</w:t>
      </w:r>
      <w:r w:rsidRPr="0044654D">
        <w:rPr>
          <w:i/>
          <w:iCs/>
          <w:szCs w:val="20"/>
        </w:rPr>
        <w:t xml:space="preserve"> v</w:t>
      </w:r>
      <w:r w:rsidR="00554174">
        <w:rPr>
          <w:i/>
          <w:iCs/>
          <w:szCs w:val="20"/>
        </w:rPr>
        <w:t>.</w:t>
      </w:r>
      <w:r w:rsidRPr="0044654D">
        <w:rPr>
          <w:i/>
          <w:iCs/>
          <w:szCs w:val="20"/>
        </w:rPr>
        <w:t xml:space="preserve"> CAM</w:t>
      </w:r>
      <w:r w:rsidRPr="0044654D">
        <w:rPr>
          <w:szCs w:val="20"/>
        </w:rPr>
        <w:t xml:space="preserve"> ([1996] 1 SCR 500) paras 88-96, in particular para 89, citing </w:t>
      </w:r>
      <w:r w:rsidRPr="0044654D">
        <w:rPr>
          <w:i/>
          <w:iCs/>
          <w:color w:val="212121"/>
          <w:szCs w:val="20"/>
          <w:shd w:val="clear" w:color="auto" w:fill="FFFFFF"/>
        </w:rPr>
        <w:t>R</w:t>
      </w:r>
      <w:r w:rsidR="00554174">
        <w:rPr>
          <w:i/>
          <w:iCs/>
          <w:color w:val="212121"/>
          <w:szCs w:val="20"/>
          <w:shd w:val="clear" w:color="auto" w:fill="FFFFFF"/>
        </w:rPr>
        <w:t>.</w:t>
      </w:r>
      <w:r w:rsidRPr="0044654D">
        <w:rPr>
          <w:i/>
          <w:iCs/>
          <w:color w:val="212121"/>
          <w:szCs w:val="20"/>
          <w:shd w:val="clear" w:color="auto" w:fill="FFFFFF"/>
        </w:rPr>
        <w:t xml:space="preserve"> v</w:t>
      </w:r>
      <w:r w:rsidR="00554174">
        <w:rPr>
          <w:i/>
          <w:iCs/>
          <w:color w:val="212121"/>
          <w:szCs w:val="20"/>
          <w:shd w:val="clear" w:color="auto" w:fill="FFFFFF"/>
        </w:rPr>
        <w:t>.</w:t>
      </w:r>
      <w:r w:rsidRPr="0044654D">
        <w:rPr>
          <w:i/>
          <w:iCs/>
          <w:color w:val="212121"/>
          <w:szCs w:val="20"/>
          <w:shd w:val="clear" w:color="auto" w:fill="FFFFFF"/>
        </w:rPr>
        <w:t xml:space="preserve"> Shropshire</w:t>
      </w:r>
      <w:r w:rsidRPr="0044654D">
        <w:rPr>
          <w:color w:val="212121"/>
          <w:szCs w:val="20"/>
          <w:shd w:val="clear" w:color="auto" w:fill="FFFFFF"/>
        </w:rPr>
        <w:t> (</w:t>
      </w:r>
      <w:r w:rsidRPr="00BF6E3A">
        <w:rPr>
          <w:szCs w:val="20"/>
          <w:bdr w:val="none" w:sz="0" w:space="0" w:color="auto" w:frame="1"/>
          <w:shd w:val="clear" w:color="auto" w:fill="FFFFFF"/>
        </w:rPr>
        <w:t>[1995] 4 SCR 22</w:t>
      </w:r>
      <w:r w:rsidR="00BF6E3A">
        <w:rPr>
          <w:szCs w:val="20"/>
          <w:bdr w:val="none" w:sz="0" w:space="0" w:color="auto" w:frame="1"/>
          <w:shd w:val="clear" w:color="auto" w:fill="FFFFFF"/>
        </w:rPr>
        <w:t xml:space="preserve">7) </w:t>
      </w:r>
      <w:r w:rsidRPr="0044654D">
        <w:rPr>
          <w:szCs w:val="20"/>
        </w:rPr>
        <w:t>at para 46.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rialMT">
    <w:altName w:val="Klee One"/>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0068012"/>
      <w:docPartObj>
        <w:docPartGallery w:val="Page Numbers (Bottom of Page)"/>
        <w:docPartUnique/>
      </w:docPartObj>
    </w:sdtPr>
    <w:sdtEndPr>
      <w:rPr>
        <w:noProof/>
      </w:rPr>
    </w:sdtEndPr>
    <w:sdtContent>
      <w:p w14:paraId="5A974E4B" w14:textId="77777777" w:rsidR="002D7233" w:rsidRDefault="002D7233">
        <w:pPr>
          <w:pStyle w:val="Footer"/>
          <w:jc w:val="center"/>
        </w:pPr>
        <w:r>
          <w:fldChar w:fldCharType="begin"/>
        </w:r>
        <w:r>
          <w:instrText xml:space="preserve"> PAGE   \* MERGEFORMAT </w:instrText>
        </w:r>
        <w:r>
          <w:fldChar w:fldCharType="separate"/>
        </w:r>
        <w:r w:rsidR="007B1AE9">
          <w:rPr>
            <w:noProof/>
          </w:rPr>
          <w:t>1</w:t>
        </w:r>
        <w:r>
          <w:rPr>
            <w:noProof/>
          </w:rPr>
          <w:fldChar w:fldCharType="end"/>
        </w:r>
      </w:p>
    </w:sdtContent>
  </w:sdt>
  <w:p w14:paraId="79A387D5" w14:textId="77777777" w:rsidR="002D7233" w:rsidRDefault="002D7233" w:rsidP="006907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34B46" w14:textId="77777777" w:rsidR="00D21DF5" w:rsidRDefault="00D21DF5" w:rsidP="0069073E">
      <w:r>
        <w:separator/>
      </w:r>
    </w:p>
  </w:footnote>
  <w:footnote w:type="continuationSeparator" w:id="0">
    <w:p w14:paraId="08EA32CF" w14:textId="77777777" w:rsidR="00D21DF5" w:rsidRDefault="00D21DF5" w:rsidP="00690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FC0B" w14:textId="04CE76B4" w:rsidR="002D7233" w:rsidRDefault="002D7233" w:rsidP="00FA307B">
    <w:pPr>
      <w:tabs>
        <w:tab w:val="left" w:pos="4815"/>
      </w:tabs>
    </w:pPr>
    <w:r>
      <w:rPr>
        <w:noProof/>
        <w:lang w:eastAsia="en-CA"/>
      </w:rPr>
      <mc:AlternateContent>
        <mc:Choice Requires="wps">
          <w:drawing>
            <wp:anchor distT="0" distB="0" distL="114300" distR="114300" simplePos="0" relativeHeight="251657216" behindDoc="0" locked="0" layoutInCell="1" allowOverlap="1" wp14:anchorId="6E284549" wp14:editId="19F6F849">
              <wp:simplePos x="0" y="0"/>
              <wp:positionH relativeFrom="column">
                <wp:posOffset>0</wp:posOffset>
              </wp:positionH>
              <wp:positionV relativeFrom="paragraph">
                <wp:posOffset>0</wp:posOffset>
              </wp:positionV>
              <wp:extent cx="635000" cy="635000"/>
              <wp:effectExtent l="0" t="0" r="3175" b="3175"/>
              <wp:wrapNone/>
              <wp:docPr id="1120604932" name="Text Box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w:pict>
            <v:shapetype w14:anchorId="61B97B63" id="_x0000_t202" coordsize="21600,21600" o:spt="202" path="m,l,21600r21600,l21600,xe">
              <v:stroke joinstyle="miter"/>
              <v:path gradientshapeok="t" o:connecttype="rect"/>
            </v:shapetype>
            <v:shape id="Text Box 3"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" filled="f" stroked="f">
              <o:lock v:ext="edit" selection="t" text="t" shapetype="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7773"/>
    <w:multiLevelType w:val="hybridMultilevel"/>
    <w:tmpl w:val="87C884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73407B"/>
    <w:multiLevelType w:val="hybridMultilevel"/>
    <w:tmpl w:val="BF20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25D53"/>
    <w:multiLevelType w:val="hybridMultilevel"/>
    <w:tmpl w:val="057E0B0A"/>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02465516"/>
    <w:multiLevelType w:val="hybridMultilevel"/>
    <w:tmpl w:val="9320E0D8"/>
    <w:lvl w:ilvl="0" w:tplc="566826D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213FAF"/>
    <w:multiLevelType w:val="multilevel"/>
    <w:tmpl w:val="C15EB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3D1292F"/>
    <w:multiLevelType w:val="hybridMultilevel"/>
    <w:tmpl w:val="3DEA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25085"/>
    <w:multiLevelType w:val="multilevel"/>
    <w:tmpl w:val="A6BC104E"/>
    <w:lvl w:ilvl="0">
      <w:start w:val="3"/>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03E23086"/>
    <w:multiLevelType w:val="hybridMultilevel"/>
    <w:tmpl w:val="A2F4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273C6"/>
    <w:multiLevelType w:val="hybridMultilevel"/>
    <w:tmpl w:val="D0EA4CFC"/>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777" w:hanging="360"/>
      </w:pPr>
      <w:rPr>
        <w:rFonts w:ascii="Symbol" w:hAnsi="Symbol" w:hint="default"/>
      </w:rPr>
    </w:lvl>
    <w:lvl w:ilvl="2" w:tplc="10090001">
      <w:start w:val="1"/>
      <w:numFmt w:val="bullet"/>
      <w:lvlText w:val=""/>
      <w:lvlJc w:val="left"/>
      <w:pPr>
        <w:ind w:left="72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66330A6"/>
    <w:multiLevelType w:val="multilevel"/>
    <w:tmpl w:val="EE166FF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07087836"/>
    <w:multiLevelType w:val="hybridMultilevel"/>
    <w:tmpl w:val="E36AF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7B5589F"/>
    <w:multiLevelType w:val="multilevel"/>
    <w:tmpl w:val="FA8A132C"/>
    <w:styleLink w:val="CurrentList3"/>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FF701D"/>
    <w:multiLevelType w:val="hybridMultilevel"/>
    <w:tmpl w:val="456819C2"/>
    <w:lvl w:ilvl="0" w:tplc="1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08207742"/>
    <w:multiLevelType w:val="hybridMultilevel"/>
    <w:tmpl w:val="C4DCC6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8C17811"/>
    <w:multiLevelType w:val="hybridMultilevel"/>
    <w:tmpl w:val="DFD454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96B75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802809"/>
    <w:multiLevelType w:val="multilevel"/>
    <w:tmpl w:val="4EC2D0F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9A40022"/>
    <w:multiLevelType w:val="multilevel"/>
    <w:tmpl w:val="783E7D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A51643F"/>
    <w:multiLevelType w:val="hybridMultilevel"/>
    <w:tmpl w:val="5850615E"/>
    <w:lvl w:ilvl="0" w:tplc="FFA63E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A767A0A"/>
    <w:multiLevelType w:val="multilevel"/>
    <w:tmpl w:val="254C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ABC0B72"/>
    <w:multiLevelType w:val="hybridMultilevel"/>
    <w:tmpl w:val="95684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4C6FC6"/>
    <w:multiLevelType w:val="hybridMultilevel"/>
    <w:tmpl w:val="9DAC77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0C972397"/>
    <w:multiLevelType w:val="hybridMultilevel"/>
    <w:tmpl w:val="A476D69C"/>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0D1B751C"/>
    <w:multiLevelType w:val="multilevel"/>
    <w:tmpl w:val="28745D84"/>
    <w:lvl w:ilvl="0">
      <w:start w:val="2"/>
      <w:numFmt w:val="decimal"/>
      <w:lvlText w:val="%1"/>
      <w:lvlJc w:val="left"/>
      <w:pPr>
        <w:ind w:left="420" w:hanging="420"/>
      </w:pPr>
      <w:rPr>
        <w:rFonts w:hint="default"/>
      </w:rPr>
    </w:lvl>
    <w:lvl w:ilvl="1">
      <w:start w:val="2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EA2118F"/>
    <w:multiLevelType w:val="hybridMultilevel"/>
    <w:tmpl w:val="33C4730E"/>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0FA55FDF"/>
    <w:multiLevelType w:val="hybridMultilevel"/>
    <w:tmpl w:val="5224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CE1504"/>
    <w:multiLevelType w:val="hybridMultilevel"/>
    <w:tmpl w:val="195885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11A4EF5"/>
    <w:multiLevelType w:val="hybridMultilevel"/>
    <w:tmpl w:val="DF72D9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3F97162"/>
    <w:multiLevelType w:val="hybridMultilevel"/>
    <w:tmpl w:val="23AE54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14AF3C53"/>
    <w:multiLevelType w:val="hybridMultilevel"/>
    <w:tmpl w:val="133675D8"/>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0" w15:restartNumberingAfterBreak="0">
    <w:nsid w:val="156577C7"/>
    <w:multiLevelType w:val="hybridMultilevel"/>
    <w:tmpl w:val="A7CA86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6FC63C2"/>
    <w:multiLevelType w:val="multilevel"/>
    <w:tmpl w:val="85E8BE08"/>
    <w:lvl w:ilvl="0">
      <w:start w:val="2"/>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829152C"/>
    <w:multiLevelType w:val="multilevel"/>
    <w:tmpl w:val="D74066D4"/>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8C861D6"/>
    <w:multiLevelType w:val="hybridMultilevel"/>
    <w:tmpl w:val="3C2E0C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19BD2F79"/>
    <w:multiLevelType w:val="hybridMultilevel"/>
    <w:tmpl w:val="2E827D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19CF62B7"/>
    <w:multiLevelType w:val="hybridMultilevel"/>
    <w:tmpl w:val="EBDE569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72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1A125B90"/>
    <w:multiLevelType w:val="multilevel"/>
    <w:tmpl w:val="D1BA842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AFC7D24"/>
    <w:multiLevelType w:val="multilevel"/>
    <w:tmpl w:val="423EB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BC2292D"/>
    <w:multiLevelType w:val="hybridMultilevel"/>
    <w:tmpl w:val="D8F241AE"/>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9" w15:restartNumberingAfterBreak="0">
    <w:nsid w:val="1CE35BB4"/>
    <w:multiLevelType w:val="hybridMultilevel"/>
    <w:tmpl w:val="B8D694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1D0D27FD"/>
    <w:multiLevelType w:val="multilevel"/>
    <w:tmpl w:val="C3A40CB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D707706"/>
    <w:multiLevelType w:val="hybridMultilevel"/>
    <w:tmpl w:val="34D2B2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1DE522CC"/>
    <w:multiLevelType w:val="hybridMultilevel"/>
    <w:tmpl w:val="444A2E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1E461C7B"/>
    <w:multiLevelType w:val="multilevel"/>
    <w:tmpl w:val="C532B48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E641AD3"/>
    <w:multiLevelType w:val="hybridMultilevel"/>
    <w:tmpl w:val="B2BEC224"/>
    <w:lvl w:ilvl="0" w:tplc="FFFFFFFF">
      <w:start w:val="3"/>
      <w:numFmt w:val="decimal"/>
      <w:lvlText w:val="%1)"/>
      <w:lvlJc w:val="left"/>
      <w:pPr>
        <w:ind w:left="720" w:hanging="360"/>
      </w:pPr>
      <w:rPr>
        <w:rFonts w:hint="default"/>
      </w:rPr>
    </w:lvl>
    <w:lvl w:ilvl="1" w:tplc="10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F4004A2"/>
    <w:multiLevelType w:val="hybridMultilevel"/>
    <w:tmpl w:val="C1DA77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1F7B7B2A"/>
    <w:multiLevelType w:val="hybridMultilevel"/>
    <w:tmpl w:val="AC40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772A02"/>
    <w:multiLevelType w:val="hybridMultilevel"/>
    <w:tmpl w:val="8A00A3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209F18D3"/>
    <w:multiLevelType w:val="multilevel"/>
    <w:tmpl w:val="1724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17F462C"/>
    <w:multiLevelType w:val="hybridMultilevel"/>
    <w:tmpl w:val="A7342294"/>
    <w:lvl w:ilvl="0" w:tplc="4E78AF46">
      <w:start w:val="1"/>
      <w:numFmt w:val="upperLetter"/>
      <w:lvlText w:val="%1."/>
      <w:lvlJc w:val="left"/>
      <w:pPr>
        <w:ind w:left="720" w:hanging="360"/>
      </w:pPr>
      <w:rPr>
        <w:rFonts w:eastAsia="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21863E92"/>
    <w:multiLevelType w:val="hybridMultilevel"/>
    <w:tmpl w:val="114607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224020B1"/>
    <w:multiLevelType w:val="hybridMultilevel"/>
    <w:tmpl w:val="B5446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27528CA"/>
    <w:multiLevelType w:val="hybridMultilevel"/>
    <w:tmpl w:val="F0FEE5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23680677"/>
    <w:multiLevelType w:val="hybridMultilevel"/>
    <w:tmpl w:val="49EAF6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238B33D6"/>
    <w:multiLevelType w:val="hybridMultilevel"/>
    <w:tmpl w:val="B9D6FB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240177FC"/>
    <w:multiLevelType w:val="hybridMultilevel"/>
    <w:tmpl w:val="B3E62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5932C7B"/>
    <w:multiLevelType w:val="hybridMultilevel"/>
    <w:tmpl w:val="4ADE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A4395C"/>
    <w:multiLevelType w:val="hybridMultilevel"/>
    <w:tmpl w:val="9F46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337311"/>
    <w:multiLevelType w:val="hybridMultilevel"/>
    <w:tmpl w:val="47DC2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2964165C"/>
    <w:multiLevelType w:val="hybridMultilevel"/>
    <w:tmpl w:val="114AA4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2B435963"/>
    <w:multiLevelType w:val="hybridMultilevel"/>
    <w:tmpl w:val="E6D4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8423CD"/>
    <w:multiLevelType w:val="hybridMultilevel"/>
    <w:tmpl w:val="706E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FD516D"/>
    <w:multiLevelType w:val="hybridMultilevel"/>
    <w:tmpl w:val="F710B310"/>
    <w:lvl w:ilvl="0" w:tplc="5D7E25D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2C271442"/>
    <w:multiLevelType w:val="hybridMultilevel"/>
    <w:tmpl w:val="E1948008"/>
    <w:lvl w:ilvl="0" w:tplc="A7EEBE5C">
      <w:start w:val="1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D1E13F3"/>
    <w:multiLevelType w:val="multilevel"/>
    <w:tmpl w:val="1DDC01A4"/>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5" w15:restartNumberingAfterBreak="0">
    <w:nsid w:val="2E6B7537"/>
    <w:multiLevelType w:val="hybridMultilevel"/>
    <w:tmpl w:val="1DA00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AA6FC6"/>
    <w:multiLevelType w:val="hybridMultilevel"/>
    <w:tmpl w:val="BC9E77FE"/>
    <w:lvl w:ilvl="0" w:tplc="C2306408">
      <w:start w:val="7"/>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2EBA5A1D"/>
    <w:multiLevelType w:val="multilevel"/>
    <w:tmpl w:val="8CFAFA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2EF9395D"/>
    <w:multiLevelType w:val="multilevel"/>
    <w:tmpl w:val="C7FC8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2FD41FE2"/>
    <w:multiLevelType w:val="hybridMultilevel"/>
    <w:tmpl w:val="A63A82F6"/>
    <w:lvl w:ilvl="0" w:tplc="899A5412">
      <w:start w:val="1"/>
      <w:numFmt w:val="decimal"/>
      <w:lvlText w:val="%1)"/>
      <w:lvlJc w:val="left"/>
      <w:pPr>
        <w:ind w:left="1080" w:hanging="360"/>
      </w:pPr>
      <w:rPr>
        <w:rFonts w:hint="default"/>
        <w:i w:val="0"/>
        <w:iCs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0" w15:restartNumberingAfterBreak="0">
    <w:nsid w:val="312B0D77"/>
    <w:multiLevelType w:val="hybridMultilevel"/>
    <w:tmpl w:val="6E5AD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31513C5C"/>
    <w:multiLevelType w:val="hybridMultilevel"/>
    <w:tmpl w:val="66D46332"/>
    <w:lvl w:ilvl="0" w:tplc="04090001">
      <w:start w:val="1"/>
      <w:numFmt w:val="bullet"/>
      <w:lvlText w:val=""/>
      <w:lvlJc w:val="left"/>
      <w:pPr>
        <w:ind w:left="720" w:hanging="360"/>
      </w:pPr>
      <w:rPr>
        <w:rFonts w:ascii="Symbol" w:hAnsi="Symbol" w:hint="default"/>
      </w:rPr>
    </w:lvl>
    <w:lvl w:ilvl="1" w:tplc="06AE7D7A">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18200B6"/>
    <w:multiLevelType w:val="multilevel"/>
    <w:tmpl w:val="0AAA93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318A45D5"/>
    <w:multiLevelType w:val="hybridMultilevel"/>
    <w:tmpl w:val="19B22EF8"/>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1955453"/>
    <w:multiLevelType w:val="hybridMultilevel"/>
    <w:tmpl w:val="697E8D2A"/>
    <w:lvl w:ilvl="0" w:tplc="65F86064">
      <w:start w:val="1"/>
      <w:numFmt w:val="decimal"/>
      <w:lvlText w:val="%1)"/>
      <w:lvlJc w:val="left"/>
      <w:pPr>
        <w:ind w:left="1440" w:hanging="360"/>
      </w:pPr>
      <w:rPr>
        <w:rFonts w:asciiTheme="minorHAnsi" w:eastAsiaTheme="minorHAnsi" w:hAnsiTheme="minorHAnsi" w:cstheme="minorHAns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326808CB"/>
    <w:multiLevelType w:val="multilevel"/>
    <w:tmpl w:val="FD44DCE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333F2E43"/>
    <w:multiLevelType w:val="hybridMultilevel"/>
    <w:tmpl w:val="4852CA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33A624BC"/>
    <w:multiLevelType w:val="multilevel"/>
    <w:tmpl w:val="4A3A12A4"/>
    <w:styleLink w:val="CurrentList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3C36A8B"/>
    <w:multiLevelType w:val="hybridMultilevel"/>
    <w:tmpl w:val="2BE666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33CD00C7"/>
    <w:multiLevelType w:val="hybridMultilevel"/>
    <w:tmpl w:val="E834D0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374C157A"/>
    <w:multiLevelType w:val="hybridMultilevel"/>
    <w:tmpl w:val="1FB491D6"/>
    <w:lvl w:ilvl="0" w:tplc="10090001">
      <w:start w:val="1"/>
      <w:numFmt w:val="bullet"/>
      <w:lvlText w:val=""/>
      <w:lvlJc w:val="left"/>
      <w:pPr>
        <w:ind w:left="777" w:hanging="360"/>
      </w:pPr>
      <w:rPr>
        <w:rFonts w:ascii="Symbol" w:hAnsi="Symbol" w:hint="default"/>
      </w:rPr>
    </w:lvl>
    <w:lvl w:ilvl="1" w:tplc="10090003" w:tentative="1">
      <w:start w:val="1"/>
      <w:numFmt w:val="bullet"/>
      <w:lvlText w:val="o"/>
      <w:lvlJc w:val="left"/>
      <w:pPr>
        <w:ind w:left="1497" w:hanging="360"/>
      </w:pPr>
      <w:rPr>
        <w:rFonts w:ascii="Courier New" w:hAnsi="Courier New" w:cs="Courier New" w:hint="default"/>
      </w:rPr>
    </w:lvl>
    <w:lvl w:ilvl="2" w:tplc="10090005" w:tentative="1">
      <w:start w:val="1"/>
      <w:numFmt w:val="bullet"/>
      <w:lvlText w:val=""/>
      <w:lvlJc w:val="left"/>
      <w:pPr>
        <w:ind w:left="2217" w:hanging="360"/>
      </w:pPr>
      <w:rPr>
        <w:rFonts w:ascii="Wingdings" w:hAnsi="Wingdings" w:hint="default"/>
      </w:rPr>
    </w:lvl>
    <w:lvl w:ilvl="3" w:tplc="10090001" w:tentative="1">
      <w:start w:val="1"/>
      <w:numFmt w:val="bullet"/>
      <w:lvlText w:val=""/>
      <w:lvlJc w:val="left"/>
      <w:pPr>
        <w:ind w:left="2937" w:hanging="360"/>
      </w:pPr>
      <w:rPr>
        <w:rFonts w:ascii="Symbol" w:hAnsi="Symbol" w:hint="default"/>
      </w:rPr>
    </w:lvl>
    <w:lvl w:ilvl="4" w:tplc="10090003" w:tentative="1">
      <w:start w:val="1"/>
      <w:numFmt w:val="bullet"/>
      <w:lvlText w:val="o"/>
      <w:lvlJc w:val="left"/>
      <w:pPr>
        <w:ind w:left="3657" w:hanging="360"/>
      </w:pPr>
      <w:rPr>
        <w:rFonts w:ascii="Courier New" w:hAnsi="Courier New" w:cs="Courier New" w:hint="default"/>
      </w:rPr>
    </w:lvl>
    <w:lvl w:ilvl="5" w:tplc="10090005" w:tentative="1">
      <w:start w:val="1"/>
      <w:numFmt w:val="bullet"/>
      <w:lvlText w:val=""/>
      <w:lvlJc w:val="left"/>
      <w:pPr>
        <w:ind w:left="4377" w:hanging="360"/>
      </w:pPr>
      <w:rPr>
        <w:rFonts w:ascii="Wingdings" w:hAnsi="Wingdings" w:hint="default"/>
      </w:rPr>
    </w:lvl>
    <w:lvl w:ilvl="6" w:tplc="10090001" w:tentative="1">
      <w:start w:val="1"/>
      <w:numFmt w:val="bullet"/>
      <w:lvlText w:val=""/>
      <w:lvlJc w:val="left"/>
      <w:pPr>
        <w:ind w:left="5097" w:hanging="360"/>
      </w:pPr>
      <w:rPr>
        <w:rFonts w:ascii="Symbol" w:hAnsi="Symbol" w:hint="default"/>
      </w:rPr>
    </w:lvl>
    <w:lvl w:ilvl="7" w:tplc="10090003" w:tentative="1">
      <w:start w:val="1"/>
      <w:numFmt w:val="bullet"/>
      <w:lvlText w:val="o"/>
      <w:lvlJc w:val="left"/>
      <w:pPr>
        <w:ind w:left="5817" w:hanging="360"/>
      </w:pPr>
      <w:rPr>
        <w:rFonts w:ascii="Courier New" w:hAnsi="Courier New" w:cs="Courier New" w:hint="default"/>
      </w:rPr>
    </w:lvl>
    <w:lvl w:ilvl="8" w:tplc="10090005" w:tentative="1">
      <w:start w:val="1"/>
      <w:numFmt w:val="bullet"/>
      <w:lvlText w:val=""/>
      <w:lvlJc w:val="left"/>
      <w:pPr>
        <w:ind w:left="6537" w:hanging="360"/>
      </w:pPr>
      <w:rPr>
        <w:rFonts w:ascii="Wingdings" w:hAnsi="Wingdings" w:hint="default"/>
      </w:rPr>
    </w:lvl>
  </w:abstractNum>
  <w:abstractNum w:abstractNumId="81" w15:restartNumberingAfterBreak="0">
    <w:nsid w:val="387C1C4F"/>
    <w:multiLevelType w:val="hybridMultilevel"/>
    <w:tmpl w:val="6620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3A2E4864"/>
    <w:multiLevelType w:val="hybridMultilevel"/>
    <w:tmpl w:val="6D74822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3" w15:restartNumberingAfterBreak="0">
    <w:nsid w:val="3B21141A"/>
    <w:multiLevelType w:val="hybridMultilevel"/>
    <w:tmpl w:val="CD10676A"/>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4" w15:restartNumberingAfterBreak="0">
    <w:nsid w:val="3BBB25B5"/>
    <w:multiLevelType w:val="hybridMultilevel"/>
    <w:tmpl w:val="9ED60D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3DD6043C"/>
    <w:multiLevelType w:val="hybridMultilevel"/>
    <w:tmpl w:val="4024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085B0B"/>
    <w:multiLevelType w:val="hybridMultilevel"/>
    <w:tmpl w:val="06649EC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3F710845"/>
    <w:multiLevelType w:val="hybridMultilevel"/>
    <w:tmpl w:val="DC344436"/>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78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41CC69DB"/>
    <w:multiLevelType w:val="hybridMultilevel"/>
    <w:tmpl w:val="C456945A"/>
    <w:lvl w:ilvl="0" w:tplc="D15403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42FA38E6"/>
    <w:multiLevelType w:val="hybridMultilevel"/>
    <w:tmpl w:val="26588B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43096B88"/>
    <w:multiLevelType w:val="hybridMultilevel"/>
    <w:tmpl w:val="04BAB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435546A0"/>
    <w:multiLevelType w:val="hybridMultilevel"/>
    <w:tmpl w:val="5C28C358"/>
    <w:lvl w:ilvl="0" w:tplc="80EAFFD4">
      <w:start w:val="1"/>
      <w:numFmt w:val="lowerLetter"/>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45290987"/>
    <w:multiLevelType w:val="hybridMultilevel"/>
    <w:tmpl w:val="80E2FEDC"/>
    <w:lvl w:ilvl="0" w:tplc="8F762062">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15:restartNumberingAfterBreak="0">
    <w:nsid w:val="45F757A1"/>
    <w:multiLevelType w:val="hybridMultilevel"/>
    <w:tmpl w:val="FB96636E"/>
    <w:lvl w:ilvl="0" w:tplc="10090001">
      <w:start w:val="1"/>
      <w:numFmt w:val="bullet"/>
      <w:lvlText w:val=""/>
      <w:lvlJc w:val="left"/>
      <w:pPr>
        <w:ind w:left="900" w:hanging="360"/>
      </w:pPr>
      <w:rPr>
        <w:rFonts w:ascii="Symbol" w:hAnsi="Symbol" w:hint="default"/>
      </w:rPr>
    </w:lvl>
    <w:lvl w:ilvl="1" w:tplc="10090003">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94" w15:restartNumberingAfterBreak="0">
    <w:nsid w:val="48116E9D"/>
    <w:multiLevelType w:val="hybridMultilevel"/>
    <w:tmpl w:val="A8DE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8360D29"/>
    <w:multiLevelType w:val="hybridMultilevel"/>
    <w:tmpl w:val="26FC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A32447"/>
    <w:multiLevelType w:val="hybridMultilevel"/>
    <w:tmpl w:val="CF8A6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A1F4884"/>
    <w:multiLevelType w:val="hybridMultilevel"/>
    <w:tmpl w:val="836A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A444B6E"/>
    <w:multiLevelType w:val="hybridMultilevel"/>
    <w:tmpl w:val="186426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15:restartNumberingAfterBreak="0">
    <w:nsid w:val="4A613EDC"/>
    <w:multiLevelType w:val="hybridMultilevel"/>
    <w:tmpl w:val="65944B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4A834B32"/>
    <w:multiLevelType w:val="multilevel"/>
    <w:tmpl w:val="0D1C3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4B2458BC"/>
    <w:multiLevelType w:val="hybridMultilevel"/>
    <w:tmpl w:val="EBA23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4C954254"/>
    <w:multiLevelType w:val="hybridMultilevel"/>
    <w:tmpl w:val="94A87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F94387D"/>
    <w:multiLevelType w:val="hybridMultilevel"/>
    <w:tmpl w:val="E8FCC75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15:restartNumberingAfterBreak="0">
    <w:nsid w:val="4FA064AF"/>
    <w:multiLevelType w:val="hybridMultilevel"/>
    <w:tmpl w:val="A1DE6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071352"/>
    <w:multiLevelType w:val="hybridMultilevel"/>
    <w:tmpl w:val="0FEACEF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528A45A0"/>
    <w:multiLevelType w:val="multilevel"/>
    <w:tmpl w:val="B0041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54964AA5"/>
    <w:multiLevelType w:val="hybridMultilevel"/>
    <w:tmpl w:val="B642BA7E"/>
    <w:lvl w:ilvl="0" w:tplc="10090015">
      <w:start w:val="1"/>
      <w:numFmt w:val="upperLetter"/>
      <w:lvlText w:val="%1."/>
      <w:lvlJc w:val="left"/>
      <w:pPr>
        <w:ind w:left="1890" w:hanging="360"/>
      </w:pPr>
      <w:rPr>
        <w:rFonts w:hint="default"/>
      </w:rPr>
    </w:lvl>
    <w:lvl w:ilvl="1" w:tplc="10090019" w:tentative="1">
      <w:start w:val="1"/>
      <w:numFmt w:val="lowerLetter"/>
      <w:lvlText w:val="%2."/>
      <w:lvlJc w:val="left"/>
      <w:pPr>
        <w:ind w:left="2610" w:hanging="360"/>
      </w:pPr>
    </w:lvl>
    <w:lvl w:ilvl="2" w:tplc="1009001B" w:tentative="1">
      <w:start w:val="1"/>
      <w:numFmt w:val="lowerRoman"/>
      <w:lvlText w:val="%3."/>
      <w:lvlJc w:val="right"/>
      <w:pPr>
        <w:ind w:left="3330" w:hanging="180"/>
      </w:pPr>
    </w:lvl>
    <w:lvl w:ilvl="3" w:tplc="1009000F" w:tentative="1">
      <w:start w:val="1"/>
      <w:numFmt w:val="decimal"/>
      <w:lvlText w:val="%4."/>
      <w:lvlJc w:val="left"/>
      <w:pPr>
        <w:ind w:left="4050" w:hanging="360"/>
      </w:pPr>
    </w:lvl>
    <w:lvl w:ilvl="4" w:tplc="10090019" w:tentative="1">
      <w:start w:val="1"/>
      <w:numFmt w:val="lowerLetter"/>
      <w:lvlText w:val="%5."/>
      <w:lvlJc w:val="left"/>
      <w:pPr>
        <w:ind w:left="4770" w:hanging="360"/>
      </w:pPr>
    </w:lvl>
    <w:lvl w:ilvl="5" w:tplc="1009001B" w:tentative="1">
      <w:start w:val="1"/>
      <w:numFmt w:val="lowerRoman"/>
      <w:lvlText w:val="%6."/>
      <w:lvlJc w:val="right"/>
      <w:pPr>
        <w:ind w:left="5490" w:hanging="180"/>
      </w:pPr>
    </w:lvl>
    <w:lvl w:ilvl="6" w:tplc="1009000F" w:tentative="1">
      <w:start w:val="1"/>
      <w:numFmt w:val="decimal"/>
      <w:lvlText w:val="%7."/>
      <w:lvlJc w:val="left"/>
      <w:pPr>
        <w:ind w:left="6210" w:hanging="360"/>
      </w:pPr>
    </w:lvl>
    <w:lvl w:ilvl="7" w:tplc="10090019" w:tentative="1">
      <w:start w:val="1"/>
      <w:numFmt w:val="lowerLetter"/>
      <w:lvlText w:val="%8."/>
      <w:lvlJc w:val="left"/>
      <w:pPr>
        <w:ind w:left="6930" w:hanging="360"/>
      </w:pPr>
    </w:lvl>
    <w:lvl w:ilvl="8" w:tplc="1009001B" w:tentative="1">
      <w:start w:val="1"/>
      <w:numFmt w:val="lowerRoman"/>
      <w:lvlText w:val="%9."/>
      <w:lvlJc w:val="right"/>
      <w:pPr>
        <w:ind w:left="7650" w:hanging="180"/>
      </w:pPr>
    </w:lvl>
  </w:abstractNum>
  <w:abstractNum w:abstractNumId="108" w15:restartNumberingAfterBreak="0">
    <w:nsid w:val="556F47C9"/>
    <w:multiLevelType w:val="hybridMultilevel"/>
    <w:tmpl w:val="81123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7056DB"/>
    <w:multiLevelType w:val="hybridMultilevel"/>
    <w:tmpl w:val="9ACE7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7AD4E41"/>
    <w:multiLevelType w:val="hybridMultilevel"/>
    <w:tmpl w:val="C62886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15:restartNumberingAfterBreak="0">
    <w:nsid w:val="583F2EFF"/>
    <w:multiLevelType w:val="hybridMultilevel"/>
    <w:tmpl w:val="4ECA04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58625F67"/>
    <w:multiLevelType w:val="multilevel"/>
    <w:tmpl w:val="88E89732"/>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59294C80"/>
    <w:multiLevelType w:val="hybridMultilevel"/>
    <w:tmpl w:val="28AA69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4" w15:restartNumberingAfterBreak="0">
    <w:nsid w:val="5A134D21"/>
    <w:multiLevelType w:val="hybridMultilevel"/>
    <w:tmpl w:val="F2B261DE"/>
    <w:lvl w:ilvl="0" w:tplc="910E3A96">
      <w:start w:val="1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A7D2C42"/>
    <w:multiLevelType w:val="hybridMultilevel"/>
    <w:tmpl w:val="25DCECF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6" w15:restartNumberingAfterBreak="0">
    <w:nsid w:val="5C2A7759"/>
    <w:multiLevelType w:val="multilevel"/>
    <w:tmpl w:val="19B22EF8"/>
    <w:styleLink w:val="CurrentList1"/>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5CB7285D"/>
    <w:multiLevelType w:val="hybridMultilevel"/>
    <w:tmpl w:val="012AF8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5DCE7B19"/>
    <w:multiLevelType w:val="multilevel"/>
    <w:tmpl w:val="7D0832F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5E2E5B20"/>
    <w:multiLevelType w:val="hybridMultilevel"/>
    <w:tmpl w:val="539E663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0" w15:restartNumberingAfterBreak="0">
    <w:nsid w:val="5E634A6E"/>
    <w:multiLevelType w:val="hybridMultilevel"/>
    <w:tmpl w:val="51942652"/>
    <w:lvl w:ilvl="0" w:tplc="FFFFFFFF">
      <w:start w:val="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340" w:hanging="360"/>
      </w:pPr>
      <w:rPr>
        <w:rFonts w:ascii="Symbol" w:hAnsi="Symbol" w:hint="default"/>
      </w:rPr>
    </w:lvl>
    <w:lvl w:ilvl="3" w:tplc="A5B6D2E6">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F2E3803"/>
    <w:multiLevelType w:val="hybridMultilevel"/>
    <w:tmpl w:val="35F4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FA80390"/>
    <w:multiLevelType w:val="multilevel"/>
    <w:tmpl w:val="B18E0D48"/>
    <w:lvl w:ilvl="0">
      <w:start w:val="1"/>
      <w:numFmt w:val="decimal"/>
      <w:lvlText w:val="%1."/>
      <w:lvlJc w:val="left"/>
      <w:pPr>
        <w:ind w:left="720" w:hanging="360"/>
      </w:pPr>
    </w:lvl>
    <w:lvl w:ilvl="1">
      <w:start w:val="2"/>
      <w:numFmt w:val="decimal"/>
      <w:lvlText w:val="%1.%2"/>
      <w:lvlJc w:val="left"/>
      <w:pPr>
        <w:ind w:left="900" w:hanging="360"/>
      </w:pPr>
    </w:lvl>
    <w:lvl w:ilvl="2">
      <w:start w:val="1"/>
      <w:numFmt w:val="decimal"/>
      <w:lvlText w:val="%1.%2.%3"/>
      <w:lvlJc w:val="left"/>
      <w:pPr>
        <w:ind w:left="1440" w:hanging="720"/>
      </w:pPr>
    </w:lvl>
    <w:lvl w:ilvl="3">
      <w:start w:val="1"/>
      <w:numFmt w:val="decimal"/>
      <w:lvlText w:val="%1.%2.%3.%4"/>
      <w:lvlJc w:val="left"/>
      <w:pPr>
        <w:ind w:left="1620" w:hanging="720"/>
      </w:pPr>
    </w:lvl>
    <w:lvl w:ilvl="4">
      <w:start w:val="1"/>
      <w:numFmt w:val="decimal"/>
      <w:lvlText w:val="%1.%2.%3.%4.%5"/>
      <w:lvlJc w:val="left"/>
      <w:pPr>
        <w:ind w:left="2160" w:hanging="1080"/>
      </w:pPr>
    </w:lvl>
    <w:lvl w:ilvl="5">
      <w:start w:val="1"/>
      <w:numFmt w:val="decimal"/>
      <w:lvlText w:val="%1.%2.%3.%4.%5.%6"/>
      <w:lvlJc w:val="left"/>
      <w:pPr>
        <w:ind w:left="2700" w:hanging="1440"/>
      </w:pPr>
    </w:lvl>
    <w:lvl w:ilvl="6">
      <w:start w:val="1"/>
      <w:numFmt w:val="decimal"/>
      <w:lvlText w:val="%1.%2.%3.%4.%5.%6.%7"/>
      <w:lvlJc w:val="left"/>
      <w:pPr>
        <w:ind w:left="2880" w:hanging="1440"/>
      </w:pPr>
    </w:lvl>
    <w:lvl w:ilvl="7">
      <w:start w:val="1"/>
      <w:numFmt w:val="decimal"/>
      <w:lvlText w:val="%1.%2.%3.%4.%5.%6.%7.%8"/>
      <w:lvlJc w:val="left"/>
      <w:pPr>
        <w:ind w:left="3420" w:hanging="1800"/>
      </w:pPr>
    </w:lvl>
    <w:lvl w:ilvl="8">
      <w:start w:val="1"/>
      <w:numFmt w:val="decimal"/>
      <w:lvlText w:val="%1.%2.%3.%4.%5.%6.%7.%8.%9"/>
      <w:lvlJc w:val="left"/>
      <w:pPr>
        <w:ind w:left="3600" w:hanging="1800"/>
      </w:pPr>
    </w:lvl>
  </w:abstractNum>
  <w:abstractNum w:abstractNumId="123" w15:restartNumberingAfterBreak="0">
    <w:nsid w:val="62C2760B"/>
    <w:multiLevelType w:val="hybridMultilevel"/>
    <w:tmpl w:val="870076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4" w15:restartNumberingAfterBreak="0">
    <w:nsid w:val="63545E17"/>
    <w:multiLevelType w:val="hybridMultilevel"/>
    <w:tmpl w:val="BB58D19A"/>
    <w:lvl w:ilvl="0" w:tplc="B6EE7AE4">
      <w:start w:val="1"/>
      <w:numFmt w:val="bullet"/>
      <w:lvlText w:val="•"/>
      <w:lvlJc w:val="left"/>
      <w:pPr>
        <w:tabs>
          <w:tab w:val="num" w:pos="720"/>
        </w:tabs>
        <w:ind w:left="720" w:hanging="360"/>
      </w:pPr>
      <w:rPr>
        <w:rFonts w:ascii="Arial" w:hAnsi="Arial" w:hint="default"/>
      </w:rPr>
    </w:lvl>
    <w:lvl w:ilvl="1" w:tplc="F5F2F6F6" w:tentative="1">
      <w:start w:val="1"/>
      <w:numFmt w:val="bullet"/>
      <w:lvlText w:val="•"/>
      <w:lvlJc w:val="left"/>
      <w:pPr>
        <w:tabs>
          <w:tab w:val="num" w:pos="1440"/>
        </w:tabs>
        <w:ind w:left="1440" w:hanging="360"/>
      </w:pPr>
      <w:rPr>
        <w:rFonts w:ascii="Arial" w:hAnsi="Arial" w:hint="default"/>
      </w:rPr>
    </w:lvl>
    <w:lvl w:ilvl="2" w:tplc="004CABB2" w:tentative="1">
      <w:start w:val="1"/>
      <w:numFmt w:val="bullet"/>
      <w:lvlText w:val="•"/>
      <w:lvlJc w:val="left"/>
      <w:pPr>
        <w:tabs>
          <w:tab w:val="num" w:pos="2160"/>
        </w:tabs>
        <w:ind w:left="2160" w:hanging="360"/>
      </w:pPr>
      <w:rPr>
        <w:rFonts w:ascii="Arial" w:hAnsi="Arial" w:hint="default"/>
      </w:rPr>
    </w:lvl>
    <w:lvl w:ilvl="3" w:tplc="40125FE0" w:tentative="1">
      <w:start w:val="1"/>
      <w:numFmt w:val="bullet"/>
      <w:lvlText w:val="•"/>
      <w:lvlJc w:val="left"/>
      <w:pPr>
        <w:tabs>
          <w:tab w:val="num" w:pos="2880"/>
        </w:tabs>
        <w:ind w:left="2880" w:hanging="360"/>
      </w:pPr>
      <w:rPr>
        <w:rFonts w:ascii="Arial" w:hAnsi="Arial" w:hint="default"/>
      </w:rPr>
    </w:lvl>
    <w:lvl w:ilvl="4" w:tplc="9656C6DC" w:tentative="1">
      <w:start w:val="1"/>
      <w:numFmt w:val="bullet"/>
      <w:lvlText w:val="•"/>
      <w:lvlJc w:val="left"/>
      <w:pPr>
        <w:tabs>
          <w:tab w:val="num" w:pos="3600"/>
        </w:tabs>
        <w:ind w:left="3600" w:hanging="360"/>
      </w:pPr>
      <w:rPr>
        <w:rFonts w:ascii="Arial" w:hAnsi="Arial" w:hint="default"/>
      </w:rPr>
    </w:lvl>
    <w:lvl w:ilvl="5" w:tplc="7C403500" w:tentative="1">
      <w:start w:val="1"/>
      <w:numFmt w:val="bullet"/>
      <w:lvlText w:val="•"/>
      <w:lvlJc w:val="left"/>
      <w:pPr>
        <w:tabs>
          <w:tab w:val="num" w:pos="4320"/>
        </w:tabs>
        <w:ind w:left="4320" w:hanging="360"/>
      </w:pPr>
      <w:rPr>
        <w:rFonts w:ascii="Arial" w:hAnsi="Arial" w:hint="default"/>
      </w:rPr>
    </w:lvl>
    <w:lvl w:ilvl="6" w:tplc="91529622" w:tentative="1">
      <w:start w:val="1"/>
      <w:numFmt w:val="bullet"/>
      <w:lvlText w:val="•"/>
      <w:lvlJc w:val="left"/>
      <w:pPr>
        <w:tabs>
          <w:tab w:val="num" w:pos="5040"/>
        </w:tabs>
        <w:ind w:left="5040" w:hanging="360"/>
      </w:pPr>
      <w:rPr>
        <w:rFonts w:ascii="Arial" w:hAnsi="Arial" w:hint="default"/>
      </w:rPr>
    </w:lvl>
    <w:lvl w:ilvl="7" w:tplc="3A289446" w:tentative="1">
      <w:start w:val="1"/>
      <w:numFmt w:val="bullet"/>
      <w:lvlText w:val="•"/>
      <w:lvlJc w:val="left"/>
      <w:pPr>
        <w:tabs>
          <w:tab w:val="num" w:pos="5760"/>
        </w:tabs>
        <w:ind w:left="5760" w:hanging="360"/>
      </w:pPr>
      <w:rPr>
        <w:rFonts w:ascii="Arial" w:hAnsi="Arial" w:hint="default"/>
      </w:rPr>
    </w:lvl>
    <w:lvl w:ilvl="8" w:tplc="B60EA7DC"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63784C94"/>
    <w:multiLevelType w:val="multilevel"/>
    <w:tmpl w:val="41BC5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63940350"/>
    <w:multiLevelType w:val="hybridMultilevel"/>
    <w:tmpl w:val="8B9C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C06A7F"/>
    <w:multiLevelType w:val="hybridMultilevel"/>
    <w:tmpl w:val="A176B80C"/>
    <w:lvl w:ilvl="0" w:tplc="C41CDA8A">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8" w15:restartNumberingAfterBreak="0">
    <w:nsid w:val="64F847CE"/>
    <w:multiLevelType w:val="hybridMultilevel"/>
    <w:tmpl w:val="1DB0656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9" w15:restartNumberingAfterBreak="0">
    <w:nsid w:val="65314B94"/>
    <w:multiLevelType w:val="hybridMultilevel"/>
    <w:tmpl w:val="2A3A6700"/>
    <w:lvl w:ilvl="0" w:tplc="97645E72">
      <w:start w:val="3"/>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340" w:hanging="36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0" w15:restartNumberingAfterBreak="0">
    <w:nsid w:val="681069F4"/>
    <w:multiLevelType w:val="hybridMultilevel"/>
    <w:tmpl w:val="A4B2E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9A22A2B"/>
    <w:multiLevelType w:val="multilevel"/>
    <w:tmpl w:val="B7BC58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6B77127D"/>
    <w:multiLevelType w:val="multilevel"/>
    <w:tmpl w:val="DEDC3BBC"/>
    <w:styleLink w:val="CurrentList2"/>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6D040BF5"/>
    <w:multiLevelType w:val="multilevel"/>
    <w:tmpl w:val="F59AAC9C"/>
    <w:lvl w:ilvl="0">
      <w:start w:val="6"/>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6D716860"/>
    <w:multiLevelType w:val="multilevel"/>
    <w:tmpl w:val="E74A984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6EE35306"/>
    <w:multiLevelType w:val="hybridMultilevel"/>
    <w:tmpl w:val="C0A8A4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6" w15:restartNumberingAfterBreak="0">
    <w:nsid w:val="6F86318C"/>
    <w:multiLevelType w:val="hybridMultilevel"/>
    <w:tmpl w:val="E4D6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FC770A2"/>
    <w:multiLevelType w:val="hybridMultilevel"/>
    <w:tmpl w:val="83500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8" w15:restartNumberingAfterBreak="0">
    <w:nsid w:val="70CF0775"/>
    <w:multiLevelType w:val="hybridMultilevel"/>
    <w:tmpl w:val="884EB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9" w15:restartNumberingAfterBreak="0">
    <w:nsid w:val="713E223C"/>
    <w:multiLevelType w:val="multilevel"/>
    <w:tmpl w:val="24F8B32A"/>
    <w:lvl w:ilvl="0">
      <w:start w:val="1"/>
      <w:numFmt w:val="decimal"/>
      <w:lvlText w:val="%1."/>
      <w:lvlJc w:val="left"/>
      <w:pPr>
        <w:ind w:left="900" w:hanging="360"/>
      </w:pPr>
    </w:lvl>
    <w:lvl w:ilvl="1">
      <w:start w:val="2"/>
      <w:numFmt w:val="decimal"/>
      <w:lvlText w:val="%1.%2"/>
      <w:lvlJc w:val="left"/>
      <w:pPr>
        <w:ind w:left="900" w:hanging="360"/>
      </w:pPr>
      <w:rPr>
        <w:i w:val="0"/>
      </w:rPr>
    </w:lvl>
    <w:lvl w:ilvl="2">
      <w:start w:val="1"/>
      <w:numFmt w:val="decimal"/>
      <w:lvlText w:val="%1.%2.%3"/>
      <w:lvlJc w:val="left"/>
      <w:pPr>
        <w:ind w:left="1260" w:hanging="720"/>
      </w:pPr>
      <w:rPr>
        <w:i w:val="0"/>
      </w:rPr>
    </w:lvl>
    <w:lvl w:ilvl="3">
      <w:start w:val="1"/>
      <w:numFmt w:val="decimal"/>
      <w:lvlText w:val="%1.%2.%3.%4"/>
      <w:lvlJc w:val="left"/>
      <w:pPr>
        <w:ind w:left="1620" w:hanging="1080"/>
      </w:pPr>
      <w:rPr>
        <w:i w:val="0"/>
      </w:rPr>
    </w:lvl>
    <w:lvl w:ilvl="4">
      <w:start w:val="1"/>
      <w:numFmt w:val="decimal"/>
      <w:lvlText w:val="%1.%2.%3.%4.%5"/>
      <w:lvlJc w:val="left"/>
      <w:pPr>
        <w:ind w:left="1620" w:hanging="1080"/>
      </w:pPr>
      <w:rPr>
        <w:i w:val="0"/>
      </w:rPr>
    </w:lvl>
    <w:lvl w:ilvl="5">
      <w:start w:val="1"/>
      <w:numFmt w:val="decimal"/>
      <w:lvlText w:val="%1.%2.%3.%4.%5.%6"/>
      <w:lvlJc w:val="left"/>
      <w:pPr>
        <w:ind w:left="1980" w:hanging="1440"/>
      </w:pPr>
      <w:rPr>
        <w:i w:val="0"/>
      </w:rPr>
    </w:lvl>
    <w:lvl w:ilvl="6">
      <w:start w:val="1"/>
      <w:numFmt w:val="decimal"/>
      <w:lvlText w:val="%1.%2.%3.%4.%5.%6.%7"/>
      <w:lvlJc w:val="left"/>
      <w:pPr>
        <w:ind w:left="1980" w:hanging="1440"/>
      </w:pPr>
      <w:rPr>
        <w:i w:val="0"/>
      </w:rPr>
    </w:lvl>
    <w:lvl w:ilvl="7">
      <w:start w:val="1"/>
      <w:numFmt w:val="decimal"/>
      <w:lvlText w:val="%1.%2.%3.%4.%5.%6.%7.%8"/>
      <w:lvlJc w:val="left"/>
      <w:pPr>
        <w:ind w:left="2340" w:hanging="1800"/>
      </w:pPr>
      <w:rPr>
        <w:i w:val="0"/>
      </w:rPr>
    </w:lvl>
    <w:lvl w:ilvl="8">
      <w:start w:val="1"/>
      <w:numFmt w:val="decimal"/>
      <w:lvlText w:val="%1.%2.%3.%4.%5.%6.%7.%8.%9"/>
      <w:lvlJc w:val="left"/>
      <w:pPr>
        <w:ind w:left="2340" w:hanging="1800"/>
      </w:pPr>
      <w:rPr>
        <w:i w:val="0"/>
      </w:rPr>
    </w:lvl>
  </w:abstractNum>
  <w:abstractNum w:abstractNumId="140" w15:restartNumberingAfterBreak="0">
    <w:nsid w:val="72590B4A"/>
    <w:multiLevelType w:val="hybridMultilevel"/>
    <w:tmpl w:val="77768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2851898"/>
    <w:multiLevelType w:val="multilevel"/>
    <w:tmpl w:val="5582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298131C"/>
    <w:multiLevelType w:val="hybridMultilevel"/>
    <w:tmpl w:val="408E0C26"/>
    <w:lvl w:ilvl="0" w:tplc="7FB6E028">
      <w:start w:val="1"/>
      <w:numFmt w:val="decimal"/>
      <w:lvlText w:val="%1)"/>
      <w:lvlJc w:val="left"/>
      <w:pPr>
        <w:ind w:left="1080" w:hanging="360"/>
      </w:pPr>
      <w:rPr>
        <w:rFonts w:asciiTheme="minorHAnsi" w:hAnsiTheme="minorHAnsi" w:cstheme="minorHAnsi" w:hint="default"/>
        <w:color w:val="000000"/>
        <w:sz w:val="24"/>
        <w:szCs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3" w15:restartNumberingAfterBreak="0">
    <w:nsid w:val="742C0155"/>
    <w:multiLevelType w:val="multilevel"/>
    <w:tmpl w:val="976A62D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4" w15:restartNumberingAfterBreak="0">
    <w:nsid w:val="74676746"/>
    <w:multiLevelType w:val="hybridMultilevel"/>
    <w:tmpl w:val="7A36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E8358F"/>
    <w:multiLevelType w:val="hybridMultilevel"/>
    <w:tmpl w:val="4D46E66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6" w15:restartNumberingAfterBreak="0">
    <w:nsid w:val="76463BB9"/>
    <w:multiLevelType w:val="multilevel"/>
    <w:tmpl w:val="C1C4283C"/>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47" w15:restartNumberingAfterBreak="0">
    <w:nsid w:val="769E6151"/>
    <w:multiLevelType w:val="multilevel"/>
    <w:tmpl w:val="4014A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79DE7EA6"/>
    <w:multiLevelType w:val="hybridMultilevel"/>
    <w:tmpl w:val="E81AF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D6F627C"/>
    <w:multiLevelType w:val="hybridMultilevel"/>
    <w:tmpl w:val="BA0E5214"/>
    <w:lvl w:ilvl="0" w:tplc="0CD82DD6">
      <w:start w:val="8"/>
      <w:numFmt w:val="decimal"/>
      <w:lvlText w:val="%1)"/>
      <w:lvlJc w:val="left"/>
      <w:pPr>
        <w:ind w:left="189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C436DE54">
      <w:start w:val="1"/>
      <w:numFmt w:val="upperLetter"/>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0" w15:restartNumberingAfterBreak="0">
    <w:nsid w:val="7E2B7CD9"/>
    <w:multiLevelType w:val="hybridMultilevel"/>
    <w:tmpl w:val="E0FC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E4F7CAB"/>
    <w:multiLevelType w:val="hybridMultilevel"/>
    <w:tmpl w:val="F4C60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EEC657B"/>
    <w:multiLevelType w:val="hybridMultilevel"/>
    <w:tmpl w:val="D6C83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5566915">
    <w:abstractNumId w:val="67"/>
  </w:num>
  <w:num w:numId="2" w16cid:durableId="931205598">
    <w:abstractNumId w:val="75"/>
  </w:num>
  <w:num w:numId="3" w16cid:durableId="1934508839">
    <w:abstractNumId w:val="40"/>
  </w:num>
  <w:num w:numId="4" w16cid:durableId="1542480506">
    <w:abstractNumId w:val="125"/>
  </w:num>
  <w:num w:numId="5" w16cid:durableId="65883875">
    <w:abstractNumId w:val="17"/>
  </w:num>
  <w:num w:numId="6" w16cid:durableId="784737659">
    <w:abstractNumId w:val="37"/>
  </w:num>
  <w:num w:numId="7" w16cid:durableId="1220165277">
    <w:abstractNumId w:val="68"/>
  </w:num>
  <w:num w:numId="8" w16cid:durableId="1924487621">
    <w:abstractNumId w:val="100"/>
  </w:num>
  <w:num w:numId="9" w16cid:durableId="644824347">
    <w:abstractNumId w:val="36"/>
  </w:num>
  <w:num w:numId="10" w16cid:durableId="1709337529">
    <w:abstractNumId w:val="133"/>
  </w:num>
  <w:num w:numId="11" w16cid:durableId="1550385759">
    <w:abstractNumId w:val="147"/>
  </w:num>
  <w:num w:numId="12" w16cid:durableId="686056994">
    <w:abstractNumId w:val="106"/>
  </w:num>
  <w:num w:numId="13" w16cid:durableId="1512255773">
    <w:abstractNumId w:val="139"/>
  </w:num>
  <w:num w:numId="14" w16cid:durableId="2127001047">
    <w:abstractNumId w:val="118"/>
  </w:num>
  <w:num w:numId="15" w16cid:durableId="1461605880">
    <w:abstractNumId w:val="31"/>
  </w:num>
  <w:num w:numId="16" w16cid:durableId="1166238978">
    <w:abstractNumId w:val="122"/>
  </w:num>
  <w:num w:numId="17" w16cid:durableId="366368839">
    <w:abstractNumId w:val="112"/>
  </w:num>
  <w:num w:numId="18" w16cid:durableId="1436170090">
    <w:abstractNumId w:val="64"/>
  </w:num>
  <w:num w:numId="19" w16cid:durableId="1357778605">
    <w:abstractNumId w:val="131"/>
  </w:num>
  <w:num w:numId="20" w16cid:durableId="804153485">
    <w:abstractNumId w:val="4"/>
  </w:num>
  <w:num w:numId="21" w16cid:durableId="1481196306">
    <w:abstractNumId w:val="81"/>
  </w:num>
  <w:num w:numId="22" w16cid:durableId="1582641045">
    <w:abstractNumId w:val="93"/>
  </w:num>
  <w:num w:numId="23" w16cid:durableId="1169980068">
    <w:abstractNumId w:val="146"/>
  </w:num>
  <w:num w:numId="24" w16cid:durableId="795030511">
    <w:abstractNumId w:val="101"/>
  </w:num>
  <w:num w:numId="25" w16cid:durableId="652564724">
    <w:abstractNumId w:val="72"/>
  </w:num>
  <w:num w:numId="26" w16cid:durableId="501511429">
    <w:abstractNumId w:val="16"/>
  </w:num>
  <w:num w:numId="27" w16cid:durableId="1338774118">
    <w:abstractNumId w:val="134"/>
  </w:num>
  <w:num w:numId="28" w16cid:durableId="649866427">
    <w:abstractNumId w:val="82"/>
  </w:num>
  <w:num w:numId="29" w16cid:durableId="99496539">
    <w:abstractNumId w:val="90"/>
  </w:num>
  <w:num w:numId="30" w16cid:durableId="1666547073">
    <w:abstractNumId w:val="103"/>
  </w:num>
  <w:num w:numId="31" w16cid:durableId="1478956510">
    <w:abstractNumId w:val="107"/>
  </w:num>
  <w:num w:numId="32" w16cid:durableId="1407074554">
    <w:abstractNumId w:val="33"/>
  </w:num>
  <w:num w:numId="33" w16cid:durableId="858932320">
    <w:abstractNumId w:val="49"/>
  </w:num>
  <w:num w:numId="34" w16cid:durableId="432825962">
    <w:abstractNumId w:val="129"/>
  </w:num>
  <w:num w:numId="35" w16cid:durableId="62993616">
    <w:abstractNumId w:val="73"/>
  </w:num>
  <w:num w:numId="36" w16cid:durableId="1714497267">
    <w:abstractNumId w:val="149"/>
  </w:num>
  <w:num w:numId="37" w16cid:durableId="926039489">
    <w:abstractNumId w:val="120"/>
  </w:num>
  <w:num w:numId="38" w16cid:durableId="695421938">
    <w:abstractNumId w:val="44"/>
  </w:num>
  <w:num w:numId="39" w16cid:durableId="579675410">
    <w:abstractNumId w:val="127"/>
  </w:num>
  <w:num w:numId="40" w16cid:durableId="899245727">
    <w:abstractNumId w:val="66"/>
  </w:num>
  <w:num w:numId="41" w16cid:durableId="369573094">
    <w:abstractNumId w:val="92"/>
  </w:num>
  <w:num w:numId="42" w16cid:durableId="1254240381">
    <w:abstractNumId w:val="19"/>
  </w:num>
  <w:num w:numId="43" w16cid:durableId="897327336">
    <w:abstractNumId w:val="124"/>
  </w:num>
  <w:num w:numId="44" w16cid:durableId="2105807576">
    <w:abstractNumId w:val="70"/>
  </w:num>
  <w:num w:numId="45" w16cid:durableId="958991302">
    <w:abstractNumId w:val="88"/>
  </w:num>
  <w:num w:numId="46" w16cid:durableId="1761293285">
    <w:abstractNumId w:val="15"/>
  </w:num>
  <w:num w:numId="47" w16cid:durableId="1886747525">
    <w:abstractNumId w:val="18"/>
  </w:num>
  <w:num w:numId="48" w16cid:durableId="231082679">
    <w:abstractNumId w:val="99"/>
  </w:num>
  <w:num w:numId="49" w16cid:durableId="1154371247">
    <w:abstractNumId w:val="114"/>
  </w:num>
  <w:num w:numId="50" w16cid:durableId="1560945480">
    <w:abstractNumId w:val="63"/>
  </w:num>
  <w:num w:numId="51" w16cid:durableId="1076365646">
    <w:abstractNumId w:val="30"/>
  </w:num>
  <w:num w:numId="52" w16cid:durableId="203566432">
    <w:abstractNumId w:val="91"/>
  </w:num>
  <w:num w:numId="53" w16cid:durableId="294139306">
    <w:abstractNumId w:val="136"/>
  </w:num>
  <w:num w:numId="54" w16cid:durableId="1465348411">
    <w:abstractNumId w:val="116"/>
  </w:num>
  <w:num w:numId="55" w16cid:durableId="1662462729">
    <w:abstractNumId w:val="57"/>
  </w:num>
  <w:num w:numId="56" w16cid:durableId="1164277610">
    <w:abstractNumId w:val="152"/>
  </w:num>
  <w:num w:numId="57" w16cid:durableId="827869014">
    <w:abstractNumId w:val="3"/>
  </w:num>
  <w:num w:numId="58" w16cid:durableId="144052983">
    <w:abstractNumId w:val="132"/>
  </w:num>
  <w:num w:numId="59" w16cid:durableId="255751100">
    <w:abstractNumId w:val="96"/>
  </w:num>
  <w:num w:numId="60" w16cid:durableId="412437938">
    <w:abstractNumId w:val="11"/>
  </w:num>
  <w:num w:numId="61" w16cid:durableId="922422103">
    <w:abstractNumId w:val="94"/>
  </w:num>
  <w:num w:numId="62" w16cid:durableId="973872090">
    <w:abstractNumId w:val="56"/>
  </w:num>
  <w:num w:numId="63" w16cid:durableId="1858885722">
    <w:abstractNumId w:val="32"/>
  </w:num>
  <w:num w:numId="64" w16cid:durableId="513151136">
    <w:abstractNumId w:val="144"/>
  </w:num>
  <w:num w:numId="65" w16cid:durableId="1423843403">
    <w:abstractNumId w:val="46"/>
  </w:num>
  <w:num w:numId="66" w16cid:durableId="1496456368">
    <w:abstractNumId w:val="104"/>
  </w:num>
  <w:num w:numId="67" w16cid:durableId="1578830791">
    <w:abstractNumId w:val="20"/>
  </w:num>
  <w:num w:numId="68" w16cid:durableId="1532258165">
    <w:abstractNumId w:val="102"/>
  </w:num>
  <w:num w:numId="69" w16cid:durableId="731465709">
    <w:abstractNumId w:val="25"/>
  </w:num>
  <w:num w:numId="70" w16cid:durableId="1284993581">
    <w:abstractNumId w:val="148"/>
  </w:num>
  <w:num w:numId="71" w16cid:durableId="1856578623">
    <w:abstractNumId w:val="71"/>
  </w:num>
  <w:num w:numId="72" w16cid:durableId="1206063664">
    <w:abstractNumId w:val="121"/>
  </w:num>
  <w:num w:numId="73" w16cid:durableId="1671444585">
    <w:abstractNumId w:val="95"/>
  </w:num>
  <w:num w:numId="74" w16cid:durableId="1834292515">
    <w:abstractNumId w:val="77"/>
  </w:num>
  <w:num w:numId="75" w16cid:durableId="1111245004">
    <w:abstractNumId w:val="26"/>
  </w:num>
  <w:num w:numId="76" w16cid:durableId="416024479">
    <w:abstractNumId w:val="21"/>
  </w:num>
  <w:num w:numId="77" w16cid:durableId="531307925">
    <w:abstractNumId w:val="42"/>
  </w:num>
  <w:num w:numId="78" w16cid:durableId="121924915">
    <w:abstractNumId w:val="1"/>
  </w:num>
  <w:num w:numId="79" w16cid:durableId="77294848">
    <w:abstractNumId w:val="43"/>
  </w:num>
  <w:num w:numId="80" w16cid:durableId="302395105">
    <w:abstractNumId w:val="34"/>
  </w:num>
  <w:num w:numId="81" w16cid:durableId="825824371">
    <w:abstractNumId w:val="74"/>
  </w:num>
  <w:num w:numId="82" w16cid:durableId="273026355">
    <w:abstractNumId w:val="2"/>
  </w:num>
  <w:num w:numId="83" w16cid:durableId="1245725828">
    <w:abstractNumId w:val="87"/>
  </w:num>
  <w:num w:numId="84" w16cid:durableId="843011718">
    <w:abstractNumId w:val="38"/>
  </w:num>
  <w:num w:numId="85" w16cid:durableId="2001345861">
    <w:abstractNumId w:val="52"/>
  </w:num>
  <w:num w:numId="86" w16cid:durableId="1094279401">
    <w:abstractNumId w:val="35"/>
  </w:num>
  <w:num w:numId="87" w16cid:durableId="1100639793">
    <w:abstractNumId w:val="141"/>
  </w:num>
  <w:num w:numId="88" w16cid:durableId="1581478957">
    <w:abstractNumId w:val="84"/>
  </w:num>
  <w:num w:numId="89" w16cid:durableId="20596717">
    <w:abstractNumId w:val="45"/>
  </w:num>
  <w:num w:numId="90" w16cid:durableId="1595702557">
    <w:abstractNumId w:val="47"/>
  </w:num>
  <w:num w:numId="91" w16cid:durableId="977417847">
    <w:abstractNumId w:val="130"/>
  </w:num>
  <w:num w:numId="92" w16cid:durableId="1666474545">
    <w:abstractNumId w:val="86"/>
  </w:num>
  <w:num w:numId="93" w16cid:durableId="856507715">
    <w:abstractNumId w:val="135"/>
  </w:num>
  <w:num w:numId="94" w16cid:durableId="535581449">
    <w:abstractNumId w:val="111"/>
  </w:num>
  <w:num w:numId="95" w16cid:durableId="262033054">
    <w:abstractNumId w:val="109"/>
  </w:num>
  <w:num w:numId="96" w16cid:durableId="1781799493">
    <w:abstractNumId w:val="140"/>
  </w:num>
  <w:num w:numId="97" w16cid:durableId="1254433539">
    <w:abstractNumId w:val="128"/>
  </w:num>
  <w:num w:numId="98" w16cid:durableId="242031432">
    <w:abstractNumId w:val="115"/>
  </w:num>
  <w:num w:numId="99" w16cid:durableId="1024134866">
    <w:abstractNumId w:val="79"/>
  </w:num>
  <w:num w:numId="100" w16cid:durableId="1715697732">
    <w:abstractNumId w:val="41"/>
  </w:num>
  <w:num w:numId="101" w16cid:durableId="1113985738">
    <w:abstractNumId w:val="7"/>
  </w:num>
  <w:num w:numId="102" w16cid:durableId="1244606901">
    <w:abstractNumId w:val="60"/>
  </w:num>
  <w:num w:numId="103" w16cid:durableId="982390845">
    <w:abstractNumId w:val="22"/>
  </w:num>
  <w:num w:numId="104" w16cid:durableId="27728586">
    <w:abstractNumId w:val="145"/>
  </w:num>
  <w:num w:numId="105" w16cid:durableId="2144079234">
    <w:abstractNumId w:val="117"/>
  </w:num>
  <w:num w:numId="106" w16cid:durableId="1918393981">
    <w:abstractNumId w:val="83"/>
  </w:num>
  <w:num w:numId="107" w16cid:durableId="1781488997">
    <w:abstractNumId w:val="76"/>
  </w:num>
  <w:num w:numId="108" w16cid:durableId="196354015">
    <w:abstractNumId w:val="23"/>
  </w:num>
  <w:num w:numId="109" w16cid:durableId="726149007">
    <w:abstractNumId w:val="105"/>
  </w:num>
  <w:num w:numId="110" w16cid:durableId="935594612">
    <w:abstractNumId w:val="59"/>
  </w:num>
  <w:num w:numId="111" w16cid:durableId="1234898763">
    <w:abstractNumId w:val="137"/>
  </w:num>
  <w:num w:numId="112" w16cid:durableId="1244026255">
    <w:abstractNumId w:val="9"/>
  </w:num>
  <w:num w:numId="113" w16cid:durableId="1367101155">
    <w:abstractNumId w:val="12"/>
  </w:num>
  <w:num w:numId="114" w16cid:durableId="900099246">
    <w:abstractNumId w:val="39"/>
  </w:num>
  <w:num w:numId="115" w16cid:durableId="5445414">
    <w:abstractNumId w:val="89"/>
  </w:num>
  <w:num w:numId="116" w16cid:durableId="402877558">
    <w:abstractNumId w:val="98"/>
  </w:num>
  <w:num w:numId="117" w16cid:durableId="1151798199">
    <w:abstractNumId w:val="50"/>
  </w:num>
  <w:num w:numId="118" w16cid:durableId="50932884">
    <w:abstractNumId w:val="113"/>
  </w:num>
  <w:num w:numId="119" w16cid:durableId="96600354">
    <w:abstractNumId w:val="78"/>
  </w:num>
  <w:num w:numId="120" w16cid:durableId="904875538">
    <w:abstractNumId w:val="97"/>
  </w:num>
  <w:num w:numId="121" w16cid:durableId="366682884">
    <w:abstractNumId w:val="29"/>
  </w:num>
  <w:num w:numId="122" w16cid:durableId="209079194">
    <w:abstractNumId w:val="14"/>
  </w:num>
  <w:num w:numId="123" w16cid:durableId="885141566">
    <w:abstractNumId w:val="8"/>
  </w:num>
  <w:num w:numId="124" w16cid:durableId="1833063368">
    <w:abstractNumId w:val="143"/>
  </w:num>
  <w:num w:numId="125" w16cid:durableId="1427531745">
    <w:abstractNumId w:val="123"/>
  </w:num>
  <w:num w:numId="126" w16cid:durableId="306252814">
    <w:abstractNumId w:val="58"/>
  </w:num>
  <w:num w:numId="127" w16cid:durableId="1912277447">
    <w:abstractNumId w:val="80"/>
  </w:num>
  <w:num w:numId="128" w16cid:durableId="816340613">
    <w:abstractNumId w:val="110"/>
  </w:num>
  <w:num w:numId="129" w16cid:durableId="102379602">
    <w:abstractNumId w:val="10"/>
  </w:num>
  <w:num w:numId="130" w16cid:durableId="654184074">
    <w:abstractNumId w:val="138"/>
  </w:num>
  <w:num w:numId="131" w16cid:durableId="255867891">
    <w:abstractNumId w:val="27"/>
  </w:num>
  <w:num w:numId="132" w16cid:durableId="414474487">
    <w:abstractNumId w:val="142"/>
  </w:num>
  <w:num w:numId="133" w16cid:durableId="797916044">
    <w:abstractNumId w:val="54"/>
  </w:num>
  <w:num w:numId="134" w16cid:durableId="2047832724">
    <w:abstractNumId w:val="69"/>
  </w:num>
  <w:num w:numId="135" w16cid:durableId="792674062">
    <w:abstractNumId w:val="5"/>
  </w:num>
  <w:num w:numId="136" w16cid:durableId="1117407630">
    <w:abstractNumId w:val="151"/>
  </w:num>
  <w:num w:numId="137" w16cid:durableId="2094161132">
    <w:abstractNumId w:val="51"/>
  </w:num>
  <w:num w:numId="138" w16cid:durableId="307562942">
    <w:abstractNumId w:val="150"/>
  </w:num>
  <w:num w:numId="139" w16cid:durableId="1150444421">
    <w:abstractNumId w:val="65"/>
  </w:num>
  <w:num w:numId="140" w16cid:durableId="1867985563">
    <w:abstractNumId w:val="61"/>
  </w:num>
  <w:num w:numId="141" w16cid:durableId="1223519825">
    <w:abstractNumId w:val="48"/>
  </w:num>
  <w:num w:numId="142" w16cid:durableId="1582569767">
    <w:abstractNumId w:val="55"/>
  </w:num>
  <w:num w:numId="143" w16cid:durableId="267660079">
    <w:abstractNumId w:val="126"/>
  </w:num>
  <w:num w:numId="144" w16cid:durableId="665985358">
    <w:abstractNumId w:val="108"/>
  </w:num>
  <w:num w:numId="145" w16cid:durableId="816142680">
    <w:abstractNumId w:val="85"/>
  </w:num>
  <w:num w:numId="146" w16cid:durableId="1440099697">
    <w:abstractNumId w:val="13"/>
  </w:num>
  <w:num w:numId="147" w16cid:durableId="29233518">
    <w:abstractNumId w:val="119"/>
  </w:num>
  <w:num w:numId="148" w16cid:durableId="454754831">
    <w:abstractNumId w:val="62"/>
  </w:num>
  <w:num w:numId="149" w16cid:durableId="2114864266">
    <w:abstractNumId w:val="28"/>
  </w:num>
  <w:num w:numId="150" w16cid:durableId="1827937174">
    <w:abstractNumId w:val="0"/>
  </w:num>
  <w:num w:numId="151" w16cid:durableId="1612082046">
    <w:abstractNumId w:val="6"/>
  </w:num>
  <w:num w:numId="152" w16cid:durableId="1762138524">
    <w:abstractNumId w:val="53"/>
  </w:num>
  <w:num w:numId="153" w16cid:durableId="140753577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FA0"/>
    <w:rsid w:val="00000293"/>
    <w:rsid w:val="0000035B"/>
    <w:rsid w:val="000037B1"/>
    <w:rsid w:val="00004D6B"/>
    <w:rsid w:val="00004DB8"/>
    <w:rsid w:val="000066E0"/>
    <w:rsid w:val="00006C17"/>
    <w:rsid w:val="00006DFE"/>
    <w:rsid w:val="00007262"/>
    <w:rsid w:val="000110D8"/>
    <w:rsid w:val="00013335"/>
    <w:rsid w:val="000136CE"/>
    <w:rsid w:val="000148F2"/>
    <w:rsid w:val="000152AD"/>
    <w:rsid w:val="000159FB"/>
    <w:rsid w:val="00015F0C"/>
    <w:rsid w:val="00017626"/>
    <w:rsid w:val="000223E0"/>
    <w:rsid w:val="00022640"/>
    <w:rsid w:val="00023C29"/>
    <w:rsid w:val="00025F41"/>
    <w:rsid w:val="0002668D"/>
    <w:rsid w:val="00027E5F"/>
    <w:rsid w:val="00027FC4"/>
    <w:rsid w:val="00031C96"/>
    <w:rsid w:val="000365DD"/>
    <w:rsid w:val="000368D0"/>
    <w:rsid w:val="00036BC5"/>
    <w:rsid w:val="00037D0B"/>
    <w:rsid w:val="00037D85"/>
    <w:rsid w:val="00040EC7"/>
    <w:rsid w:val="00040FD6"/>
    <w:rsid w:val="0004259F"/>
    <w:rsid w:val="000440F5"/>
    <w:rsid w:val="0005386D"/>
    <w:rsid w:val="00054694"/>
    <w:rsid w:val="000627AF"/>
    <w:rsid w:val="00063D8F"/>
    <w:rsid w:val="0006573D"/>
    <w:rsid w:val="000659AC"/>
    <w:rsid w:val="000674AA"/>
    <w:rsid w:val="00070539"/>
    <w:rsid w:val="000714DC"/>
    <w:rsid w:val="000725F5"/>
    <w:rsid w:val="000739FB"/>
    <w:rsid w:val="00074385"/>
    <w:rsid w:val="00074517"/>
    <w:rsid w:val="0007546D"/>
    <w:rsid w:val="0007578A"/>
    <w:rsid w:val="0008129A"/>
    <w:rsid w:val="00081A86"/>
    <w:rsid w:val="0008215E"/>
    <w:rsid w:val="00085B1E"/>
    <w:rsid w:val="00086669"/>
    <w:rsid w:val="00086EC6"/>
    <w:rsid w:val="000903CA"/>
    <w:rsid w:val="00090F1C"/>
    <w:rsid w:val="00091C67"/>
    <w:rsid w:val="0009260D"/>
    <w:rsid w:val="00093226"/>
    <w:rsid w:val="00093BB5"/>
    <w:rsid w:val="00094BCC"/>
    <w:rsid w:val="00096707"/>
    <w:rsid w:val="00097409"/>
    <w:rsid w:val="000979FD"/>
    <w:rsid w:val="000A18BD"/>
    <w:rsid w:val="000A36AF"/>
    <w:rsid w:val="000A50B5"/>
    <w:rsid w:val="000A6B83"/>
    <w:rsid w:val="000B1398"/>
    <w:rsid w:val="000B21BD"/>
    <w:rsid w:val="000B2B54"/>
    <w:rsid w:val="000B2B65"/>
    <w:rsid w:val="000B3DED"/>
    <w:rsid w:val="000B40CA"/>
    <w:rsid w:val="000B5505"/>
    <w:rsid w:val="000B5FA7"/>
    <w:rsid w:val="000B63BF"/>
    <w:rsid w:val="000B6E24"/>
    <w:rsid w:val="000C0956"/>
    <w:rsid w:val="000C0C23"/>
    <w:rsid w:val="000C2D69"/>
    <w:rsid w:val="000C305D"/>
    <w:rsid w:val="000C5C90"/>
    <w:rsid w:val="000C5CC2"/>
    <w:rsid w:val="000C77B7"/>
    <w:rsid w:val="000C7897"/>
    <w:rsid w:val="000D17B9"/>
    <w:rsid w:val="000D2731"/>
    <w:rsid w:val="000D2979"/>
    <w:rsid w:val="000D2FA8"/>
    <w:rsid w:val="000D3810"/>
    <w:rsid w:val="000D42E7"/>
    <w:rsid w:val="000D4B42"/>
    <w:rsid w:val="000D5CF0"/>
    <w:rsid w:val="000D6635"/>
    <w:rsid w:val="000D6AA3"/>
    <w:rsid w:val="000D6AA9"/>
    <w:rsid w:val="000D7A41"/>
    <w:rsid w:val="000E2B42"/>
    <w:rsid w:val="000E5301"/>
    <w:rsid w:val="000E657B"/>
    <w:rsid w:val="000F0B0B"/>
    <w:rsid w:val="000F54F3"/>
    <w:rsid w:val="000F5C2C"/>
    <w:rsid w:val="000F637C"/>
    <w:rsid w:val="000F718D"/>
    <w:rsid w:val="000F7AD3"/>
    <w:rsid w:val="0010415D"/>
    <w:rsid w:val="0010719D"/>
    <w:rsid w:val="00111C6B"/>
    <w:rsid w:val="00115062"/>
    <w:rsid w:val="001158EC"/>
    <w:rsid w:val="00115D1C"/>
    <w:rsid w:val="00120DDD"/>
    <w:rsid w:val="001235D7"/>
    <w:rsid w:val="001276CB"/>
    <w:rsid w:val="001343AD"/>
    <w:rsid w:val="00135AC0"/>
    <w:rsid w:val="00136339"/>
    <w:rsid w:val="00136791"/>
    <w:rsid w:val="0013682D"/>
    <w:rsid w:val="001370E6"/>
    <w:rsid w:val="001426AD"/>
    <w:rsid w:val="00142753"/>
    <w:rsid w:val="0014281E"/>
    <w:rsid w:val="00143E0D"/>
    <w:rsid w:val="00145D22"/>
    <w:rsid w:val="001461E7"/>
    <w:rsid w:val="00147A2D"/>
    <w:rsid w:val="00147BFC"/>
    <w:rsid w:val="00152646"/>
    <w:rsid w:val="001538F2"/>
    <w:rsid w:val="00153EC3"/>
    <w:rsid w:val="00155A41"/>
    <w:rsid w:val="001576FD"/>
    <w:rsid w:val="00157829"/>
    <w:rsid w:val="0016084A"/>
    <w:rsid w:val="001609E6"/>
    <w:rsid w:val="001611A9"/>
    <w:rsid w:val="00164705"/>
    <w:rsid w:val="0016531E"/>
    <w:rsid w:val="00166347"/>
    <w:rsid w:val="00166580"/>
    <w:rsid w:val="00167335"/>
    <w:rsid w:val="00170443"/>
    <w:rsid w:val="001719FA"/>
    <w:rsid w:val="001721C2"/>
    <w:rsid w:val="00175AF5"/>
    <w:rsid w:val="0017607C"/>
    <w:rsid w:val="00181673"/>
    <w:rsid w:val="00182715"/>
    <w:rsid w:val="00182C7F"/>
    <w:rsid w:val="00183211"/>
    <w:rsid w:val="001835D1"/>
    <w:rsid w:val="00183904"/>
    <w:rsid w:val="00184A7A"/>
    <w:rsid w:val="001861AF"/>
    <w:rsid w:val="0018746A"/>
    <w:rsid w:val="00190F1A"/>
    <w:rsid w:val="00191086"/>
    <w:rsid w:val="00192D01"/>
    <w:rsid w:val="00196018"/>
    <w:rsid w:val="001A31CF"/>
    <w:rsid w:val="001A3664"/>
    <w:rsid w:val="001A43FF"/>
    <w:rsid w:val="001A5679"/>
    <w:rsid w:val="001A5A79"/>
    <w:rsid w:val="001A6394"/>
    <w:rsid w:val="001A64B7"/>
    <w:rsid w:val="001B1E75"/>
    <w:rsid w:val="001B6F8D"/>
    <w:rsid w:val="001B7FD1"/>
    <w:rsid w:val="001C1522"/>
    <w:rsid w:val="001C3C23"/>
    <w:rsid w:val="001C7104"/>
    <w:rsid w:val="001D1DFE"/>
    <w:rsid w:val="001D243F"/>
    <w:rsid w:val="001D2612"/>
    <w:rsid w:val="001D2C8A"/>
    <w:rsid w:val="001D2D9F"/>
    <w:rsid w:val="001D3EA8"/>
    <w:rsid w:val="001D5187"/>
    <w:rsid w:val="001D6EA3"/>
    <w:rsid w:val="001D70FF"/>
    <w:rsid w:val="001E0A4D"/>
    <w:rsid w:val="001E0D8B"/>
    <w:rsid w:val="001E19AA"/>
    <w:rsid w:val="001E2204"/>
    <w:rsid w:val="001E3787"/>
    <w:rsid w:val="001F0E3E"/>
    <w:rsid w:val="001F268E"/>
    <w:rsid w:val="001F2996"/>
    <w:rsid w:val="001F4AB3"/>
    <w:rsid w:val="001F6514"/>
    <w:rsid w:val="001F677B"/>
    <w:rsid w:val="001F6DB1"/>
    <w:rsid w:val="00200049"/>
    <w:rsid w:val="00204002"/>
    <w:rsid w:val="002067F8"/>
    <w:rsid w:val="002119FD"/>
    <w:rsid w:val="00212E2E"/>
    <w:rsid w:val="00213357"/>
    <w:rsid w:val="00213502"/>
    <w:rsid w:val="00214AFA"/>
    <w:rsid w:val="00215A6F"/>
    <w:rsid w:val="00217227"/>
    <w:rsid w:val="002200A9"/>
    <w:rsid w:val="0022051A"/>
    <w:rsid w:val="00221722"/>
    <w:rsid w:val="00222B44"/>
    <w:rsid w:val="00222D9D"/>
    <w:rsid w:val="00227357"/>
    <w:rsid w:val="00231193"/>
    <w:rsid w:val="00231886"/>
    <w:rsid w:val="00232487"/>
    <w:rsid w:val="002329AF"/>
    <w:rsid w:val="002329FF"/>
    <w:rsid w:val="002340BB"/>
    <w:rsid w:val="00234DAA"/>
    <w:rsid w:val="002411B1"/>
    <w:rsid w:val="002414FA"/>
    <w:rsid w:val="00242926"/>
    <w:rsid w:val="0024322B"/>
    <w:rsid w:val="00244EF8"/>
    <w:rsid w:val="0024672D"/>
    <w:rsid w:val="002472A9"/>
    <w:rsid w:val="0025092B"/>
    <w:rsid w:val="00251AE5"/>
    <w:rsid w:val="00252D7E"/>
    <w:rsid w:val="00253F35"/>
    <w:rsid w:val="00257F4C"/>
    <w:rsid w:val="0026156F"/>
    <w:rsid w:val="00261D6A"/>
    <w:rsid w:val="0026369C"/>
    <w:rsid w:val="002643FE"/>
    <w:rsid w:val="0026441E"/>
    <w:rsid w:val="00266C6B"/>
    <w:rsid w:val="0027019F"/>
    <w:rsid w:val="002702B4"/>
    <w:rsid w:val="00270F9B"/>
    <w:rsid w:val="00273266"/>
    <w:rsid w:val="00273930"/>
    <w:rsid w:val="00276E76"/>
    <w:rsid w:val="00276ED6"/>
    <w:rsid w:val="00277A4E"/>
    <w:rsid w:val="0028010A"/>
    <w:rsid w:val="002903A8"/>
    <w:rsid w:val="00292E22"/>
    <w:rsid w:val="00295936"/>
    <w:rsid w:val="002962E8"/>
    <w:rsid w:val="002A17DD"/>
    <w:rsid w:val="002A3754"/>
    <w:rsid w:val="002A52A4"/>
    <w:rsid w:val="002A5C2D"/>
    <w:rsid w:val="002A6B24"/>
    <w:rsid w:val="002A79DA"/>
    <w:rsid w:val="002B024A"/>
    <w:rsid w:val="002B1428"/>
    <w:rsid w:val="002B1690"/>
    <w:rsid w:val="002B32A8"/>
    <w:rsid w:val="002B3E3C"/>
    <w:rsid w:val="002B596E"/>
    <w:rsid w:val="002B5BB6"/>
    <w:rsid w:val="002B6E0C"/>
    <w:rsid w:val="002B7C03"/>
    <w:rsid w:val="002C0B41"/>
    <w:rsid w:val="002C1C16"/>
    <w:rsid w:val="002C23A8"/>
    <w:rsid w:val="002C5CAE"/>
    <w:rsid w:val="002C5DF6"/>
    <w:rsid w:val="002C7ED8"/>
    <w:rsid w:val="002D029D"/>
    <w:rsid w:val="002D2306"/>
    <w:rsid w:val="002D31CD"/>
    <w:rsid w:val="002D5280"/>
    <w:rsid w:val="002D65C1"/>
    <w:rsid w:val="002D7233"/>
    <w:rsid w:val="002D793C"/>
    <w:rsid w:val="002E1057"/>
    <w:rsid w:val="002E121B"/>
    <w:rsid w:val="002E3920"/>
    <w:rsid w:val="002E4669"/>
    <w:rsid w:val="002E54B3"/>
    <w:rsid w:val="002F11FB"/>
    <w:rsid w:val="002F4715"/>
    <w:rsid w:val="002F4827"/>
    <w:rsid w:val="002F5A1F"/>
    <w:rsid w:val="002F6E7A"/>
    <w:rsid w:val="00300D68"/>
    <w:rsid w:val="00300FFF"/>
    <w:rsid w:val="0030221C"/>
    <w:rsid w:val="00306E40"/>
    <w:rsid w:val="00310F01"/>
    <w:rsid w:val="003112C0"/>
    <w:rsid w:val="00311530"/>
    <w:rsid w:val="00313584"/>
    <w:rsid w:val="00314AA7"/>
    <w:rsid w:val="00315644"/>
    <w:rsid w:val="003160BF"/>
    <w:rsid w:val="00316A53"/>
    <w:rsid w:val="003170CC"/>
    <w:rsid w:val="00317232"/>
    <w:rsid w:val="0031771D"/>
    <w:rsid w:val="003201FB"/>
    <w:rsid w:val="00322B85"/>
    <w:rsid w:val="0032301D"/>
    <w:rsid w:val="003243E6"/>
    <w:rsid w:val="0032689E"/>
    <w:rsid w:val="00331D3D"/>
    <w:rsid w:val="003334FD"/>
    <w:rsid w:val="0033520F"/>
    <w:rsid w:val="003359CC"/>
    <w:rsid w:val="003412F5"/>
    <w:rsid w:val="003420A0"/>
    <w:rsid w:val="0034373B"/>
    <w:rsid w:val="00344640"/>
    <w:rsid w:val="00347C35"/>
    <w:rsid w:val="003504D2"/>
    <w:rsid w:val="003510C9"/>
    <w:rsid w:val="00351308"/>
    <w:rsid w:val="00351DFC"/>
    <w:rsid w:val="0035390D"/>
    <w:rsid w:val="003544ED"/>
    <w:rsid w:val="00355975"/>
    <w:rsid w:val="00360906"/>
    <w:rsid w:val="003616B5"/>
    <w:rsid w:val="0036223A"/>
    <w:rsid w:val="003623BB"/>
    <w:rsid w:val="00362BE5"/>
    <w:rsid w:val="00362F95"/>
    <w:rsid w:val="003635CF"/>
    <w:rsid w:val="00364644"/>
    <w:rsid w:val="00364A57"/>
    <w:rsid w:val="003665B3"/>
    <w:rsid w:val="00370E7C"/>
    <w:rsid w:val="00371DE6"/>
    <w:rsid w:val="00371FCC"/>
    <w:rsid w:val="003730FA"/>
    <w:rsid w:val="003736CB"/>
    <w:rsid w:val="003741B6"/>
    <w:rsid w:val="00375131"/>
    <w:rsid w:val="003757A5"/>
    <w:rsid w:val="00377C76"/>
    <w:rsid w:val="00380169"/>
    <w:rsid w:val="003825FD"/>
    <w:rsid w:val="0038262B"/>
    <w:rsid w:val="0038326C"/>
    <w:rsid w:val="00384AFB"/>
    <w:rsid w:val="00385224"/>
    <w:rsid w:val="003875F6"/>
    <w:rsid w:val="00390010"/>
    <w:rsid w:val="00392028"/>
    <w:rsid w:val="0039234C"/>
    <w:rsid w:val="0039477C"/>
    <w:rsid w:val="003951FC"/>
    <w:rsid w:val="00397533"/>
    <w:rsid w:val="00397B77"/>
    <w:rsid w:val="003A058D"/>
    <w:rsid w:val="003A23B4"/>
    <w:rsid w:val="003A2C28"/>
    <w:rsid w:val="003A348F"/>
    <w:rsid w:val="003A408C"/>
    <w:rsid w:val="003A5205"/>
    <w:rsid w:val="003A5ADC"/>
    <w:rsid w:val="003A6731"/>
    <w:rsid w:val="003A724D"/>
    <w:rsid w:val="003A7EDC"/>
    <w:rsid w:val="003A7FE4"/>
    <w:rsid w:val="003B0B34"/>
    <w:rsid w:val="003B0D39"/>
    <w:rsid w:val="003B32AA"/>
    <w:rsid w:val="003B3691"/>
    <w:rsid w:val="003B4457"/>
    <w:rsid w:val="003B6191"/>
    <w:rsid w:val="003B69CD"/>
    <w:rsid w:val="003C49D4"/>
    <w:rsid w:val="003C5043"/>
    <w:rsid w:val="003C50BF"/>
    <w:rsid w:val="003C6E4B"/>
    <w:rsid w:val="003C780E"/>
    <w:rsid w:val="003C7FE6"/>
    <w:rsid w:val="003D0311"/>
    <w:rsid w:val="003D1754"/>
    <w:rsid w:val="003D1C22"/>
    <w:rsid w:val="003D2142"/>
    <w:rsid w:val="003D24D1"/>
    <w:rsid w:val="003D2E7C"/>
    <w:rsid w:val="003D3175"/>
    <w:rsid w:val="003D3538"/>
    <w:rsid w:val="003D717A"/>
    <w:rsid w:val="003E1876"/>
    <w:rsid w:val="003E18EC"/>
    <w:rsid w:val="003E1E1B"/>
    <w:rsid w:val="003E2448"/>
    <w:rsid w:val="003E29B9"/>
    <w:rsid w:val="003E30E4"/>
    <w:rsid w:val="003E48E5"/>
    <w:rsid w:val="003E4A7F"/>
    <w:rsid w:val="003E4CFA"/>
    <w:rsid w:val="003F0504"/>
    <w:rsid w:val="003F067B"/>
    <w:rsid w:val="003F08F0"/>
    <w:rsid w:val="003F0FAD"/>
    <w:rsid w:val="003F3D42"/>
    <w:rsid w:val="003F44A9"/>
    <w:rsid w:val="003F5B8A"/>
    <w:rsid w:val="003F7B23"/>
    <w:rsid w:val="00400A11"/>
    <w:rsid w:val="00400F9E"/>
    <w:rsid w:val="0040127B"/>
    <w:rsid w:val="004015E2"/>
    <w:rsid w:val="0040178E"/>
    <w:rsid w:val="0040474C"/>
    <w:rsid w:val="00412048"/>
    <w:rsid w:val="00413201"/>
    <w:rsid w:val="00413654"/>
    <w:rsid w:val="0041370D"/>
    <w:rsid w:val="00413B5F"/>
    <w:rsid w:val="004144D6"/>
    <w:rsid w:val="00416998"/>
    <w:rsid w:val="0041741D"/>
    <w:rsid w:val="004206C1"/>
    <w:rsid w:val="004321C0"/>
    <w:rsid w:val="00433206"/>
    <w:rsid w:val="004338B3"/>
    <w:rsid w:val="00437A2C"/>
    <w:rsid w:val="0044082C"/>
    <w:rsid w:val="0044222E"/>
    <w:rsid w:val="004433F4"/>
    <w:rsid w:val="00444374"/>
    <w:rsid w:val="00445DB0"/>
    <w:rsid w:val="0044654D"/>
    <w:rsid w:val="00447BF8"/>
    <w:rsid w:val="00447C88"/>
    <w:rsid w:val="00450AF4"/>
    <w:rsid w:val="0045276A"/>
    <w:rsid w:val="0045416F"/>
    <w:rsid w:val="00455691"/>
    <w:rsid w:val="00455796"/>
    <w:rsid w:val="00455BB9"/>
    <w:rsid w:val="00457239"/>
    <w:rsid w:val="004579DE"/>
    <w:rsid w:val="00460C9E"/>
    <w:rsid w:val="0046325A"/>
    <w:rsid w:val="004633B8"/>
    <w:rsid w:val="0046550E"/>
    <w:rsid w:val="00465B4C"/>
    <w:rsid w:val="004706A2"/>
    <w:rsid w:val="00471D45"/>
    <w:rsid w:val="00471E58"/>
    <w:rsid w:val="00473A2E"/>
    <w:rsid w:val="00473B49"/>
    <w:rsid w:val="0047424B"/>
    <w:rsid w:val="00475E56"/>
    <w:rsid w:val="00480541"/>
    <w:rsid w:val="004807F9"/>
    <w:rsid w:val="00482058"/>
    <w:rsid w:val="0048382E"/>
    <w:rsid w:val="004876A7"/>
    <w:rsid w:val="00490465"/>
    <w:rsid w:val="00491413"/>
    <w:rsid w:val="0049195C"/>
    <w:rsid w:val="0049569F"/>
    <w:rsid w:val="00497C86"/>
    <w:rsid w:val="004A29D5"/>
    <w:rsid w:val="004A3191"/>
    <w:rsid w:val="004A3681"/>
    <w:rsid w:val="004A4A5C"/>
    <w:rsid w:val="004B02D0"/>
    <w:rsid w:val="004B14EA"/>
    <w:rsid w:val="004B1ECE"/>
    <w:rsid w:val="004B3BB9"/>
    <w:rsid w:val="004C08A7"/>
    <w:rsid w:val="004C09E8"/>
    <w:rsid w:val="004C3276"/>
    <w:rsid w:val="004C33A4"/>
    <w:rsid w:val="004C6F7B"/>
    <w:rsid w:val="004D2CFD"/>
    <w:rsid w:val="004D36F8"/>
    <w:rsid w:val="004D5061"/>
    <w:rsid w:val="004D7A15"/>
    <w:rsid w:val="004E07ED"/>
    <w:rsid w:val="004E0A7D"/>
    <w:rsid w:val="004E10C1"/>
    <w:rsid w:val="004E1E52"/>
    <w:rsid w:val="004E38CC"/>
    <w:rsid w:val="004E5498"/>
    <w:rsid w:val="004E5C52"/>
    <w:rsid w:val="004E5FAC"/>
    <w:rsid w:val="004F00A9"/>
    <w:rsid w:val="004F151C"/>
    <w:rsid w:val="004F20B1"/>
    <w:rsid w:val="004F23C3"/>
    <w:rsid w:val="004F2E8D"/>
    <w:rsid w:val="004F32E1"/>
    <w:rsid w:val="004F48DE"/>
    <w:rsid w:val="004F591B"/>
    <w:rsid w:val="004F6AE3"/>
    <w:rsid w:val="005004AE"/>
    <w:rsid w:val="00501D0C"/>
    <w:rsid w:val="00504632"/>
    <w:rsid w:val="00504BAF"/>
    <w:rsid w:val="00506580"/>
    <w:rsid w:val="00506857"/>
    <w:rsid w:val="005139BB"/>
    <w:rsid w:val="005139D5"/>
    <w:rsid w:val="0051730B"/>
    <w:rsid w:val="00517B8C"/>
    <w:rsid w:val="0052089B"/>
    <w:rsid w:val="00520B39"/>
    <w:rsid w:val="00520DDD"/>
    <w:rsid w:val="00521D73"/>
    <w:rsid w:val="00521DBD"/>
    <w:rsid w:val="0052482B"/>
    <w:rsid w:val="005251D5"/>
    <w:rsid w:val="00525495"/>
    <w:rsid w:val="00527DE8"/>
    <w:rsid w:val="00530883"/>
    <w:rsid w:val="00530A90"/>
    <w:rsid w:val="0053115F"/>
    <w:rsid w:val="00531226"/>
    <w:rsid w:val="005312F8"/>
    <w:rsid w:val="005320B9"/>
    <w:rsid w:val="00532DFE"/>
    <w:rsid w:val="00533E9E"/>
    <w:rsid w:val="005344D6"/>
    <w:rsid w:val="00534C90"/>
    <w:rsid w:val="00536E11"/>
    <w:rsid w:val="00537922"/>
    <w:rsid w:val="00540AA4"/>
    <w:rsid w:val="00543981"/>
    <w:rsid w:val="00544C6A"/>
    <w:rsid w:val="0054535D"/>
    <w:rsid w:val="005477EA"/>
    <w:rsid w:val="00551058"/>
    <w:rsid w:val="00554174"/>
    <w:rsid w:val="00557B94"/>
    <w:rsid w:val="00557E39"/>
    <w:rsid w:val="005615F1"/>
    <w:rsid w:val="00561FB7"/>
    <w:rsid w:val="005630C3"/>
    <w:rsid w:val="005636BD"/>
    <w:rsid w:val="00563941"/>
    <w:rsid w:val="00563BC1"/>
    <w:rsid w:val="00564D74"/>
    <w:rsid w:val="00564FA0"/>
    <w:rsid w:val="00565585"/>
    <w:rsid w:val="00572487"/>
    <w:rsid w:val="00574257"/>
    <w:rsid w:val="005763A4"/>
    <w:rsid w:val="00577728"/>
    <w:rsid w:val="005805C2"/>
    <w:rsid w:val="00581705"/>
    <w:rsid w:val="00582975"/>
    <w:rsid w:val="00584AFC"/>
    <w:rsid w:val="00584CAC"/>
    <w:rsid w:val="00585349"/>
    <w:rsid w:val="00586723"/>
    <w:rsid w:val="0059036B"/>
    <w:rsid w:val="00590A88"/>
    <w:rsid w:val="00592A80"/>
    <w:rsid w:val="005931DC"/>
    <w:rsid w:val="00593E18"/>
    <w:rsid w:val="00594871"/>
    <w:rsid w:val="005955AD"/>
    <w:rsid w:val="0059638E"/>
    <w:rsid w:val="005969EF"/>
    <w:rsid w:val="00596B9A"/>
    <w:rsid w:val="0059707D"/>
    <w:rsid w:val="005A0233"/>
    <w:rsid w:val="005A1C4B"/>
    <w:rsid w:val="005A1EBA"/>
    <w:rsid w:val="005A30CB"/>
    <w:rsid w:val="005A347A"/>
    <w:rsid w:val="005A373B"/>
    <w:rsid w:val="005A468D"/>
    <w:rsid w:val="005A5890"/>
    <w:rsid w:val="005A6146"/>
    <w:rsid w:val="005B2378"/>
    <w:rsid w:val="005B28DE"/>
    <w:rsid w:val="005B3851"/>
    <w:rsid w:val="005B38A3"/>
    <w:rsid w:val="005B48B4"/>
    <w:rsid w:val="005B53AD"/>
    <w:rsid w:val="005B621A"/>
    <w:rsid w:val="005B7CFC"/>
    <w:rsid w:val="005B7D3F"/>
    <w:rsid w:val="005C0713"/>
    <w:rsid w:val="005C0BD0"/>
    <w:rsid w:val="005C5658"/>
    <w:rsid w:val="005C5EE3"/>
    <w:rsid w:val="005C7A9A"/>
    <w:rsid w:val="005C7E39"/>
    <w:rsid w:val="005D2BBF"/>
    <w:rsid w:val="005D2DBA"/>
    <w:rsid w:val="005D302A"/>
    <w:rsid w:val="005D3B34"/>
    <w:rsid w:val="005D40F4"/>
    <w:rsid w:val="005D5017"/>
    <w:rsid w:val="005D52F3"/>
    <w:rsid w:val="005D62B6"/>
    <w:rsid w:val="005D65FB"/>
    <w:rsid w:val="005D6F54"/>
    <w:rsid w:val="005E303F"/>
    <w:rsid w:val="005E3C4B"/>
    <w:rsid w:val="005E3C74"/>
    <w:rsid w:val="005E53CA"/>
    <w:rsid w:val="005E71D8"/>
    <w:rsid w:val="005F20A2"/>
    <w:rsid w:val="005F215A"/>
    <w:rsid w:val="005F2CAF"/>
    <w:rsid w:val="005F4800"/>
    <w:rsid w:val="005F5184"/>
    <w:rsid w:val="00600265"/>
    <w:rsid w:val="0060106E"/>
    <w:rsid w:val="006013F7"/>
    <w:rsid w:val="0060217E"/>
    <w:rsid w:val="00602C7E"/>
    <w:rsid w:val="00603493"/>
    <w:rsid w:val="006071B0"/>
    <w:rsid w:val="00611433"/>
    <w:rsid w:val="006137B7"/>
    <w:rsid w:val="006169C7"/>
    <w:rsid w:val="006204AD"/>
    <w:rsid w:val="00620519"/>
    <w:rsid w:val="00620607"/>
    <w:rsid w:val="00620898"/>
    <w:rsid w:val="00620F2D"/>
    <w:rsid w:val="0062127D"/>
    <w:rsid w:val="00623B99"/>
    <w:rsid w:val="00623FB6"/>
    <w:rsid w:val="006247E0"/>
    <w:rsid w:val="006248C6"/>
    <w:rsid w:val="00626216"/>
    <w:rsid w:val="0062632C"/>
    <w:rsid w:val="006270A7"/>
    <w:rsid w:val="00630390"/>
    <w:rsid w:val="00630F75"/>
    <w:rsid w:val="00631C46"/>
    <w:rsid w:val="006336F3"/>
    <w:rsid w:val="0063513D"/>
    <w:rsid w:val="006363BC"/>
    <w:rsid w:val="006363C5"/>
    <w:rsid w:val="00636652"/>
    <w:rsid w:val="00636FAF"/>
    <w:rsid w:val="0063798B"/>
    <w:rsid w:val="00637F86"/>
    <w:rsid w:val="00640B3E"/>
    <w:rsid w:val="006419AB"/>
    <w:rsid w:val="00643029"/>
    <w:rsid w:val="0064498B"/>
    <w:rsid w:val="00644D92"/>
    <w:rsid w:val="00650657"/>
    <w:rsid w:val="006510F8"/>
    <w:rsid w:val="00651346"/>
    <w:rsid w:val="00651893"/>
    <w:rsid w:val="0065294F"/>
    <w:rsid w:val="00652F4B"/>
    <w:rsid w:val="00653F42"/>
    <w:rsid w:val="00656E2D"/>
    <w:rsid w:val="0065777C"/>
    <w:rsid w:val="006608DC"/>
    <w:rsid w:val="00661315"/>
    <w:rsid w:val="00662D25"/>
    <w:rsid w:val="00671A25"/>
    <w:rsid w:val="00673279"/>
    <w:rsid w:val="00674FE0"/>
    <w:rsid w:val="006754F0"/>
    <w:rsid w:val="006756FD"/>
    <w:rsid w:val="00676299"/>
    <w:rsid w:val="00677173"/>
    <w:rsid w:val="00682577"/>
    <w:rsid w:val="00684CE1"/>
    <w:rsid w:val="006850A1"/>
    <w:rsid w:val="0068549B"/>
    <w:rsid w:val="006858B9"/>
    <w:rsid w:val="006874DB"/>
    <w:rsid w:val="0068750E"/>
    <w:rsid w:val="00690499"/>
    <w:rsid w:val="0069073E"/>
    <w:rsid w:val="00694151"/>
    <w:rsid w:val="006A03C9"/>
    <w:rsid w:val="006A0CEB"/>
    <w:rsid w:val="006A1722"/>
    <w:rsid w:val="006A2669"/>
    <w:rsid w:val="006A30E6"/>
    <w:rsid w:val="006A5618"/>
    <w:rsid w:val="006A7E09"/>
    <w:rsid w:val="006B0285"/>
    <w:rsid w:val="006B072A"/>
    <w:rsid w:val="006B091D"/>
    <w:rsid w:val="006B0B4A"/>
    <w:rsid w:val="006B1543"/>
    <w:rsid w:val="006B27BC"/>
    <w:rsid w:val="006B6793"/>
    <w:rsid w:val="006B68BA"/>
    <w:rsid w:val="006C0402"/>
    <w:rsid w:val="006C3E5E"/>
    <w:rsid w:val="006C5EC4"/>
    <w:rsid w:val="006D18C6"/>
    <w:rsid w:val="006D2B4D"/>
    <w:rsid w:val="006D6AC1"/>
    <w:rsid w:val="006D71B4"/>
    <w:rsid w:val="006D784E"/>
    <w:rsid w:val="006E03FC"/>
    <w:rsid w:val="006E0D5C"/>
    <w:rsid w:val="006E25B9"/>
    <w:rsid w:val="006E32B9"/>
    <w:rsid w:val="006E4239"/>
    <w:rsid w:val="006E4FF7"/>
    <w:rsid w:val="006E5345"/>
    <w:rsid w:val="006E5912"/>
    <w:rsid w:val="006E6AA2"/>
    <w:rsid w:val="006E6E9A"/>
    <w:rsid w:val="006F1176"/>
    <w:rsid w:val="006F19E2"/>
    <w:rsid w:val="006F1D32"/>
    <w:rsid w:val="006F48CF"/>
    <w:rsid w:val="006F53C9"/>
    <w:rsid w:val="006F5C4C"/>
    <w:rsid w:val="006F63CD"/>
    <w:rsid w:val="00700244"/>
    <w:rsid w:val="00703B65"/>
    <w:rsid w:val="007069DA"/>
    <w:rsid w:val="00710E43"/>
    <w:rsid w:val="00710ED6"/>
    <w:rsid w:val="00711464"/>
    <w:rsid w:val="00711B48"/>
    <w:rsid w:val="00712003"/>
    <w:rsid w:val="00712932"/>
    <w:rsid w:val="007135E7"/>
    <w:rsid w:val="00715D15"/>
    <w:rsid w:val="00715E2F"/>
    <w:rsid w:val="00716823"/>
    <w:rsid w:val="00720EDE"/>
    <w:rsid w:val="00721305"/>
    <w:rsid w:val="007218B9"/>
    <w:rsid w:val="00722036"/>
    <w:rsid w:val="00722A15"/>
    <w:rsid w:val="00726414"/>
    <w:rsid w:val="007301E0"/>
    <w:rsid w:val="0073021C"/>
    <w:rsid w:val="00730C51"/>
    <w:rsid w:val="0073316A"/>
    <w:rsid w:val="007348A8"/>
    <w:rsid w:val="0073590C"/>
    <w:rsid w:val="00736608"/>
    <w:rsid w:val="00742A40"/>
    <w:rsid w:val="00744691"/>
    <w:rsid w:val="00744F64"/>
    <w:rsid w:val="00745091"/>
    <w:rsid w:val="007458D0"/>
    <w:rsid w:val="007461BC"/>
    <w:rsid w:val="00746AB9"/>
    <w:rsid w:val="00751AFD"/>
    <w:rsid w:val="00751DEE"/>
    <w:rsid w:val="00751FE4"/>
    <w:rsid w:val="00752855"/>
    <w:rsid w:val="00755207"/>
    <w:rsid w:val="00757183"/>
    <w:rsid w:val="00757416"/>
    <w:rsid w:val="007575B3"/>
    <w:rsid w:val="00757D88"/>
    <w:rsid w:val="0076477C"/>
    <w:rsid w:val="007654E2"/>
    <w:rsid w:val="00767387"/>
    <w:rsid w:val="0076788A"/>
    <w:rsid w:val="00771819"/>
    <w:rsid w:val="00771A8D"/>
    <w:rsid w:val="007724AB"/>
    <w:rsid w:val="007742DF"/>
    <w:rsid w:val="007759BB"/>
    <w:rsid w:val="007776A7"/>
    <w:rsid w:val="007776E1"/>
    <w:rsid w:val="0077770E"/>
    <w:rsid w:val="00781004"/>
    <w:rsid w:val="0078297A"/>
    <w:rsid w:val="00784354"/>
    <w:rsid w:val="00785CBA"/>
    <w:rsid w:val="00786771"/>
    <w:rsid w:val="00790056"/>
    <w:rsid w:val="00790A2D"/>
    <w:rsid w:val="007915C1"/>
    <w:rsid w:val="007919F3"/>
    <w:rsid w:val="007953F7"/>
    <w:rsid w:val="0079695B"/>
    <w:rsid w:val="007A0BAB"/>
    <w:rsid w:val="007A112D"/>
    <w:rsid w:val="007A134C"/>
    <w:rsid w:val="007A475D"/>
    <w:rsid w:val="007A63BE"/>
    <w:rsid w:val="007A7211"/>
    <w:rsid w:val="007B0C62"/>
    <w:rsid w:val="007B15A5"/>
    <w:rsid w:val="007B1AE9"/>
    <w:rsid w:val="007B21B3"/>
    <w:rsid w:val="007B230D"/>
    <w:rsid w:val="007B3B84"/>
    <w:rsid w:val="007B46FB"/>
    <w:rsid w:val="007C0E89"/>
    <w:rsid w:val="007C1AD2"/>
    <w:rsid w:val="007C267B"/>
    <w:rsid w:val="007C2B9A"/>
    <w:rsid w:val="007C3450"/>
    <w:rsid w:val="007C3675"/>
    <w:rsid w:val="007C4699"/>
    <w:rsid w:val="007C6F14"/>
    <w:rsid w:val="007C7143"/>
    <w:rsid w:val="007C740B"/>
    <w:rsid w:val="007C7BFB"/>
    <w:rsid w:val="007D00CA"/>
    <w:rsid w:val="007D0C78"/>
    <w:rsid w:val="007D14BE"/>
    <w:rsid w:val="007D2BEF"/>
    <w:rsid w:val="007D3B94"/>
    <w:rsid w:val="007D6B95"/>
    <w:rsid w:val="007E09C2"/>
    <w:rsid w:val="007E2AF4"/>
    <w:rsid w:val="007E3AEB"/>
    <w:rsid w:val="007E57EB"/>
    <w:rsid w:val="007F07E3"/>
    <w:rsid w:val="007F1109"/>
    <w:rsid w:val="007F3C79"/>
    <w:rsid w:val="007F3D69"/>
    <w:rsid w:val="007F4090"/>
    <w:rsid w:val="007F55B5"/>
    <w:rsid w:val="007F6582"/>
    <w:rsid w:val="007F6992"/>
    <w:rsid w:val="007F6D55"/>
    <w:rsid w:val="007F7335"/>
    <w:rsid w:val="007F749A"/>
    <w:rsid w:val="007F7D4A"/>
    <w:rsid w:val="00802409"/>
    <w:rsid w:val="00803E5C"/>
    <w:rsid w:val="00804FCC"/>
    <w:rsid w:val="00810B94"/>
    <w:rsid w:val="00811D3B"/>
    <w:rsid w:val="00812367"/>
    <w:rsid w:val="00814B3A"/>
    <w:rsid w:val="0081714F"/>
    <w:rsid w:val="00817D00"/>
    <w:rsid w:val="008207D6"/>
    <w:rsid w:val="00821CE0"/>
    <w:rsid w:val="008222B6"/>
    <w:rsid w:val="00825554"/>
    <w:rsid w:val="0082606B"/>
    <w:rsid w:val="0082618E"/>
    <w:rsid w:val="0082760A"/>
    <w:rsid w:val="00830F96"/>
    <w:rsid w:val="0083137E"/>
    <w:rsid w:val="00833E0E"/>
    <w:rsid w:val="00834497"/>
    <w:rsid w:val="00835D41"/>
    <w:rsid w:val="008364BD"/>
    <w:rsid w:val="00836C2C"/>
    <w:rsid w:val="00837BA2"/>
    <w:rsid w:val="00837C9A"/>
    <w:rsid w:val="008405E0"/>
    <w:rsid w:val="00840832"/>
    <w:rsid w:val="008416DD"/>
    <w:rsid w:val="008421CD"/>
    <w:rsid w:val="008432E1"/>
    <w:rsid w:val="00843C2A"/>
    <w:rsid w:val="0084553B"/>
    <w:rsid w:val="00846AB7"/>
    <w:rsid w:val="00853BF9"/>
    <w:rsid w:val="00855C96"/>
    <w:rsid w:val="0086006F"/>
    <w:rsid w:val="0086250B"/>
    <w:rsid w:val="00862D3E"/>
    <w:rsid w:val="008633D6"/>
    <w:rsid w:val="008639AD"/>
    <w:rsid w:val="00865770"/>
    <w:rsid w:val="00865C71"/>
    <w:rsid w:val="00866762"/>
    <w:rsid w:val="00867B92"/>
    <w:rsid w:val="00874520"/>
    <w:rsid w:val="00874E50"/>
    <w:rsid w:val="00880471"/>
    <w:rsid w:val="00880D16"/>
    <w:rsid w:val="00880DFC"/>
    <w:rsid w:val="00881834"/>
    <w:rsid w:val="00882C00"/>
    <w:rsid w:val="00883415"/>
    <w:rsid w:val="0088467D"/>
    <w:rsid w:val="00886562"/>
    <w:rsid w:val="008919BA"/>
    <w:rsid w:val="00895244"/>
    <w:rsid w:val="00895248"/>
    <w:rsid w:val="00895BB6"/>
    <w:rsid w:val="00895D27"/>
    <w:rsid w:val="00896388"/>
    <w:rsid w:val="008973C5"/>
    <w:rsid w:val="008A251C"/>
    <w:rsid w:val="008A30A7"/>
    <w:rsid w:val="008A3B91"/>
    <w:rsid w:val="008A3F1B"/>
    <w:rsid w:val="008A4B5F"/>
    <w:rsid w:val="008A53F9"/>
    <w:rsid w:val="008A6397"/>
    <w:rsid w:val="008A690F"/>
    <w:rsid w:val="008A6A4A"/>
    <w:rsid w:val="008A7A1B"/>
    <w:rsid w:val="008B02E4"/>
    <w:rsid w:val="008B4324"/>
    <w:rsid w:val="008B461F"/>
    <w:rsid w:val="008B4D40"/>
    <w:rsid w:val="008B518D"/>
    <w:rsid w:val="008B69E6"/>
    <w:rsid w:val="008B7482"/>
    <w:rsid w:val="008B7C97"/>
    <w:rsid w:val="008C2877"/>
    <w:rsid w:val="008C39EC"/>
    <w:rsid w:val="008C3F8C"/>
    <w:rsid w:val="008C3FF7"/>
    <w:rsid w:val="008C406E"/>
    <w:rsid w:val="008C4238"/>
    <w:rsid w:val="008C4E4D"/>
    <w:rsid w:val="008C6543"/>
    <w:rsid w:val="008C7979"/>
    <w:rsid w:val="008D1BF0"/>
    <w:rsid w:val="008D1E94"/>
    <w:rsid w:val="008D32FB"/>
    <w:rsid w:val="008D3D45"/>
    <w:rsid w:val="008D44A3"/>
    <w:rsid w:val="008D4B0C"/>
    <w:rsid w:val="008D57FE"/>
    <w:rsid w:val="008D59FC"/>
    <w:rsid w:val="008D6AD8"/>
    <w:rsid w:val="008D6E70"/>
    <w:rsid w:val="008D77F2"/>
    <w:rsid w:val="008E189A"/>
    <w:rsid w:val="008E2276"/>
    <w:rsid w:val="008E3719"/>
    <w:rsid w:val="008E507E"/>
    <w:rsid w:val="008E5D6D"/>
    <w:rsid w:val="008F52AA"/>
    <w:rsid w:val="009010B8"/>
    <w:rsid w:val="00902E12"/>
    <w:rsid w:val="0090522F"/>
    <w:rsid w:val="00905985"/>
    <w:rsid w:val="00905BF3"/>
    <w:rsid w:val="009072A3"/>
    <w:rsid w:val="009126B7"/>
    <w:rsid w:val="009128FA"/>
    <w:rsid w:val="00913926"/>
    <w:rsid w:val="00913B42"/>
    <w:rsid w:val="00915077"/>
    <w:rsid w:val="009160CB"/>
    <w:rsid w:val="00916BDD"/>
    <w:rsid w:val="00917183"/>
    <w:rsid w:val="00920EA8"/>
    <w:rsid w:val="009233EC"/>
    <w:rsid w:val="00924098"/>
    <w:rsid w:val="00924578"/>
    <w:rsid w:val="00924BE8"/>
    <w:rsid w:val="00925469"/>
    <w:rsid w:val="00930F3A"/>
    <w:rsid w:val="00932581"/>
    <w:rsid w:val="00932E25"/>
    <w:rsid w:val="00936617"/>
    <w:rsid w:val="00936D12"/>
    <w:rsid w:val="009404F0"/>
    <w:rsid w:val="00941AD1"/>
    <w:rsid w:val="00944333"/>
    <w:rsid w:val="0094434F"/>
    <w:rsid w:val="009447CB"/>
    <w:rsid w:val="00947319"/>
    <w:rsid w:val="00947745"/>
    <w:rsid w:val="0095002C"/>
    <w:rsid w:val="0095070F"/>
    <w:rsid w:val="00952663"/>
    <w:rsid w:val="00953C26"/>
    <w:rsid w:val="0095446E"/>
    <w:rsid w:val="0095615E"/>
    <w:rsid w:val="00956AD3"/>
    <w:rsid w:val="00960860"/>
    <w:rsid w:val="0096217E"/>
    <w:rsid w:val="009624C4"/>
    <w:rsid w:val="009626C5"/>
    <w:rsid w:val="00963193"/>
    <w:rsid w:val="009632C0"/>
    <w:rsid w:val="00963698"/>
    <w:rsid w:val="00963EE6"/>
    <w:rsid w:val="00967DDC"/>
    <w:rsid w:val="00967EAF"/>
    <w:rsid w:val="00973122"/>
    <w:rsid w:val="00974C60"/>
    <w:rsid w:val="00975A69"/>
    <w:rsid w:val="00975C7A"/>
    <w:rsid w:val="0097685C"/>
    <w:rsid w:val="009770DC"/>
    <w:rsid w:val="009773F5"/>
    <w:rsid w:val="00980652"/>
    <w:rsid w:val="009847FD"/>
    <w:rsid w:val="00984FD1"/>
    <w:rsid w:val="00987A9E"/>
    <w:rsid w:val="00992AEC"/>
    <w:rsid w:val="00994737"/>
    <w:rsid w:val="009948E0"/>
    <w:rsid w:val="00994DE5"/>
    <w:rsid w:val="00996F4E"/>
    <w:rsid w:val="009A071F"/>
    <w:rsid w:val="009A1773"/>
    <w:rsid w:val="009A18EE"/>
    <w:rsid w:val="009A3AEE"/>
    <w:rsid w:val="009A4153"/>
    <w:rsid w:val="009A5B5B"/>
    <w:rsid w:val="009A63D6"/>
    <w:rsid w:val="009A6F7A"/>
    <w:rsid w:val="009A7622"/>
    <w:rsid w:val="009B0759"/>
    <w:rsid w:val="009B095A"/>
    <w:rsid w:val="009B30F9"/>
    <w:rsid w:val="009B3D85"/>
    <w:rsid w:val="009B4E75"/>
    <w:rsid w:val="009B5B38"/>
    <w:rsid w:val="009B5C2E"/>
    <w:rsid w:val="009B6577"/>
    <w:rsid w:val="009B7AA7"/>
    <w:rsid w:val="009C05E5"/>
    <w:rsid w:val="009C1166"/>
    <w:rsid w:val="009C1527"/>
    <w:rsid w:val="009C6980"/>
    <w:rsid w:val="009C71A9"/>
    <w:rsid w:val="009C7478"/>
    <w:rsid w:val="009D04CB"/>
    <w:rsid w:val="009D21AA"/>
    <w:rsid w:val="009D30AF"/>
    <w:rsid w:val="009D35F4"/>
    <w:rsid w:val="009D47F2"/>
    <w:rsid w:val="009E0A78"/>
    <w:rsid w:val="009E2409"/>
    <w:rsid w:val="009E68C5"/>
    <w:rsid w:val="009F0383"/>
    <w:rsid w:val="009F111D"/>
    <w:rsid w:val="009F2F0B"/>
    <w:rsid w:val="009F45BC"/>
    <w:rsid w:val="009F4FFA"/>
    <w:rsid w:val="009F7B53"/>
    <w:rsid w:val="00A01AF3"/>
    <w:rsid w:val="00A03698"/>
    <w:rsid w:val="00A10ECE"/>
    <w:rsid w:val="00A11161"/>
    <w:rsid w:val="00A11A17"/>
    <w:rsid w:val="00A11AF3"/>
    <w:rsid w:val="00A11FAE"/>
    <w:rsid w:val="00A1206D"/>
    <w:rsid w:val="00A1376A"/>
    <w:rsid w:val="00A17402"/>
    <w:rsid w:val="00A20E21"/>
    <w:rsid w:val="00A20F99"/>
    <w:rsid w:val="00A216EF"/>
    <w:rsid w:val="00A21F6E"/>
    <w:rsid w:val="00A22022"/>
    <w:rsid w:val="00A244B9"/>
    <w:rsid w:val="00A248B7"/>
    <w:rsid w:val="00A24C27"/>
    <w:rsid w:val="00A24C3F"/>
    <w:rsid w:val="00A2561E"/>
    <w:rsid w:val="00A269E0"/>
    <w:rsid w:val="00A26E87"/>
    <w:rsid w:val="00A3045B"/>
    <w:rsid w:val="00A33528"/>
    <w:rsid w:val="00A3446D"/>
    <w:rsid w:val="00A3542E"/>
    <w:rsid w:val="00A42784"/>
    <w:rsid w:val="00A43D7B"/>
    <w:rsid w:val="00A451B9"/>
    <w:rsid w:val="00A463D8"/>
    <w:rsid w:val="00A46E71"/>
    <w:rsid w:val="00A46EFF"/>
    <w:rsid w:val="00A5097A"/>
    <w:rsid w:val="00A537BA"/>
    <w:rsid w:val="00A55444"/>
    <w:rsid w:val="00A560EA"/>
    <w:rsid w:val="00A56FA0"/>
    <w:rsid w:val="00A607CC"/>
    <w:rsid w:val="00A632AF"/>
    <w:rsid w:val="00A63A62"/>
    <w:rsid w:val="00A63F09"/>
    <w:rsid w:val="00A6409D"/>
    <w:rsid w:val="00A658BC"/>
    <w:rsid w:val="00A65EB7"/>
    <w:rsid w:val="00A65EBC"/>
    <w:rsid w:val="00A703D1"/>
    <w:rsid w:val="00A73560"/>
    <w:rsid w:val="00A74BBD"/>
    <w:rsid w:val="00A74EAF"/>
    <w:rsid w:val="00A758F7"/>
    <w:rsid w:val="00A7692B"/>
    <w:rsid w:val="00A76A0A"/>
    <w:rsid w:val="00A76C99"/>
    <w:rsid w:val="00A779BE"/>
    <w:rsid w:val="00A801E4"/>
    <w:rsid w:val="00A80CCA"/>
    <w:rsid w:val="00A815DF"/>
    <w:rsid w:val="00A834FA"/>
    <w:rsid w:val="00A83EF3"/>
    <w:rsid w:val="00A86E6E"/>
    <w:rsid w:val="00A87286"/>
    <w:rsid w:val="00A87300"/>
    <w:rsid w:val="00A919F9"/>
    <w:rsid w:val="00A92CEE"/>
    <w:rsid w:val="00A951ED"/>
    <w:rsid w:val="00A969AF"/>
    <w:rsid w:val="00A978AE"/>
    <w:rsid w:val="00AA03AE"/>
    <w:rsid w:val="00AA1672"/>
    <w:rsid w:val="00AA16C0"/>
    <w:rsid w:val="00AA2ABA"/>
    <w:rsid w:val="00AA2EF3"/>
    <w:rsid w:val="00AA5DE1"/>
    <w:rsid w:val="00AA6317"/>
    <w:rsid w:val="00AA6713"/>
    <w:rsid w:val="00AA76AF"/>
    <w:rsid w:val="00AB0048"/>
    <w:rsid w:val="00AB1E76"/>
    <w:rsid w:val="00AB320A"/>
    <w:rsid w:val="00AB38DD"/>
    <w:rsid w:val="00AB4AD8"/>
    <w:rsid w:val="00AB6C26"/>
    <w:rsid w:val="00AC187D"/>
    <w:rsid w:val="00AC3A5D"/>
    <w:rsid w:val="00AC4229"/>
    <w:rsid w:val="00AC634F"/>
    <w:rsid w:val="00AC6918"/>
    <w:rsid w:val="00AD1008"/>
    <w:rsid w:val="00AD17CC"/>
    <w:rsid w:val="00AD4825"/>
    <w:rsid w:val="00AD546E"/>
    <w:rsid w:val="00AD6E56"/>
    <w:rsid w:val="00AE0089"/>
    <w:rsid w:val="00AE0864"/>
    <w:rsid w:val="00AE1498"/>
    <w:rsid w:val="00AE19D0"/>
    <w:rsid w:val="00AE398B"/>
    <w:rsid w:val="00AE49AB"/>
    <w:rsid w:val="00AE6F93"/>
    <w:rsid w:val="00AE7731"/>
    <w:rsid w:val="00AF0DE0"/>
    <w:rsid w:val="00AF1F45"/>
    <w:rsid w:val="00AF1F90"/>
    <w:rsid w:val="00AF29F4"/>
    <w:rsid w:val="00AF446E"/>
    <w:rsid w:val="00AF47A4"/>
    <w:rsid w:val="00AF76F8"/>
    <w:rsid w:val="00B057D4"/>
    <w:rsid w:val="00B06E7D"/>
    <w:rsid w:val="00B074A8"/>
    <w:rsid w:val="00B075EF"/>
    <w:rsid w:val="00B115B6"/>
    <w:rsid w:val="00B11F91"/>
    <w:rsid w:val="00B1297D"/>
    <w:rsid w:val="00B1641B"/>
    <w:rsid w:val="00B1659A"/>
    <w:rsid w:val="00B16FEA"/>
    <w:rsid w:val="00B170E5"/>
    <w:rsid w:val="00B17264"/>
    <w:rsid w:val="00B238CE"/>
    <w:rsid w:val="00B262B1"/>
    <w:rsid w:val="00B30B7C"/>
    <w:rsid w:val="00B32C57"/>
    <w:rsid w:val="00B3330F"/>
    <w:rsid w:val="00B35B37"/>
    <w:rsid w:val="00B36169"/>
    <w:rsid w:val="00B36C89"/>
    <w:rsid w:val="00B414BB"/>
    <w:rsid w:val="00B41592"/>
    <w:rsid w:val="00B456E5"/>
    <w:rsid w:val="00B456F8"/>
    <w:rsid w:val="00B464EE"/>
    <w:rsid w:val="00B50F44"/>
    <w:rsid w:val="00B5284E"/>
    <w:rsid w:val="00B52E10"/>
    <w:rsid w:val="00B53A70"/>
    <w:rsid w:val="00B54697"/>
    <w:rsid w:val="00B554D7"/>
    <w:rsid w:val="00B55992"/>
    <w:rsid w:val="00B56547"/>
    <w:rsid w:val="00B56F85"/>
    <w:rsid w:val="00B575F3"/>
    <w:rsid w:val="00B57B19"/>
    <w:rsid w:val="00B60001"/>
    <w:rsid w:val="00B603EF"/>
    <w:rsid w:val="00B60901"/>
    <w:rsid w:val="00B6197E"/>
    <w:rsid w:val="00B627FB"/>
    <w:rsid w:val="00B62E90"/>
    <w:rsid w:val="00B633E4"/>
    <w:rsid w:val="00B63D5A"/>
    <w:rsid w:val="00B653F9"/>
    <w:rsid w:val="00B67133"/>
    <w:rsid w:val="00B71366"/>
    <w:rsid w:val="00B71F8E"/>
    <w:rsid w:val="00B72329"/>
    <w:rsid w:val="00B727CD"/>
    <w:rsid w:val="00B75029"/>
    <w:rsid w:val="00B75284"/>
    <w:rsid w:val="00B75F61"/>
    <w:rsid w:val="00B75F73"/>
    <w:rsid w:val="00B76465"/>
    <w:rsid w:val="00B77F85"/>
    <w:rsid w:val="00B812A7"/>
    <w:rsid w:val="00B8130F"/>
    <w:rsid w:val="00B819B9"/>
    <w:rsid w:val="00B81BA5"/>
    <w:rsid w:val="00B82D08"/>
    <w:rsid w:val="00B84FDF"/>
    <w:rsid w:val="00B91053"/>
    <w:rsid w:val="00B91106"/>
    <w:rsid w:val="00B925C0"/>
    <w:rsid w:val="00B94037"/>
    <w:rsid w:val="00B94350"/>
    <w:rsid w:val="00B95948"/>
    <w:rsid w:val="00B968B7"/>
    <w:rsid w:val="00B970D7"/>
    <w:rsid w:val="00BA0C56"/>
    <w:rsid w:val="00BA2447"/>
    <w:rsid w:val="00BA4175"/>
    <w:rsid w:val="00BA4950"/>
    <w:rsid w:val="00BA549A"/>
    <w:rsid w:val="00BA5A09"/>
    <w:rsid w:val="00BA5F36"/>
    <w:rsid w:val="00BB01EB"/>
    <w:rsid w:val="00BB16A2"/>
    <w:rsid w:val="00BB1EBE"/>
    <w:rsid w:val="00BB29B2"/>
    <w:rsid w:val="00BB2C9A"/>
    <w:rsid w:val="00BB2D90"/>
    <w:rsid w:val="00BB4489"/>
    <w:rsid w:val="00BB4976"/>
    <w:rsid w:val="00BB4D5C"/>
    <w:rsid w:val="00BC057D"/>
    <w:rsid w:val="00BC2D9E"/>
    <w:rsid w:val="00BC33BC"/>
    <w:rsid w:val="00BC699C"/>
    <w:rsid w:val="00BC6AD1"/>
    <w:rsid w:val="00BD080C"/>
    <w:rsid w:val="00BD1D33"/>
    <w:rsid w:val="00BD42F6"/>
    <w:rsid w:val="00BD45DD"/>
    <w:rsid w:val="00BD4FC4"/>
    <w:rsid w:val="00BD6FCE"/>
    <w:rsid w:val="00BD724A"/>
    <w:rsid w:val="00BD7409"/>
    <w:rsid w:val="00BD7C1F"/>
    <w:rsid w:val="00BE1A29"/>
    <w:rsid w:val="00BE1D06"/>
    <w:rsid w:val="00BE277C"/>
    <w:rsid w:val="00BE294C"/>
    <w:rsid w:val="00BE363D"/>
    <w:rsid w:val="00BE3F7F"/>
    <w:rsid w:val="00BE4726"/>
    <w:rsid w:val="00BE5D7A"/>
    <w:rsid w:val="00BF0A67"/>
    <w:rsid w:val="00BF0CA5"/>
    <w:rsid w:val="00BF3B82"/>
    <w:rsid w:val="00BF48B8"/>
    <w:rsid w:val="00BF5AB6"/>
    <w:rsid w:val="00BF693A"/>
    <w:rsid w:val="00BF6E3A"/>
    <w:rsid w:val="00BF7064"/>
    <w:rsid w:val="00BF7A4F"/>
    <w:rsid w:val="00BF7F25"/>
    <w:rsid w:val="00C00CB5"/>
    <w:rsid w:val="00C01A97"/>
    <w:rsid w:val="00C0294F"/>
    <w:rsid w:val="00C055D5"/>
    <w:rsid w:val="00C05CF6"/>
    <w:rsid w:val="00C07DE3"/>
    <w:rsid w:val="00C1006D"/>
    <w:rsid w:val="00C1076E"/>
    <w:rsid w:val="00C117FB"/>
    <w:rsid w:val="00C12427"/>
    <w:rsid w:val="00C12954"/>
    <w:rsid w:val="00C1340D"/>
    <w:rsid w:val="00C14137"/>
    <w:rsid w:val="00C14D9C"/>
    <w:rsid w:val="00C176A2"/>
    <w:rsid w:val="00C1773F"/>
    <w:rsid w:val="00C17F39"/>
    <w:rsid w:val="00C20994"/>
    <w:rsid w:val="00C22D58"/>
    <w:rsid w:val="00C22DEA"/>
    <w:rsid w:val="00C24A40"/>
    <w:rsid w:val="00C25F13"/>
    <w:rsid w:val="00C2622C"/>
    <w:rsid w:val="00C2630D"/>
    <w:rsid w:val="00C27179"/>
    <w:rsid w:val="00C2730A"/>
    <w:rsid w:val="00C27DA0"/>
    <w:rsid w:val="00C27E3B"/>
    <w:rsid w:val="00C301E3"/>
    <w:rsid w:val="00C3111E"/>
    <w:rsid w:val="00C31FEF"/>
    <w:rsid w:val="00C325D4"/>
    <w:rsid w:val="00C333BF"/>
    <w:rsid w:val="00C338C9"/>
    <w:rsid w:val="00C34079"/>
    <w:rsid w:val="00C34525"/>
    <w:rsid w:val="00C3597B"/>
    <w:rsid w:val="00C3623B"/>
    <w:rsid w:val="00C3741D"/>
    <w:rsid w:val="00C447A8"/>
    <w:rsid w:val="00C4571B"/>
    <w:rsid w:val="00C46DE3"/>
    <w:rsid w:val="00C50630"/>
    <w:rsid w:val="00C5130C"/>
    <w:rsid w:val="00C5165C"/>
    <w:rsid w:val="00C5292A"/>
    <w:rsid w:val="00C52FEC"/>
    <w:rsid w:val="00C530FD"/>
    <w:rsid w:val="00C55DD9"/>
    <w:rsid w:val="00C56DF7"/>
    <w:rsid w:val="00C60429"/>
    <w:rsid w:val="00C624F8"/>
    <w:rsid w:val="00C62B8D"/>
    <w:rsid w:val="00C62BD0"/>
    <w:rsid w:val="00C62C72"/>
    <w:rsid w:val="00C64937"/>
    <w:rsid w:val="00C64F3F"/>
    <w:rsid w:val="00C660C5"/>
    <w:rsid w:val="00C66648"/>
    <w:rsid w:val="00C67A92"/>
    <w:rsid w:val="00C70075"/>
    <w:rsid w:val="00C70A80"/>
    <w:rsid w:val="00C714B0"/>
    <w:rsid w:val="00C72281"/>
    <w:rsid w:val="00C753B1"/>
    <w:rsid w:val="00C762DF"/>
    <w:rsid w:val="00C76687"/>
    <w:rsid w:val="00C768EC"/>
    <w:rsid w:val="00C76F53"/>
    <w:rsid w:val="00C7706E"/>
    <w:rsid w:val="00C776FC"/>
    <w:rsid w:val="00C77B3E"/>
    <w:rsid w:val="00C81064"/>
    <w:rsid w:val="00C8116B"/>
    <w:rsid w:val="00C81197"/>
    <w:rsid w:val="00C84FF9"/>
    <w:rsid w:val="00C86A4D"/>
    <w:rsid w:val="00C86BAC"/>
    <w:rsid w:val="00C8775A"/>
    <w:rsid w:val="00C87A76"/>
    <w:rsid w:val="00C90024"/>
    <w:rsid w:val="00C91FEA"/>
    <w:rsid w:val="00C92FAE"/>
    <w:rsid w:val="00C932B5"/>
    <w:rsid w:val="00C934E9"/>
    <w:rsid w:val="00C93FD3"/>
    <w:rsid w:val="00C960BF"/>
    <w:rsid w:val="00C9767F"/>
    <w:rsid w:val="00CA0377"/>
    <w:rsid w:val="00CA0A97"/>
    <w:rsid w:val="00CA14BC"/>
    <w:rsid w:val="00CA2AC0"/>
    <w:rsid w:val="00CA471F"/>
    <w:rsid w:val="00CA5208"/>
    <w:rsid w:val="00CA61A8"/>
    <w:rsid w:val="00CA642E"/>
    <w:rsid w:val="00CA6B4F"/>
    <w:rsid w:val="00CA700C"/>
    <w:rsid w:val="00CB0F63"/>
    <w:rsid w:val="00CB1D32"/>
    <w:rsid w:val="00CB1E25"/>
    <w:rsid w:val="00CB260F"/>
    <w:rsid w:val="00CB2683"/>
    <w:rsid w:val="00CB2C4F"/>
    <w:rsid w:val="00CB4428"/>
    <w:rsid w:val="00CB4962"/>
    <w:rsid w:val="00CC1E55"/>
    <w:rsid w:val="00CC24EB"/>
    <w:rsid w:val="00CC25F2"/>
    <w:rsid w:val="00CC46CA"/>
    <w:rsid w:val="00CC4B15"/>
    <w:rsid w:val="00CC4CA0"/>
    <w:rsid w:val="00CC5625"/>
    <w:rsid w:val="00CC5915"/>
    <w:rsid w:val="00CC65B8"/>
    <w:rsid w:val="00CC65F3"/>
    <w:rsid w:val="00CD00DB"/>
    <w:rsid w:val="00CD0C97"/>
    <w:rsid w:val="00CD2A99"/>
    <w:rsid w:val="00CD5A95"/>
    <w:rsid w:val="00CD6AB0"/>
    <w:rsid w:val="00CD6BC7"/>
    <w:rsid w:val="00CD783A"/>
    <w:rsid w:val="00CE1414"/>
    <w:rsid w:val="00CE23B3"/>
    <w:rsid w:val="00CE28D9"/>
    <w:rsid w:val="00CE3BF7"/>
    <w:rsid w:val="00CE47FD"/>
    <w:rsid w:val="00CE4F88"/>
    <w:rsid w:val="00CE61B3"/>
    <w:rsid w:val="00CF3723"/>
    <w:rsid w:val="00CF4426"/>
    <w:rsid w:val="00CF4FB0"/>
    <w:rsid w:val="00CF5F0A"/>
    <w:rsid w:val="00CF7C36"/>
    <w:rsid w:val="00D004BA"/>
    <w:rsid w:val="00D00854"/>
    <w:rsid w:val="00D01302"/>
    <w:rsid w:val="00D01992"/>
    <w:rsid w:val="00D01DA8"/>
    <w:rsid w:val="00D020C7"/>
    <w:rsid w:val="00D06FEC"/>
    <w:rsid w:val="00D1155D"/>
    <w:rsid w:val="00D116E0"/>
    <w:rsid w:val="00D11F50"/>
    <w:rsid w:val="00D13ED0"/>
    <w:rsid w:val="00D167F3"/>
    <w:rsid w:val="00D2084D"/>
    <w:rsid w:val="00D20EBD"/>
    <w:rsid w:val="00D210D2"/>
    <w:rsid w:val="00D21237"/>
    <w:rsid w:val="00D21DF5"/>
    <w:rsid w:val="00D24377"/>
    <w:rsid w:val="00D26B52"/>
    <w:rsid w:val="00D279FA"/>
    <w:rsid w:val="00D27E00"/>
    <w:rsid w:val="00D32E57"/>
    <w:rsid w:val="00D3328C"/>
    <w:rsid w:val="00D350A4"/>
    <w:rsid w:val="00D37E69"/>
    <w:rsid w:val="00D41B0E"/>
    <w:rsid w:val="00D453B1"/>
    <w:rsid w:val="00D46A5B"/>
    <w:rsid w:val="00D477AC"/>
    <w:rsid w:val="00D50E06"/>
    <w:rsid w:val="00D5103B"/>
    <w:rsid w:val="00D52797"/>
    <w:rsid w:val="00D54F3D"/>
    <w:rsid w:val="00D550DA"/>
    <w:rsid w:val="00D55A0E"/>
    <w:rsid w:val="00D55F1D"/>
    <w:rsid w:val="00D6066F"/>
    <w:rsid w:val="00D61884"/>
    <w:rsid w:val="00D6195E"/>
    <w:rsid w:val="00D63551"/>
    <w:rsid w:val="00D63C34"/>
    <w:rsid w:val="00D651FB"/>
    <w:rsid w:val="00D6562E"/>
    <w:rsid w:val="00D6565B"/>
    <w:rsid w:val="00D71067"/>
    <w:rsid w:val="00D7137E"/>
    <w:rsid w:val="00D7748E"/>
    <w:rsid w:val="00D77E45"/>
    <w:rsid w:val="00D77FF6"/>
    <w:rsid w:val="00D81B79"/>
    <w:rsid w:val="00D82716"/>
    <w:rsid w:val="00D84806"/>
    <w:rsid w:val="00D8547F"/>
    <w:rsid w:val="00D86BD7"/>
    <w:rsid w:val="00D87238"/>
    <w:rsid w:val="00D874D4"/>
    <w:rsid w:val="00D91CB3"/>
    <w:rsid w:val="00D93E4D"/>
    <w:rsid w:val="00D9504D"/>
    <w:rsid w:val="00D965D4"/>
    <w:rsid w:val="00DA1BD3"/>
    <w:rsid w:val="00DA2189"/>
    <w:rsid w:val="00DA2C98"/>
    <w:rsid w:val="00DA41F4"/>
    <w:rsid w:val="00DA42E8"/>
    <w:rsid w:val="00DA4D98"/>
    <w:rsid w:val="00DA6738"/>
    <w:rsid w:val="00DB11CE"/>
    <w:rsid w:val="00DB19B3"/>
    <w:rsid w:val="00DB5852"/>
    <w:rsid w:val="00DB5D90"/>
    <w:rsid w:val="00DB6D51"/>
    <w:rsid w:val="00DC0FC3"/>
    <w:rsid w:val="00DC318D"/>
    <w:rsid w:val="00DC373F"/>
    <w:rsid w:val="00DC5D7A"/>
    <w:rsid w:val="00DD1A1F"/>
    <w:rsid w:val="00DD3049"/>
    <w:rsid w:val="00DD7C81"/>
    <w:rsid w:val="00DE0AFF"/>
    <w:rsid w:val="00DE1FA5"/>
    <w:rsid w:val="00DE267F"/>
    <w:rsid w:val="00DE4B52"/>
    <w:rsid w:val="00DE4DBC"/>
    <w:rsid w:val="00DE4DC4"/>
    <w:rsid w:val="00DE7532"/>
    <w:rsid w:val="00DE7D8A"/>
    <w:rsid w:val="00DE7FAE"/>
    <w:rsid w:val="00DF1B92"/>
    <w:rsid w:val="00DF202B"/>
    <w:rsid w:val="00DF3127"/>
    <w:rsid w:val="00DF40EA"/>
    <w:rsid w:val="00E00CD2"/>
    <w:rsid w:val="00E00E1D"/>
    <w:rsid w:val="00E00F29"/>
    <w:rsid w:val="00E00F9D"/>
    <w:rsid w:val="00E04489"/>
    <w:rsid w:val="00E06718"/>
    <w:rsid w:val="00E07587"/>
    <w:rsid w:val="00E13335"/>
    <w:rsid w:val="00E1372C"/>
    <w:rsid w:val="00E139DC"/>
    <w:rsid w:val="00E13EB9"/>
    <w:rsid w:val="00E14454"/>
    <w:rsid w:val="00E15CD3"/>
    <w:rsid w:val="00E17198"/>
    <w:rsid w:val="00E178D5"/>
    <w:rsid w:val="00E20F62"/>
    <w:rsid w:val="00E215CA"/>
    <w:rsid w:val="00E21659"/>
    <w:rsid w:val="00E219F8"/>
    <w:rsid w:val="00E22C1C"/>
    <w:rsid w:val="00E2517D"/>
    <w:rsid w:val="00E25A63"/>
    <w:rsid w:val="00E261EF"/>
    <w:rsid w:val="00E26393"/>
    <w:rsid w:val="00E26517"/>
    <w:rsid w:val="00E278A0"/>
    <w:rsid w:val="00E27C54"/>
    <w:rsid w:val="00E30D76"/>
    <w:rsid w:val="00E34ADE"/>
    <w:rsid w:val="00E34F50"/>
    <w:rsid w:val="00E35074"/>
    <w:rsid w:val="00E377E7"/>
    <w:rsid w:val="00E40399"/>
    <w:rsid w:val="00E424B3"/>
    <w:rsid w:val="00E443ED"/>
    <w:rsid w:val="00E444B1"/>
    <w:rsid w:val="00E44F67"/>
    <w:rsid w:val="00E44FED"/>
    <w:rsid w:val="00E506D2"/>
    <w:rsid w:val="00E556C1"/>
    <w:rsid w:val="00E567A5"/>
    <w:rsid w:val="00E57D7B"/>
    <w:rsid w:val="00E60172"/>
    <w:rsid w:val="00E60C5D"/>
    <w:rsid w:val="00E631DF"/>
    <w:rsid w:val="00E63C87"/>
    <w:rsid w:val="00E64AF7"/>
    <w:rsid w:val="00E64ED1"/>
    <w:rsid w:val="00E6503D"/>
    <w:rsid w:val="00E6752A"/>
    <w:rsid w:val="00E67BD6"/>
    <w:rsid w:val="00E70565"/>
    <w:rsid w:val="00E710A3"/>
    <w:rsid w:val="00E73445"/>
    <w:rsid w:val="00E74AF9"/>
    <w:rsid w:val="00E8090A"/>
    <w:rsid w:val="00E83D56"/>
    <w:rsid w:val="00E848F0"/>
    <w:rsid w:val="00E85A5F"/>
    <w:rsid w:val="00E87D25"/>
    <w:rsid w:val="00E90491"/>
    <w:rsid w:val="00E90B41"/>
    <w:rsid w:val="00E91E53"/>
    <w:rsid w:val="00E958F0"/>
    <w:rsid w:val="00E97EFD"/>
    <w:rsid w:val="00EA28FE"/>
    <w:rsid w:val="00EA356C"/>
    <w:rsid w:val="00EA3AA2"/>
    <w:rsid w:val="00EA3BDD"/>
    <w:rsid w:val="00EA41FA"/>
    <w:rsid w:val="00EA461F"/>
    <w:rsid w:val="00EA49EE"/>
    <w:rsid w:val="00EA5927"/>
    <w:rsid w:val="00EA7242"/>
    <w:rsid w:val="00EB0806"/>
    <w:rsid w:val="00EB12D0"/>
    <w:rsid w:val="00EB206E"/>
    <w:rsid w:val="00EB32A8"/>
    <w:rsid w:val="00EB5376"/>
    <w:rsid w:val="00EC02D0"/>
    <w:rsid w:val="00EC475B"/>
    <w:rsid w:val="00EC5D32"/>
    <w:rsid w:val="00EC6D04"/>
    <w:rsid w:val="00EC6FFD"/>
    <w:rsid w:val="00ED0936"/>
    <w:rsid w:val="00ED1EE5"/>
    <w:rsid w:val="00ED254A"/>
    <w:rsid w:val="00ED2954"/>
    <w:rsid w:val="00ED2F00"/>
    <w:rsid w:val="00ED35E2"/>
    <w:rsid w:val="00ED50D2"/>
    <w:rsid w:val="00ED5806"/>
    <w:rsid w:val="00ED5E3E"/>
    <w:rsid w:val="00ED5EE0"/>
    <w:rsid w:val="00ED69C0"/>
    <w:rsid w:val="00ED71A4"/>
    <w:rsid w:val="00ED7C4E"/>
    <w:rsid w:val="00EE2A47"/>
    <w:rsid w:val="00EE385D"/>
    <w:rsid w:val="00EE46A3"/>
    <w:rsid w:val="00EE53D2"/>
    <w:rsid w:val="00EE6668"/>
    <w:rsid w:val="00EE6CDF"/>
    <w:rsid w:val="00EF1747"/>
    <w:rsid w:val="00EF1748"/>
    <w:rsid w:val="00EF26D1"/>
    <w:rsid w:val="00EF56B0"/>
    <w:rsid w:val="00EF5ADA"/>
    <w:rsid w:val="00EF5DA8"/>
    <w:rsid w:val="00EF5E7B"/>
    <w:rsid w:val="00EF60A9"/>
    <w:rsid w:val="00EF65F0"/>
    <w:rsid w:val="00F0066A"/>
    <w:rsid w:val="00F05B2F"/>
    <w:rsid w:val="00F05D62"/>
    <w:rsid w:val="00F10D51"/>
    <w:rsid w:val="00F117E7"/>
    <w:rsid w:val="00F11D09"/>
    <w:rsid w:val="00F12EDE"/>
    <w:rsid w:val="00F13860"/>
    <w:rsid w:val="00F14847"/>
    <w:rsid w:val="00F16608"/>
    <w:rsid w:val="00F2115C"/>
    <w:rsid w:val="00F23E3E"/>
    <w:rsid w:val="00F24A8B"/>
    <w:rsid w:val="00F24AB8"/>
    <w:rsid w:val="00F26B19"/>
    <w:rsid w:val="00F33C81"/>
    <w:rsid w:val="00F33D53"/>
    <w:rsid w:val="00F353EB"/>
    <w:rsid w:val="00F36866"/>
    <w:rsid w:val="00F41BB1"/>
    <w:rsid w:val="00F4275F"/>
    <w:rsid w:val="00F43853"/>
    <w:rsid w:val="00F45F01"/>
    <w:rsid w:val="00F51268"/>
    <w:rsid w:val="00F52571"/>
    <w:rsid w:val="00F52DD5"/>
    <w:rsid w:val="00F54BAD"/>
    <w:rsid w:val="00F56D34"/>
    <w:rsid w:val="00F608A4"/>
    <w:rsid w:val="00F65BA9"/>
    <w:rsid w:val="00F65D64"/>
    <w:rsid w:val="00F66165"/>
    <w:rsid w:val="00F70348"/>
    <w:rsid w:val="00F70464"/>
    <w:rsid w:val="00F7171E"/>
    <w:rsid w:val="00F71A4E"/>
    <w:rsid w:val="00F72203"/>
    <w:rsid w:val="00F7227B"/>
    <w:rsid w:val="00F724C6"/>
    <w:rsid w:val="00F7351F"/>
    <w:rsid w:val="00F7371E"/>
    <w:rsid w:val="00F73740"/>
    <w:rsid w:val="00F738B4"/>
    <w:rsid w:val="00F73C2D"/>
    <w:rsid w:val="00F750A8"/>
    <w:rsid w:val="00F7544A"/>
    <w:rsid w:val="00F76412"/>
    <w:rsid w:val="00F769FE"/>
    <w:rsid w:val="00F77087"/>
    <w:rsid w:val="00F77BE0"/>
    <w:rsid w:val="00F80FC0"/>
    <w:rsid w:val="00F81558"/>
    <w:rsid w:val="00F84767"/>
    <w:rsid w:val="00F912BB"/>
    <w:rsid w:val="00F91B93"/>
    <w:rsid w:val="00F92586"/>
    <w:rsid w:val="00F92711"/>
    <w:rsid w:val="00F92A33"/>
    <w:rsid w:val="00F93050"/>
    <w:rsid w:val="00F94B87"/>
    <w:rsid w:val="00F94E72"/>
    <w:rsid w:val="00F96565"/>
    <w:rsid w:val="00F968D9"/>
    <w:rsid w:val="00FA1523"/>
    <w:rsid w:val="00FA307B"/>
    <w:rsid w:val="00FA3284"/>
    <w:rsid w:val="00FA46EA"/>
    <w:rsid w:val="00FA60D9"/>
    <w:rsid w:val="00FA700D"/>
    <w:rsid w:val="00FB3820"/>
    <w:rsid w:val="00FB49DD"/>
    <w:rsid w:val="00FB50C5"/>
    <w:rsid w:val="00FB639A"/>
    <w:rsid w:val="00FB76E4"/>
    <w:rsid w:val="00FB7B81"/>
    <w:rsid w:val="00FC12E0"/>
    <w:rsid w:val="00FC348A"/>
    <w:rsid w:val="00FC36B3"/>
    <w:rsid w:val="00FC3D4A"/>
    <w:rsid w:val="00FC3F54"/>
    <w:rsid w:val="00FC451E"/>
    <w:rsid w:val="00FC5369"/>
    <w:rsid w:val="00FC71F3"/>
    <w:rsid w:val="00FD0260"/>
    <w:rsid w:val="00FD0DB5"/>
    <w:rsid w:val="00FD12ED"/>
    <w:rsid w:val="00FD24D7"/>
    <w:rsid w:val="00FD3078"/>
    <w:rsid w:val="00FD5895"/>
    <w:rsid w:val="00FD5C3B"/>
    <w:rsid w:val="00FD60B2"/>
    <w:rsid w:val="00FD6147"/>
    <w:rsid w:val="00FD6B49"/>
    <w:rsid w:val="00FE0804"/>
    <w:rsid w:val="00FE1D94"/>
    <w:rsid w:val="00FE30C4"/>
    <w:rsid w:val="00FE34EE"/>
    <w:rsid w:val="00FE3653"/>
    <w:rsid w:val="00FE71CD"/>
    <w:rsid w:val="00FF1432"/>
    <w:rsid w:val="00FF1858"/>
    <w:rsid w:val="00FF1E3F"/>
    <w:rsid w:val="00FF3A97"/>
    <w:rsid w:val="00FF41A0"/>
    <w:rsid w:val="00FF6327"/>
    <w:rsid w:val="00FF7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FC247"/>
  <w15:docId w15:val="{EAB438DD-418E-4521-A683-251BFAC2E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56F"/>
    <w:rPr>
      <w:rFonts w:asciiTheme="minorHAnsi" w:hAnsiTheme="minorHAnsi" w:cstheme="minorHAnsi"/>
    </w:rPr>
  </w:style>
  <w:style w:type="paragraph" w:styleId="Heading1">
    <w:name w:val="heading 1"/>
    <w:basedOn w:val="Normal"/>
    <w:next w:val="Normal"/>
    <w:link w:val="Heading1Char"/>
    <w:uiPriority w:val="9"/>
    <w:qFormat/>
    <w:rsid w:val="00C355C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60901"/>
    <w:pPr>
      <w:keepNext/>
      <w:keepLines/>
      <w:spacing w:before="40"/>
      <w:outlineLvl w:val="1"/>
    </w:pPr>
    <w:rPr>
      <w:rFonts w:asciiTheme="majorHAnsi"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55C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C355C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355C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76ED3"/>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55CD"/>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355C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60901"/>
    <w:rPr>
      <w:rFonts w:asciiTheme="majorHAnsi"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355CD"/>
    <w:rPr>
      <w:rFonts w:asciiTheme="majorHAnsi" w:eastAsiaTheme="majorEastAsia" w:hAnsiTheme="majorHAnsi" w:cstheme="majorBidi"/>
      <w:color w:val="1F4D78" w:themeColor="accent1" w:themeShade="7F"/>
      <w:szCs w:val="24"/>
    </w:rPr>
  </w:style>
  <w:style w:type="character" w:customStyle="1" w:styleId="Heading4Char">
    <w:name w:val="Heading 4 Char"/>
    <w:basedOn w:val="DefaultParagraphFont"/>
    <w:link w:val="Heading4"/>
    <w:uiPriority w:val="9"/>
    <w:rsid w:val="00C355C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355CD"/>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C355CD"/>
  </w:style>
  <w:style w:type="paragraph" w:styleId="FootnoteText">
    <w:name w:val="footnote text"/>
    <w:basedOn w:val="Normal"/>
    <w:link w:val="FootnoteTextChar"/>
    <w:uiPriority w:val="99"/>
    <w:unhideWhenUsed/>
    <w:rsid w:val="00C355CD"/>
    <w:rPr>
      <w:sz w:val="20"/>
    </w:rPr>
  </w:style>
  <w:style w:type="character" w:customStyle="1" w:styleId="FootnoteTextChar">
    <w:name w:val="Footnote Text Char"/>
    <w:basedOn w:val="DefaultParagraphFont"/>
    <w:link w:val="FootnoteText"/>
    <w:uiPriority w:val="99"/>
    <w:rsid w:val="00C355CD"/>
    <w:rPr>
      <w:sz w:val="20"/>
    </w:rPr>
  </w:style>
  <w:style w:type="character" w:styleId="FootnoteReference">
    <w:name w:val="footnote reference"/>
    <w:basedOn w:val="DefaultParagraphFont"/>
    <w:uiPriority w:val="99"/>
    <w:unhideWhenUsed/>
    <w:qFormat/>
    <w:rsid w:val="00C355CD"/>
    <w:rPr>
      <w:vertAlign w:val="superscript"/>
    </w:rPr>
  </w:style>
  <w:style w:type="paragraph" w:styleId="EndnoteText">
    <w:name w:val="endnote text"/>
    <w:basedOn w:val="Normal"/>
    <w:link w:val="EndnoteTextChar"/>
    <w:uiPriority w:val="99"/>
    <w:semiHidden/>
    <w:unhideWhenUsed/>
    <w:rsid w:val="00C355CD"/>
    <w:rPr>
      <w:sz w:val="20"/>
    </w:rPr>
  </w:style>
  <w:style w:type="character" w:customStyle="1" w:styleId="EndnoteTextChar">
    <w:name w:val="Endnote Text Char"/>
    <w:basedOn w:val="DefaultParagraphFont"/>
    <w:link w:val="EndnoteText"/>
    <w:uiPriority w:val="99"/>
    <w:semiHidden/>
    <w:rsid w:val="00C355CD"/>
    <w:rPr>
      <w:sz w:val="20"/>
    </w:rPr>
  </w:style>
  <w:style w:type="character" w:styleId="EndnoteReference">
    <w:name w:val="endnote reference"/>
    <w:basedOn w:val="DefaultParagraphFont"/>
    <w:uiPriority w:val="99"/>
    <w:semiHidden/>
    <w:unhideWhenUsed/>
    <w:rsid w:val="00C355CD"/>
    <w:rPr>
      <w:vertAlign w:val="superscript"/>
    </w:rPr>
  </w:style>
  <w:style w:type="character" w:styleId="Emphasis">
    <w:name w:val="Emphasis"/>
    <w:basedOn w:val="DefaultParagraphFont"/>
    <w:uiPriority w:val="20"/>
    <w:qFormat/>
    <w:rsid w:val="00C355CD"/>
    <w:rPr>
      <w:i/>
      <w:iCs/>
    </w:rPr>
  </w:style>
  <w:style w:type="character" w:customStyle="1" w:styleId="smallcaps">
    <w:name w:val="smallcaps"/>
    <w:basedOn w:val="DefaultParagraphFont"/>
    <w:rsid w:val="00C355CD"/>
  </w:style>
  <w:style w:type="paragraph" w:styleId="ListParagraph">
    <w:name w:val="List Paragraph"/>
    <w:aliases w:val="bullets - top,Lettre d'introduction,List Paragraph1,List Paragraph - bullets,Bullet List 1,Unordered List Level 1,Indented Paragraph,Recommendation,List Paragraph11,Bullet list,Heading 4 test,Dot pt,F5 List Paragraph,b1,B1"/>
    <w:basedOn w:val="Normal"/>
    <w:link w:val="ListParagraphChar"/>
    <w:uiPriority w:val="34"/>
    <w:qFormat/>
    <w:rsid w:val="00C355CD"/>
    <w:pPr>
      <w:ind w:left="720"/>
      <w:contextualSpacing/>
    </w:pPr>
  </w:style>
  <w:style w:type="character" w:styleId="Hyperlink">
    <w:name w:val="Hyperlink"/>
    <w:basedOn w:val="DefaultParagraphFont"/>
    <w:uiPriority w:val="99"/>
    <w:unhideWhenUsed/>
    <w:rsid w:val="00C355CD"/>
    <w:rPr>
      <w:color w:val="0000FF"/>
      <w:u w:val="single"/>
    </w:rPr>
  </w:style>
  <w:style w:type="paragraph" w:styleId="NormalWeb">
    <w:name w:val="Normal (Web)"/>
    <w:basedOn w:val="Normal"/>
    <w:uiPriority w:val="99"/>
    <w:unhideWhenUsed/>
    <w:rsid w:val="00C355CD"/>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C355CD"/>
    <w:rPr>
      <w:color w:val="954F72" w:themeColor="followedHyperlink"/>
      <w:u w:val="single"/>
    </w:rPr>
  </w:style>
  <w:style w:type="character" w:customStyle="1" w:styleId="normaltextrun">
    <w:name w:val="normaltextrun"/>
    <w:basedOn w:val="DefaultParagraphFont"/>
    <w:rsid w:val="00C355CD"/>
  </w:style>
  <w:style w:type="character" w:customStyle="1" w:styleId="eop">
    <w:name w:val="eop"/>
    <w:basedOn w:val="DefaultParagraphFont"/>
    <w:rsid w:val="00C355CD"/>
  </w:style>
  <w:style w:type="paragraph" w:customStyle="1" w:styleId="paragraph">
    <w:name w:val="paragraph"/>
    <w:basedOn w:val="Normal"/>
    <w:rsid w:val="00C355CD"/>
    <w:pPr>
      <w:spacing w:before="100" w:beforeAutospacing="1" w:after="100" w:afterAutospacing="1"/>
    </w:pPr>
    <w:rPr>
      <w:rFonts w:ascii="Times New Roman" w:hAnsi="Times New Roman"/>
    </w:rPr>
  </w:style>
  <w:style w:type="character" w:customStyle="1" w:styleId="scxw194118258">
    <w:name w:val="scxw194118258"/>
    <w:basedOn w:val="DefaultParagraphFont"/>
    <w:rsid w:val="00C355CD"/>
  </w:style>
  <w:style w:type="character" w:customStyle="1" w:styleId="superscript">
    <w:name w:val="superscript"/>
    <w:basedOn w:val="DefaultParagraphFont"/>
    <w:rsid w:val="00C355CD"/>
  </w:style>
  <w:style w:type="character" w:customStyle="1" w:styleId="solexhl">
    <w:name w:val="solexhl"/>
    <w:basedOn w:val="DefaultParagraphFont"/>
    <w:rsid w:val="00C355CD"/>
  </w:style>
  <w:style w:type="character" w:customStyle="1" w:styleId="pdf-viewer-line">
    <w:name w:val="pdf-viewer-line"/>
    <w:basedOn w:val="DefaultParagraphFont"/>
    <w:rsid w:val="00C355CD"/>
  </w:style>
  <w:style w:type="paragraph" w:styleId="TOCHeading">
    <w:name w:val="TOC Heading"/>
    <w:basedOn w:val="Heading1"/>
    <w:next w:val="Normal"/>
    <w:uiPriority w:val="39"/>
    <w:unhideWhenUsed/>
    <w:qFormat/>
    <w:rsid w:val="00C355CD"/>
    <w:pPr>
      <w:spacing w:line="259" w:lineRule="auto"/>
      <w:outlineLvl w:val="9"/>
    </w:pPr>
    <w:rPr>
      <w:lang w:val="en-US"/>
    </w:rPr>
  </w:style>
  <w:style w:type="paragraph" w:styleId="TOC1">
    <w:name w:val="toc 1"/>
    <w:basedOn w:val="Normal"/>
    <w:next w:val="Normal"/>
    <w:autoRedefine/>
    <w:uiPriority w:val="39"/>
    <w:unhideWhenUsed/>
    <w:rsid w:val="00B75821"/>
    <w:pPr>
      <w:tabs>
        <w:tab w:val="left" w:pos="440"/>
        <w:tab w:val="right" w:leader="dot" w:pos="8630"/>
      </w:tabs>
      <w:spacing w:after="100"/>
    </w:pPr>
  </w:style>
  <w:style w:type="paragraph" w:styleId="BalloonText">
    <w:name w:val="Balloon Text"/>
    <w:basedOn w:val="Normal"/>
    <w:link w:val="BalloonTextChar"/>
    <w:uiPriority w:val="99"/>
    <w:semiHidden/>
    <w:unhideWhenUsed/>
    <w:rsid w:val="00C355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5CD"/>
    <w:rPr>
      <w:rFonts w:ascii="Segoe UI" w:hAnsi="Segoe UI" w:cs="Segoe UI"/>
      <w:sz w:val="18"/>
      <w:szCs w:val="18"/>
    </w:rPr>
  </w:style>
  <w:style w:type="paragraph" w:styleId="TOC2">
    <w:name w:val="toc 2"/>
    <w:basedOn w:val="Normal"/>
    <w:next w:val="Normal"/>
    <w:autoRedefine/>
    <w:uiPriority w:val="39"/>
    <w:unhideWhenUsed/>
    <w:rsid w:val="00C355CD"/>
    <w:pPr>
      <w:spacing w:after="100" w:line="259" w:lineRule="auto"/>
      <w:ind w:left="220"/>
    </w:pPr>
    <w:rPr>
      <w:rFonts w:eastAsiaTheme="minorEastAsia"/>
      <w:sz w:val="22"/>
      <w:szCs w:val="22"/>
      <w:lang w:val="en-US"/>
    </w:rPr>
  </w:style>
  <w:style w:type="paragraph" w:styleId="TOC3">
    <w:name w:val="toc 3"/>
    <w:basedOn w:val="Normal"/>
    <w:next w:val="Normal"/>
    <w:autoRedefine/>
    <w:uiPriority w:val="39"/>
    <w:unhideWhenUsed/>
    <w:rsid w:val="00C355CD"/>
    <w:pPr>
      <w:spacing w:after="100" w:line="259" w:lineRule="auto"/>
      <w:ind w:left="440"/>
    </w:pPr>
    <w:rPr>
      <w:rFonts w:eastAsiaTheme="minorEastAsia"/>
      <w:sz w:val="22"/>
      <w:szCs w:val="22"/>
      <w:lang w:val="en-US"/>
    </w:rPr>
  </w:style>
  <w:style w:type="character" w:customStyle="1" w:styleId="TitleChar">
    <w:name w:val="Title Char"/>
    <w:basedOn w:val="DefaultParagraphFont"/>
    <w:link w:val="Title"/>
    <w:uiPriority w:val="10"/>
    <w:rsid w:val="00C355CD"/>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unhideWhenUsed/>
    <w:rsid w:val="00C355CD"/>
    <w:pPr>
      <w:spacing w:after="100"/>
      <w:ind w:left="720"/>
    </w:pPr>
  </w:style>
  <w:style w:type="paragraph" w:styleId="TOC5">
    <w:name w:val="toc 5"/>
    <w:basedOn w:val="Normal"/>
    <w:next w:val="Normal"/>
    <w:autoRedefine/>
    <w:uiPriority w:val="39"/>
    <w:unhideWhenUsed/>
    <w:rsid w:val="00C355CD"/>
    <w:pPr>
      <w:spacing w:after="100"/>
      <w:ind w:left="960"/>
    </w:pPr>
  </w:style>
  <w:style w:type="character" w:customStyle="1" w:styleId="reflex">
    <w:name w:val="reflex"/>
    <w:basedOn w:val="DefaultParagraphFont"/>
    <w:rsid w:val="00C355CD"/>
  </w:style>
  <w:style w:type="paragraph" w:customStyle="1" w:styleId="mainparagraph">
    <w:name w:val="mainparagraph"/>
    <w:basedOn w:val="Normal"/>
    <w:rsid w:val="00C355CD"/>
    <w:pPr>
      <w:spacing w:before="100" w:beforeAutospacing="1" w:after="100" w:afterAutospacing="1"/>
    </w:pPr>
    <w:rPr>
      <w:rFonts w:ascii="Times New Roman" w:hAnsi="Times New Roman"/>
    </w:rPr>
  </w:style>
  <w:style w:type="character" w:customStyle="1" w:styleId="reflex3-block">
    <w:name w:val="reflex3-block"/>
    <w:basedOn w:val="DefaultParagraphFont"/>
    <w:rsid w:val="00A71EF7"/>
  </w:style>
  <w:style w:type="character" w:customStyle="1" w:styleId="Heading6Char">
    <w:name w:val="Heading 6 Char"/>
    <w:basedOn w:val="DefaultParagraphFont"/>
    <w:link w:val="Heading6"/>
    <w:uiPriority w:val="9"/>
    <w:rsid w:val="00976ED3"/>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BA174E"/>
    <w:pPr>
      <w:tabs>
        <w:tab w:val="center" w:pos="4680"/>
        <w:tab w:val="right" w:pos="9360"/>
      </w:tabs>
    </w:pPr>
  </w:style>
  <w:style w:type="character" w:customStyle="1" w:styleId="HeaderChar">
    <w:name w:val="Header Char"/>
    <w:basedOn w:val="DefaultParagraphFont"/>
    <w:link w:val="Header"/>
    <w:uiPriority w:val="99"/>
    <w:rsid w:val="00BA174E"/>
  </w:style>
  <w:style w:type="paragraph" w:styleId="Footer">
    <w:name w:val="footer"/>
    <w:basedOn w:val="Normal"/>
    <w:link w:val="FooterChar"/>
    <w:uiPriority w:val="99"/>
    <w:unhideWhenUsed/>
    <w:rsid w:val="00BA174E"/>
    <w:pPr>
      <w:tabs>
        <w:tab w:val="center" w:pos="4680"/>
        <w:tab w:val="right" w:pos="9360"/>
      </w:tabs>
    </w:pPr>
  </w:style>
  <w:style w:type="character" w:customStyle="1" w:styleId="FooterChar">
    <w:name w:val="Footer Char"/>
    <w:basedOn w:val="DefaultParagraphFont"/>
    <w:link w:val="Footer"/>
    <w:uiPriority w:val="99"/>
    <w:rsid w:val="00BA174E"/>
  </w:style>
  <w:style w:type="character" w:styleId="CommentReference">
    <w:name w:val="annotation reference"/>
    <w:basedOn w:val="DefaultParagraphFont"/>
    <w:uiPriority w:val="99"/>
    <w:semiHidden/>
    <w:unhideWhenUsed/>
    <w:rsid w:val="00C552FF"/>
    <w:rPr>
      <w:sz w:val="16"/>
      <w:szCs w:val="16"/>
    </w:rPr>
  </w:style>
  <w:style w:type="paragraph" w:styleId="CommentText">
    <w:name w:val="annotation text"/>
    <w:basedOn w:val="Normal"/>
    <w:link w:val="CommentTextChar"/>
    <w:uiPriority w:val="99"/>
    <w:unhideWhenUsed/>
    <w:rsid w:val="00C552FF"/>
    <w:rPr>
      <w:sz w:val="20"/>
    </w:rPr>
  </w:style>
  <w:style w:type="character" w:customStyle="1" w:styleId="CommentTextChar">
    <w:name w:val="Comment Text Char"/>
    <w:basedOn w:val="DefaultParagraphFont"/>
    <w:link w:val="CommentText"/>
    <w:uiPriority w:val="99"/>
    <w:rsid w:val="00C552FF"/>
    <w:rPr>
      <w:sz w:val="20"/>
    </w:rPr>
  </w:style>
  <w:style w:type="paragraph" w:styleId="CommentSubject">
    <w:name w:val="annotation subject"/>
    <w:basedOn w:val="CommentText"/>
    <w:next w:val="CommentText"/>
    <w:link w:val="CommentSubjectChar"/>
    <w:uiPriority w:val="99"/>
    <w:semiHidden/>
    <w:unhideWhenUsed/>
    <w:rsid w:val="00C552FF"/>
    <w:rPr>
      <w:b/>
      <w:bCs/>
    </w:rPr>
  </w:style>
  <w:style w:type="character" w:customStyle="1" w:styleId="CommentSubjectChar">
    <w:name w:val="Comment Subject Char"/>
    <w:basedOn w:val="CommentTextChar"/>
    <w:link w:val="CommentSubject"/>
    <w:uiPriority w:val="99"/>
    <w:semiHidden/>
    <w:rsid w:val="00C552FF"/>
    <w:rPr>
      <w:b/>
      <w:bCs/>
      <w:sz w:val="20"/>
    </w:rPr>
  </w:style>
  <w:style w:type="table" w:styleId="TableGrid">
    <w:name w:val="Table Grid"/>
    <w:basedOn w:val="TableNormal"/>
    <w:uiPriority w:val="39"/>
    <w:rsid w:val="00207DEC"/>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15E3"/>
  </w:style>
  <w:style w:type="paragraph" w:customStyle="1" w:styleId="pf0">
    <w:name w:val="pf0"/>
    <w:basedOn w:val="Normal"/>
    <w:rsid w:val="003C15E3"/>
    <w:pPr>
      <w:spacing w:before="100" w:beforeAutospacing="1" w:after="100" w:afterAutospacing="1"/>
    </w:pPr>
    <w:rPr>
      <w:rFonts w:ascii="Times New Roman" w:hAnsi="Times New Roman"/>
      <w:lang w:val="en-US"/>
    </w:rPr>
  </w:style>
  <w:style w:type="character" w:customStyle="1" w:styleId="cf01">
    <w:name w:val="cf01"/>
    <w:basedOn w:val="DefaultParagraphFont"/>
    <w:rsid w:val="003C15E3"/>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FD20BF"/>
    <w:rPr>
      <w:color w:val="605E5C"/>
      <w:shd w:val="clear" w:color="auto" w:fill="E1DFDD"/>
    </w:rPr>
  </w:style>
  <w:style w:type="paragraph" w:styleId="HTMLAddress">
    <w:name w:val="HTML Address"/>
    <w:basedOn w:val="Normal"/>
    <w:link w:val="HTMLAddressChar"/>
    <w:uiPriority w:val="99"/>
    <w:semiHidden/>
    <w:unhideWhenUsed/>
    <w:rsid w:val="000565FE"/>
    <w:rPr>
      <w:rFonts w:ascii="Times New Roman" w:hAnsi="Times New Roman"/>
      <w:i/>
      <w:iCs/>
      <w:lang w:val="en-US"/>
    </w:rPr>
  </w:style>
  <w:style w:type="character" w:customStyle="1" w:styleId="HTMLAddressChar">
    <w:name w:val="HTML Address Char"/>
    <w:basedOn w:val="DefaultParagraphFont"/>
    <w:link w:val="HTMLAddress"/>
    <w:uiPriority w:val="99"/>
    <w:semiHidden/>
    <w:rsid w:val="000565FE"/>
    <w:rPr>
      <w:rFonts w:ascii="Times New Roman" w:hAnsi="Times New Roman"/>
      <w:i/>
      <w:iCs/>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TableGrid1">
    <w:name w:val="Table Grid1"/>
    <w:basedOn w:val="TableNormal"/>
    <w:next w:val="TableGrid"/>
    <w:uiPriority w:val="39"/>
    <w:rsid w:val="00932E25"/>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E17198"/>
  </w:style>
  <w:style w:type="paragraph" w:customStyle="1" w:styleId="Default">
    <w:name w:val="Default"/>
    <w:rsid w:val="00D93E4D"/>
    <w:pPr>
      <w:autoSpaceDE w:val="0"/>
      <w:autoSpaceDN w:val="0"/>
      <w:adjustRightInd w:val="0"/>
    </w:pPr>
    <w:rPr>
      <w:rFonts w:ascii="TimesNewRomanPS" w:hAnsi="TimesNewRomanPS" w:cs="TimesNewRomanPS"/>
      <w:color w:val="000000"/>
    </w:rPr>
  </w:style>
  <w:style w:type="character" w:customStyle="1" w:styleId="A00">
    <w:name w:val="A0"/>
    <w:uiPriority w:val="99"/>
    <w:rsid w:val="00D93E4D"/>
    <w:rPr>
      <w:rFonts w:cs="TimesNewRomanPS"/>
      <w:color w:val="000000"/>
      <w:sz w:val="22"/>
      <w:szCs w:val="22"/>
    </w:rPr>
  </w:style>
  <w:style w:type="character" w:customStyle="1" w:styleId="A5">
    <w:name w:val="A5"/>
    <w:uiPriority w:val="99"/>
    <w:rsid w:val="00D93E4D"/>
    <w:rPr>
      <w:rFonts w:cs="TimesNewRomanPS"/>
      <w:color w:val="000000"/>
      <w:sz w:val="14"/>
      <w:szCs w:val="14"/>
    </w:rPr>
  </w:style>
  <w:style w:type="paragraph" w:customStyle="1" w:styleId="xmsonormal">
    <w:name w:val="x_msonormal"/>
    <w:basedOn w:val="Normal"/>
    <w:uiPriority w:val="99"/>
    <w:rsid w:val="00640B3E"/>
    <w:rPr>
      <w:rFonts w:ascii="Times New Roman" w:eastAsiaTheme="minorHAnsi" w:hAnsi="Times New Roman" w:cs="Times New Roman"/>
      <w:lang w:eastAsia="en-CA"/>
    </w:rPr>
  </w:style>
  <w:style w:type="paragraph" w:customStyle="1" w:styleId="justified-para">
    <w:name w:val="justified-para"/>
    <w:basedOn w:val="Normal"/>
    <w:rsid w:val="0008129A"/>
    <w:pPr>
      <w:spacing w:before="100" w:beforeAutospacing="1" w:after="100" w:afterAutospacing="1"/>
    </w:pPr>
    <w:rPr>
      <w:rFonts w:ascii="Times New Roman" w:eastAsia="Times New Roman" w:hAnsi="Times New Roman" w:cs="Times New Roman"/>
      <w:lang w:eastAsia="en-CA"/>
    </w:rPr>
  </w:style>
  <w:style w:type="character" w:styleId="UnresolvedMention">
    <w:name w:val="Unresolved Mention"/>
    <w:basedOn w:val="DefaultParagraphFont"/>
    <w:uiPriority w:val="99"/>
    <w:semiHidden/>
    <w:unhideWhenUsed/>
    <w:rsid w:val="006270A7"/>
    <w:rPr>
      <w:color w:val="605E5C"/>
      <w:shd w:val="clear" w:color="auto" w:fill="E1DFDD"/>
    </w:rPr>
  </w:style>
  <w:style w:type="character" w:styleId="HTMLCode">
    <w:name w:val="HTML Code"/>
    <w:basedOn w:val="DefaultParagraphFont"/>
    <w:uiPriority w:val="99"/>
    <w:semiHidden/>
    <w:unhideWhenUsed/>
    <w:rsid w:val="007F4090"/>
    <w:rPr>
      <w:rFonts w:ascii="Courier New" w:eastAsia="Times New Roman" w:hAnsi="Courier New" w:cs="Courier New"/>
      <w:sz w:val="20"/>
      <w:szCs w:val="20"/>
    </w:rPr>
  </w:style>
  <w:style w:type="numbering" w:customStyle="1" w:styleId="CurrentList1">
    <w:name w:val="Current List1"/>
    <w:uiPriority w:val="99"/>
    <w:rsid w:val="00213357"/>
    <w:pPr>
      <w:numPr>
        <w:numId w:val="54"/>
      </w:numPr>
    </w:pPr>
  </w:style>
  <w:style w:type="numbering" w:customStyle="1" w:styleId="CurrentList2">
    <w:name w:val="Current List2"/>
    <w:uiPriority w:val="99"/>
    <w:rsid w:val="002411B1"/>
    <w:pPr>
      <w:numPr>
        <w:numId w:val="58"/>
      </w:numPr>
    </w:pPr>
  </w:style>
  <w:style w:type="paragraph" w:styleId="Quote">
    <w:name w:val="Quote"/>
    <w:basedOn w:val="Normal"/>
    <w:next w:val="Normal"/>
    <w:link w:val="QuoteChar"/>
    <w:uiPriority w:val="29"/>
    <w:qFormat/>
    <w:rsid w:val="001370E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70E6"/>
    <w:rPr>
      <w:rFonts w:asciiTheme="minorHAnsi" w:hAnsiTheme="minorHAnsi" w:cstheme="minorHAnsi"/>
      <w:i/>
      <w:iCs/>
      <w:color w:val="404040" w:themeColor="text1" w:themeTint="BF"/>
    </w:rPr>
  </w:style>
  <w:style w:type="numbering" w:customStyle="1" w:styleId="CurrentList3">
    <w:name w:val="Current List3"/>
    <w:uiPriority w:val="99"/>
    <w:rsid w:val="00CC1E55"/>
    <w:pPr>
      <w:numPr>
        <w:numId w:val="60"/>
      </w:numPr>
    </w:pPr>
  </w:style>
  <w:style w:type="numbering" w:customStyle="1" w:styleId="CurrentList4">
    <w:name w:val="Current List4"/>
    <w:uiPriority w:val="99"/>
    <w:rsid w:val="007915C1"/>
    <w:pPr>
      <w:numPr>
        <w:numId w:val="63"/>
      </w:numPr>
    </w:pPr>
  </w:style>
  <w:style w:type="numbering" w:customStyle="1" w:styleId="CurrentList5">
    <w:name w:val="Current List5"/>
    <w:uiPriority w:val="99"/>
    <w:rsid w:val="005C7A9A"/>
    <w:pPr>
      <w:numPr>
        <w:numId w:val="74"/>
      </w:numPr>
    </w:pPr>
  </w:style>
  <w:style w:type="character" w:customStyle="1" w:styleId="ssit">
    <w:name w:val="ss_it"/>
    <w:basedOn w:val="DefaultParagraphFont"/>
    <w:rsid w:val="005B53AD"/>
  </w:style>
  <w:style w:type="character" w:customStyle="1" w:styleId="i">
    <w:name w:val="i"/>
    <w:basedOn w:val="DefaultParagraphFont"/>
    <w:rsid w:val="001E0D8B"/>
  </w:style>
  <w:style w:type="character" w:customStyle="1" w:styleId="url">
    <w:name w:val="url"/>
    <w:basedOn w:val="DefaultParagraphFont"/>
    <w:rsid w:val="001E0D8B"/>
  </w:style>
  <w:style w:type="table" w:customStyle="1" w:styleId="TableGrid11">
    <w:name w:val="Table Grid11"/>
    <w:basedOn w:val="TableNormal"/>
    <w:next w:val="TableGrid"/>
    <w:uiPriority w:val="39"/>
    <w:rsid w:val="00214AFA"/>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B091D"/>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6084A"/>
    <w:rPr>
      <w:rFonts w:ascii="Calibri" w:eastAsia="Calibri" w:hAnsi="Calibri" w:cs="Calibri"/>
      <w:sz w:val="22"/>
      <w:szCs w:val="22"/>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s - top Char,Lettre d'introduction Char,List Paragraph1 Char,List Paragraph - bullets Char,Bullet List 1 Char,Unordered List Level 1 Char,Indented Paragraph Char,Recommendation Char,List Paragraph11 Char,Bullet list Char"/>
    <w:basedOn w:val="DefaultParagraphFont"/>
    <w:link w:val="ListParagraph"/>
    <w:uiPriority w:val="34"/>
    <w:qFormat/>
    <w:rsid w:val="001C3C23"/>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301488">
      <w:bodyDiv w:val="1"/>
      <w:marLeft w:val="0"/>
      <w:marRight w:val="0"/>
      <w:marTop w:val="0"/>
      <w:marBottom w:val="0"/>
      <w:divBdr>
        <w:top w:val="none" w:sz="0" w:space="0" w:color="auto"/>
        <w:left w:val="none" w:sz="0" w:space="0" w:color="auto"/>
        <w:bottom w:val="none" w:sz="0" w:space="0" w:color="auto"/>
        <w:right w:val="none" w:sz="0" w:space="0" w:color="auto"/>
      </w:divBdr>
    </w:div>
    <w:div w:id="450905261">
      <w:bodyDiv w:val="1"/>
      <w:marLeft w:val="0"/>
      <w:marRight w:val="0"/>
      <w:marTop w:val="0"/>
      <w:marBottom w:val="0"/>
      <w:divBdr>
        <w:top w:val="none" w:sz="0" w:space="0" w:color="auto"/>
        <w:left w:val="none" w:sz="0" w:space="0" w:color="auto"/>
        <w:bottom w:val="none" w:sz="0" w:space="0" w:color="auto"/>
        <w:right w:val="none" w:sz="0" w:space="0" w:color="auto"/>
      </w:divBdr>
    </w:div>
    <w:div w:id="657804296">
      <w:bodyDiv w:val="1"/>
      <w:marLeft w:val="0"/>
      <w:marRight w:val="0"/>
      <w:marTop w:val="0"/>
      <w:marBottom w:val="0"/>
      <w:divBdr>
        <w:top w:val="none" w:sz="0" w:space="0" w:color="auto"/>
        <w:left w:val="none" w:sz="0" w:space="0" w:color="auto"/>
        <w:bottom w:val="none" w:sz="0" w:space="0" w:color="auto"/>
        <w:right w:val="none" w:sz="0" w:space="0" w:color="auto"/>
      </w:divBdr>
      <w:divsChild>
        <w:div w:id="1885749443">
          <w:marLeft w:val="446"/>
          <w:marRight w:val="0"/>
          <w:marTop w:val="72"/>
          <w:marBottom w:val="120"/>
          <w:divBdr>
            <w:top w:val="none" w:sz="0" w:space="0" w:color="auto"/>
            <w:left w:val="none" w:sz="0" w:space="0" w:color="auto"/>
            <w:bottom w:val="none" w:sz="0" w:space="0" w:color="auto"/>
            <w:right w:val="none" w:sz="0" w:space="0" w:color="auto"/>
          </w:divBdr>
        </w:div>
      </w:divsChild>
    </w:div>
    <w:div w:id="764300021">
      <w:bodyDiv w:val="1"/>
      <w:marLeft w:val="0"/>
      <w:marRight w:val="0"/>
      <w:marTop w:val="0"/>
      <w:marBottom w:val="0"/>
      <w:divBdr>
        <w:top w:val="none" w:sz="0" w:space="0" w:color="auto"/>
        <w:left w:val="none" w:sz="0" w:space="0" w:color="auto"/>
        <w:bottom w:val="none" w:sz="0" w:space="0" w:color="auto"/>
        <w:right w:val="none" w:sz="0" w:space="0" w:color="auto"/>
      </w:divBdr>
    </w:div>
    <w:div w:id="810246662">
      <w:bodyDiv w:val="1"/>
      <w:marLeft w:val="0"/>
      <w:marRight w:val="0"/>
      <w:marTop w:val="0"/>
      <w:marBottom w:val="0"/>
      <w:divBdr>
        <w:top w:val="none" w:sz="0" w:space="0" w:color="auto"/>
        <w:left w:val="none" w:sz="0" w:space="0" w:color="auto"/>
        <w:bottom w:val="none" w:sz="0" w:space="0" w:color="auto"/>
        <w:right w:val="none" w:sz="0" w:space="0" w:color="auto"/>
      </w:divBdr>
    </w:div>
    <w:div w:id="1064062370">
      <w:bodyDiv w:val="1"/>
      <w:marLeft w:val="0"/>
      <w:marRight w:val="0"/>
      <w:marTop w:val="0"/>
      <w:marBottom w:val="0"/>
      <w:divBdr>
        <w:top w:val="none" w:sz="0" w:space="0" w:color="auto"/>
        <w:left w:val="none" w:sz="0" w:space="0" w:color="auto"/>
        <w:bottom w:val="none" w:sz="0" w:space="0" w:color="auto"/>
        <w:right w:val="none" w:sz="0" w:space="0" w:color="auto"/>
      </w:divBdr>
    </w:div>
    <w:div w:id="1142388846">
      <w:bodyDiv w:val="1"/>
      <w:marLeft w:val="0"/>
      <w:marRight w:val="0"/>
      <w:marTop w:val="0"/>
      <w:marBottom w:val="0"/>
      <w:divBdr>
        <w:top w:val="none" w:sz="0" w:space="0" w:color="auto"/>
        <w:left w:val="none" w:sz="0" w:space="0" w:color="auto"/>
        <w:bottom w:val="none" w:sz="0" w:space="0" w:color="auto"/>
        <w:right w:val="none" w:sz="0" w:space="0" w:color="auto"/>
      </w:divBdr>
      <w:divsChild>
        <w:div w:id="1585265611">
          <w:marLeft w:val="0"/>
          <w:marRight w:val="0"/>
          <w:marTop w:val="0"/>
          <w:marBottom w:val="0"/>
          <w:divBdr>
            <w:top w:val="none" w:sz="0" w:space="0" w:color="auto"/>
            <w:left w:val="none" w:sz="0" w:space="0" w:color="auto"/>
            <w:bottom w:val="none" w:sz="0" w:space="0" w:color="auto"/>
            <w:right w:val="none" w:sz="0" w:space="0" w:color="auto"/>
          </w:divBdr>
        </w:div>
      </w:divsChild>
    </w:div>
    <w:div w:id="1187793891">
      <w:bodyDiv w:val="1"/>
      <w:marLeft w:val="0"/>
      <w:marRight w:val="0"/>
      <w:marTop w:val="0"/>
      <w:marBottom w:val="0"/>
      <w:divBdr>
        <w:top w:val="none" w:sz="0" w:space="0" w:color="auto"/>
        <w:left w:val="none" w:sz="0" w:space="0" w:color="auto"/>
        <w:bottom w:val="none" w:sz="0" w:space="0" w:color="auto"/>
        <w:right w:val="none" w:sz="0" w:space="0" w:color="auto"/>
      </w:divBdr>
    </w:div>
    <w:div w:id="1261766196">
      <w:bodyDiv w:val="1"/>
      <w:marLeft w:val="0"/>
      <w:marRight w:val="0"/>
      <w:marTop w:val="0"/>
      <w:marBottom w:val="0"/>
      <w:divBdr>
        <w:top w:val="none" w:sz="0" w:space="0" w:color="auto"/>
        <w:left w:val="none" w:sz="0" w:space="0" w:color="auto"/>
        <w:bottom w:val="none" w:sz="0" w:space="0" w:color="auto"/>
        <w:right w:val="none" w:sz="0" w:space="0" w:color="auto"/>
      </w:divBdr>
    </w:div>
    <w:div w:id="1295452590">
      <w:bodyDiv w:val="1"/>
      <w:marLeft w:val="0"/>
      <w:marRight w:val="0"/>
      <w:marTop w:val="0"/>
      <w:marBottom w:val="0"/>
      <w:divBdr>
        <w:top w:val="none" w:sz="0" w:space="0" w:color="auto"/>
        <w:left w:val="none" w:sz="0" w:space="0" w:color="auto"/>
        <w:bottom w:val="none" w:sz="0" w:space="0" w:color="auto"/>
        <w:right w:val="none" w:sz="0" w:space="0" w:color="auto"/>
      </w:divBdr>
    </w:div>
    <w:div w:id="1362245306">
      <w:bodyDiv w:val="1"/>
      <w:marLeft w:val="0"/>
      <w:marRight w:val="0"/>
      <w:marTop w:val="0"/>
      <w:marBottom w:val="0"/>
      <w:divBdr>
        <w:top w:val="none" w:sz="0" w:space="0" w:color="auto"/>
        <w:left w:val="none" w:sz="0" w:space="0" w:color="auto"/>
        <w:bottom w:val="none" w:sz="0" w:space="0" w:color="auto"/>
        <w:right w:val="none" w:sz="0" w:space="0" w:color="auto"/>
      </w:divBdr>
      <w:divsChild>
        <w:div w:id="1862354513">
          <w:marLeft w:val="240"/>
          <w:marRight w:val="0"/>
          <w:marTop w:val="0"/>
          <w:marBottom w:val="0"/>
          <w:divBdr>
            <w:top w:val="none" w:sz="0" w:space="0" w:color="auto"/>
            <w:left w:val="none" w:sz="0" w:space="0" w:color="auto"/>
            <w:bottom w:val="none" w:sz="0" w:space="0" w:color="auto"/>
            <w:right w:val="none" w:sz="0" w:space="0" w:color="auto"/>
          </w:divBdr>
        </w:div>
        <w:div w:id="943614515">
          <w:marLeft w:val="240"/>
          <w:marRight w:val="0"/>
          <w:marTop w:val="0"/>
          <w:marBottom w:val="0"/>
          <w:divBdr>
            <w:top w:val="none" w:sz="0" w:space="0" w:color="auto"/>
            <w:left w:val="none" w:sz="0" w:space="0" w:color="auto"/>
            <w:bottom w:val="none" w:sz="0" w:space="0" w:color="auto"/>
            <w:right w:val="none" w:sz="0" w:space="0" w:color="auto"/>
          </w:divBdr>
        </w:div>
      </w:divsChild>
    </w:div>
    <w:div w:id="1449351293">
      <w:bodyDiv w:val="1"/>
      <w:marLeft w:val="0"/>
      <w:marRight w:val="0"/>
      <w:marTop w:val="0"/>
      <w:marBottom w:val="0"/>
      <w:divBdr>
        <w:top w:val="none" w:sz="0" w:space="0" w:color="auto"/>
        <w:left w:val="none" w:sz="0" w:space="0" w:color="auto"/>
        <w:bottom w:val="none" w:sz="0" w:space="0" w:color="auto"/>
        <w:right w:val="none" w:sz="0" w:space="0" w:color="auto"/>
      </w:divBdr>
    </w:div>
    <w:div w:id="1640452647">
      <w:bodyDiv w:val="1"/>
      <w:marLeft w:val="0"/>
      <w:marRight w:val="0"/>
      <w:marTop w:val="0"/>
      <w:marBottom w:val="0"/>
      <w:divBdr>
        <w:top w:val="none" w:sz="0" w:space="0" w:color="auto"/>
        <w:left w:val="none" w:sz="0" w:space="0" w:color="auto"/>
        <w:bottom w:val="none" w:sz="0" w:space="0" w:color="auto"/>
        <w:right w:val="none" w:sz="0" w:space="0" w:color="auto"/>
      </w:divBdr>
    </w:div>
    <w:div w:id="1791048513">
      <w:bodyDiv w:val="1"/>
      <w:marLeft w:val="0"/>
      <w:marRight w:val="0"/>
      <w:marTop w:val="0"/>
      <w:marBottom w:val="0"/>
      <w:divBdr>
        <w:top w:val="none" w:sz="0" w:space="0" w:color="auto"/>
        <w:left w:val="none" w:sz="0" w:space="0" w:color="auto"/>
        <w:bottom w:val="none" w:sz="0" w:space="0" w:color="auto"/>
        <w:right w:val="none" w:sz="0" w:space="0" w:color="auto"/>
      </w:divBdr>
    </w:div>
    <w:div w:id="1815637604">
      <w:bodyDiv w:val="1"/>
      <w:marLeft w:val="0"/>
      <w:marRight w:val="0"/>
      <w:marTop w:val="0"/>
      <w:marBottom w:val="0"/>
      <w:divBdr>
        <w:top w:val="none" w:sz="0" w:space="0" w:color="auto"/>
        <w:left w:val="none" w:sz="0" w:space="0" w:color="auto"/>
        <w:bottom w:val="none" w:sz="0" w:space="0" w:color="auto"/>
        <w:right w:val="none" w:sz="0" w:space="0" w:color="auto"/>
      </w:divBdr>
      <w:divsChild>
        <w:div w:id="998313683">
          <w:marLeft w:val="240"/>
          <w:marRight w:val="0"/>
          <w:marTop w:val="0"/>
          <w:marBottom w:val="0"/>
          <w:divBdr>
            <w:top w:val="none" w:sz="0" w:space="0" w:color="auto"/>
            <w:left w:val="none" w:sz="0" w:space="0" w:color="auto"/>
            <w:bottom w:val="none" w:sz="0" w:space="0" w:color="auto"/>
            <w:right w:val="none" w:sz="0" w:space="0" w:color="auto"/>
          </w:divBdr>
        </w:div>
        <w:div w:id="1257136348">
          <w:marLeft w:val="240"/>
          <w:marRight w:val="0"/>
          <w:marTop w:val="0"/>
          <w:marBottom w:val="0"/>
          <w:divBdr>
            <w:top w:val="none" w:sz="0" w:space="0" w:color="auto"/>
            <w:left w:val="none" w:sz="0" w:space="0" w:color="auto"/>
            <w:bottom w:val="none" w:sz="0" w:space="0" w:color="auto"/>
            <w:right w:val="none" w:sz="0" w:space="0" w:color="auto"/>
          </w:divBdr>
        </w:div>
      </w:divsChild>
    </w:div>
    <w:div w:id="1818187430">
      <w:bodyDiv w:val="1"/>
      <w:marLeft w:val="0"/>
      <w:marRight w:val="0"/>
      <w:marTop w:val="0"/>
      <w:marBottom w:val="0"/>
      <w:divBdr>
        <w:top w:val="none" w:sz="0" w:space="0" w:color="auto"/>
        <w:left w:val="none" w:sz="0" w:space="0" w:color="auto"/>
        <w:bottom w:val="none" w:sz="0" w:space="0" w:color="auto"/>
        <w:right w:val="none" w:sz="0" w:space="0" w:color="auto"/>
      </w:divBdr>
    </w:div>
    <w:div w:id="1983997170">
      <w:bodyDiv w:val="1"/>
      <w:marLeft w:val="0"/>
      <w:marRight w:val="0"/>
      <w:marTop w:val="0"/>
      <w:marBottom w:val="0"/>
      <w:divBdr>
        <w:top w:val="none" w:sz="0" w:space="0" w:color="auto"/>
        <w:left w:val="none" w:sz="0" w:space="0" w:color="auto"/>
        <w:bottom w:val="none" w:sz="0" w:space="0" w:color="auto"/>
        <w:right w:val="none" w:sz="0" w:space="0" w:color="auto"/>
      </w:divBdr>
    </w:div>
    <w:div w:id="1987587818">
      <w:bodyDiv w:val="1"/>
      <w:marLeft w:val="0"/>
      <w:marRight w:val="0"/>
      <w:marTop w:val="0"/>
      <w:marBottom w:val="0"/>
      <w:divBdr>
        <w:top w:val="none" w:sz="0" w:space="0" w:color="auto"/>
        <w:left w:val="none" w:sz="0" w:space="0" w:color="auto"/>
        <w:bottom w:val="none" w:sz="0" w:space="0" w:color="auto"/>
        <w:right w:val="none" w:sz="0" w:space="0" w:color="auto"/>
      </w:divBdr>
    </w:div>
    <w:div w:id="2060933902">
      <w:bodyDiv w:val="1"/>
      <w:marLeft w:val="0"/>
      <w:marRight w:val="0"/>
      <w:marTop w:val="0"/>
      <w:marBottom w:val="0"/>
      <w:divBdr>
        <w:top w:val="none" w:sz="0" w:space="0" w:color="auto"/>
        <w:left w:val="none" w:sz="0" w:space="0" w:color="auto"/>
        <w:bottom w:val="none" w:sz="0" w:space="0" w:color="auto"/>
        <w:right w:val="none" w:sz="0" w:space="0" w:color="auto"/>
      </w:divBdr>
    </w:div>
    <w:div w:id="2110000695">
      <w:bodyDiv w:val="1"/>
      <w:marLeft w:val="0"/>
      <w:marRight w:val="0"/>
      <w:marTop w:val="0"/>
      <w:marBottom w:val="0"/>
      <w:divBdr>
        <w:top w:val="none" w:sz="0" w:space="0" w:color="auto"/>
        <w:left w:val="none" w:sz="0" w:space="0" w:color="auto"/>
        <w:bottom w:val="none" w:sz="0" w:space="0" w:color="auto"/>
        <w:right w:val="none" w:sz="0" w:space="0" w:color="auto"/>
      </w:divBdr>
      <w:divsChild>
        <w:div w:id="823012695">
          <w:blockQuote w:val="1"/>
          <w:marLeft w:val="0"/>
          <w:marRight w:val="0"/>
          <w:marTop w:val="0"/>
          <w:marBottom w:val="345"/>
          <w:divBdr>
            <w:top w:val="none" w:sz="0" w:space="0" w:color="auto"/>
            <w:left w:val="single" w:sz="36" w:space="17" w:color="EEEEEE"/>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co-cdo.org/en/our-current-projects/ai-adm-and-the-justice-system/ai-and-adm-in-the-civil-administrative-justice-system/" TargetMode="External"/><Relationship Id="rId18" Type="http://schemas.openxmlformats.org/officeDocument/2006/relationships/hyperlink" Target="https://www.lco-cdo.org/CrimAI" TargetMode="External"/><Relationship Id="rId26" Type="http://schemas.openxmlformats.org/officeDocument/2006/relationships/hyperlink" Target="https://www.lco-cdo.org/crimai" TargetMode="External"/><Relationship Id="rId39" Type="http://schemas.openxmlformats.org/officeDocument/2006/relationships/hyperlink" Target="https://www.albertacourts.ca/kb/resources/announcements/notice-to-the-profession-public---use-of-ai-in-citations-submissions" TargetMode="External"/><Relationship Id="rId21" Type="http://schemas.openxmlformats.org/officeDocument/2006/relationships/hyperlink" Target="https://linkedin.com/company/lco-cdo" TargetMode="External"/><Relationship Id="rId34" Type="http://schemas.openxmlformats.org/officeDocument/2006/relationships/hyperlink" Target="https://ca.linkedin.com/in/brenda-mcphail-49222115" TargetMode="External"/><Relationship Id="rId42" Type="http://schemas.openxmlformats.org/officeDocument/2006/relationships/hyperlink" Target="https://www.courts.ns.ca/sites/default/files/notices/Oct%202023/NSPC_Artificial_Intelligence_Oct_27_2023.pdf" TargetMode="External"/><Relationship Id="rId47" Type="http://schemas.openxmlformats.org/officeDocument/2006/relationships/hyperlink" Target="https://www.lawsociety.sk.ca/wp-content/uploads/Law-Society-of-Saskatchewan-Generative-Artificial-Intelligence-Guidelines.pdf" TargetMode="External"/><Relationship Id="rId50" Type="http://schemas.openxmlformats.org/officeDocument/2006/relationships/hyperlink" Target="https://calawyers.org/privacy-law/california-state-bar-releases-guidance-on-use-of-genai-in-practice-of-law/" TargetMode="External"/><Relationship Id="rId55" Type="http://schemas.openxmlformats.org/officeDocument/2006/relationships/hyperlink" Target="https://www.njcourts.gov/sites/default/files/notices/2024/01/n240125a.pdf"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lco-cdo.org/en/our-current-projects/crimai/ai-in-criminal-justice-in-ontario/" TargetMode="External"/><Relationship Id="rId29" Type="http://schemas.openxmlformats.org/officeDocument/2006/relationships/hyperlink" Target="mailto:lawcommission@lco-cdo.org" TargetMode="External"/><Relationship Id="rId11" Type="http://schemas.openxmlformats.org/officeDocument/2006/relationships/hyperlink" Target="https://www.lco-cdo.org/en/our-current-projects/ai-adm-and-the-justice-system/human-rights-ai-impact-assessment/" TargetMode="External"/><Relationship Id="rId24" Type="http://schemas.openxmlformats.org/officeDocument/2006/relationships/hyperlink" Target="https://www.youtube.com/@lawcommissionofontario8724" TargetMode="External"/><Relationship Id="rId32" Type="http://schemas.openxmlformats.org/officeDocument/2006/relationships/hyperlink" Target="https://www.linkedin.com/in/armando-d-andrea-13445022/" TargetMode="External"/><Relationship Id="rId37" Type="http://schemas.openxmlformats.org/officeDocument/2006/relationships/hyperlink" Target="https://ca.linkedin.com/in/jagtaransingh" TargetMode="External"/><Relationship Id="rId40" Type="http://schemas.openxmlformats.org/officeDocument/2006/relationships/hyperlink" Target="https://www.manitobacourts.mb.ca/site/assets/files/2045/practice_direction_-_use_of_artificial_intelligence_in_court_submissions.pdf" TargetMode="External"/><Relationship Id="rId45" Type="http://schemas.openxmlformats.org/officeDocument/2006/relationships/hyperlink" Target="https://www.yukoncourts.ca/sites/default/files/2023-06/GENERAL-29%20Use%20of%20AI.pdf" TargetMode="External"/><Relationship Id="rId53" Type="http://schemas.openxmlformats.org/officeDocument/2006/relationships/hyperlink" Target="https://www.michbar.org/opinions/ethics/numbered_opinions/JI-155" TargetMode="External"/><Relationship Id="rId58" Type="http://schemas.openxmlformats.org/officeDocument/2006/relationships/hyperlink" Target="mailto:rfritsch@lco-cdo.org" TargetMode="Externa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hyperlink" Target="mailto:LawCommission@lco-cdo.org" TargetMode="External"/><Relationship Id="rId14" Type="http://schemas.openxmlformats.org/officeDocument/2006/relationships/hyperlink" Target="https://www.lco-cdo.org/en/our-current-projects/ai-adm-and-the-justice-system/regulating-ai-critical-issues-and-choices/" TargetMode="External"/><Relationship Id="rId22" Type="http://schemas.openxmlformats.org/officeDocument/2006/relationships/hyperlink" Target="https://bsky.app/profile/lco-cdo.bsky.social" TargetMode="External"/><Relationship Id="rId27" Type="http://schemas.openxmlformats.org/officeDocument/2006/relationships/hyperlink" Target="https://www.lco-cdo.org/CrimAI" TargetMode="External"/><Relationship Id="rId30" Type="http://schemas.openxmlformats.org/officeDocument/2006/relationships/hyperlink" Target="http://www.lco-cdo.org/" TargetMode="External"/><Relationship Id="rId35" Type="http://schemas.openxmlformats.org/officeDocument/2006/relationships/hyperlink" Target="http://neubauerlaw.ca/about.html" TargetMode="External"/><Relationship Id="rId43" Type="http://schemas.openxmlformats.org/officeDocument/2006/relationships/hyperlink" Target="https://www.courts.ns.ca/sites/default/files/notices/Oct%202023/NSSC_Court_Submissions_AI_Oct_18_2023.pdf" TargetMode="External"/><Relationship Id="rId48" Type="http://schemas.openxmlformats.org/officeDocument/2006/relationships/hyperlink" Target="https://www.lawsociety.ab.ca/resource-centre/key-resources/professional-conduct/the-generative-ai-playbook/" TargetMode="External"/><Relationship Id="rId56" Type="http://schemas.openxmlformats.org/officeDocument/2006/relationships/hyperlink" Target="https://www.pabar.org/Members/catalogs/Ethics%20Opinions/Formal/Joint%20Formal%20Opinion%202024-200.pdf" TargetMode="External"/><Relationship Id="rId8" Type="http://schemas.openxmlformats.org/officeDocument/2006/relationships/endnotes" Target="endnotes.xml"/><Relationship Id="rId51" Type="http://schemas.openxmlformats.org/officeDocument/2006/relationships/hyperlink" Target="https://www.floridabar.org/etopinions/opinion-24-1/" TargetMode="External"/><Relationship Id="rId3" Type="http://schemas.openxmlformats.org/officeDocument/2006/relationships/numbering" Target="numbering.xml"/><Relationship Id="rId12" Type="http://schemas.openxmlformats.org/officeDocument/2006/relationships/hyperlink" Target="https://www.lco-cdo.org/en/our-current-projects/ai-adm-and-the-justice-system/" TargetMode="External"/><Relationship Id="rId17" Type="http://schemas.openxmlformats.org/officeDocument/2006/relationships/hyperlink" Target="https://www.lco-cdo.org" TargetMode="External"/><Relationship Id="rId25" Type="http://schemas.openxmlformats.org/officeDocument/2006/relationships/image" Target="media/image3.png"/><Relationship Id="rId33" Type="http://schemas.openxmlformats.org/officeDocument/2006/relationships/hyperlink" Target="https://www.linkedin.com/in/ryan-fritsch-43846019/" TargetMode="External"/><Relationship Id="rId38" Type="http://schemas.openxmlformats.org/officeDocument/2006/relationships/hyperlink" Target="https://www.linkedin.com/in/nye-thomas-58460511b/" TargetMode="External"/><Relationship Id="rId46" Type="http://schemas.openxmlformats.org/officeDocument/2006/relationships/hyperlink" Target="https://lawsocietyontario.azureedge.net/media/lso/media/about/convocation/2024/convocation-april-2024-futures-committee-report.pdf" TargetMode="External"/><Relationship Id="rId59" Type="http://schemas.openxmlformats.org/officeDocument/2006/relationships/hyperlink" Target="mailto:LawCommission@lco-cdo.org" TargetMode="External"/><Relationship Id="rId20" Type="http://schemas.openxmlformats.org/officeDocument/2006/relationships/hyperlink" Target="https://www.lco-cdo.org" TargetMode="External"/><Relationship Id="rId41" Type="http://schemas.openxmlformats.org/officeDocument/2006/relationships/hyperlink" Target="https://www.court.nl.ca/supreme/files/2023-10-12-Notice-to-Profession-and-General-Public-AI-Submissions.pdf" TargetMode="External"/><Relationship Id="rId54" Type="http://schemas.openxmlformats.org/officeDocument/2006/relationships/hyperlink" Target="https://mo-legal-ethics.org/informal-opinion/2024-11/"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co-cdo.org/en/our-current-projects/ai-adm-and-the-justice-system/" TargetMode="External"/><Relationship Id="rId23" Type="http://schemas.openxmlformats.org/officeDocument/2006/relationships/hyperlink" Target="https://x.com/LCO_CDO/status/1671873862278021121" TargetMode="External"/><Relationship Id="rId28" Type="http://schemas.openxmlformats.org/officeDocument/2006/relationships/hyperlink" Target="mailto:rfritsch@lco-cdo.org" TargetMode="External"/><Relationship Id="rId36" Type="http://schemas.openxmlformats.org/officeDocument/2006/relationships/hyperlink" Target="https://ca.linkedin.com/in/marcus-pratt-5172305b" TargetMode="External"/><Relationship Id="rId49" Type="http://schemas.openxmlformats.org/officeDocument/2006/relationships/hyperlink" Target="https://www.lawsociety.bc.ca/Website/media/Shared/docs/practice/resources/Professional-responsibility-and-AI.pdf" TargetMode="External"/><Relationship Id="rId57" Type="http://schemas.openxmlformats.org/officeDocument/2006/relationships/hyperlink" Target="mailto:LawCommission@lco-cdo.org" TargetMode="External"/><Relationship Id="rId10" Type="http://schemas.openxmlformats.org/officeDocument/2006/relationships/image" Target="media/image2.png"/><Relationship Id="rId31" Type="http://schemas.openxmlformats.org/officeDocument/2006/relationships/hyperlink" Target="https://linkedin.com/company/lco-cdo" TargetMode="External"/><Relationship Id="rId44" Type="http://schemas.openxmlformats.org/officeDocument/2006/relationships/hyperlink" Target="https://coursuperieureduquebec.ca/fileadmin/cour-superieure/Communiques_and_Directives/Montreal/Avis_a_la_Communite_juridique-Utilisation_intelligence_artificielle_EN.pdf" TargetMode="External"/><Relationship Id="rId52" Type="http://schemas.openxmlformats.org/officeDocument/2006/relationships/hyperlink" Target="https://cdn.ymaws.com/www.kybar.org/resource/resmgr/ethics_opinions_(part_2)_/kbae457artificialintelligenc.pdf" TargetMode="External"/><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endnotes.xml.rels><?xml version="1.0" encoding="UTF-8" standalone="yes"?>
<Relationships xmlns="http://schemas.openxmlformats.org/package/2006/relationships"><Relationship Id="rId26" Type="http://schemas.openxmlformats.org/officeDocument/2006/relationships/hyperlink" Target="https://www.ontario.ca/laws/statute/90e23" TargetMode="External"/><Relationship Id="rId21" Type="http://schemas.openxmlformats.org/officeDocument/2006/relationships/hyperlink" Target="https://laws-lois.justice.gc.ca/eng/acts/C-38.8/" TargetMode="External"/><Relationship Id="rId42" Type="http://schemas.openxmlformats.org/officeDocument/2006/relationships/hyperlink" Target="https://www.judiciary.uk/wp-content/uploads/2023/12/AI-Judicial-Guidance.pdf" TargetMode="External"/><Relationship Id="rId47" Type="http://schemas.openxmlformats.org/officeDocument/2006/relationships/hyperlink" Target="https://www.fjc.gov/sites/default/files/materials/47/An_Introduction_to_Artificial_Intelligence_for_Federal_Judges.pdf" TargetMode="External"/><Relationship Id="rId63" Type="http://schemas.openxmlformats.org/officeDocument/2006/relationships/hyperlink" Target="https://www.ontariocourts.ca/ocj/criminal-court/practice-directions-and-policies/" TargetMode="External"/><Relationship Id="rId68" Type="http://schemas.openxmlformats.org/officeDocument/2006/relationships/hyperlink" Target="https://laws-lois.justice.gc.ca/eng/acts/y-1.5/" TargetMode="External"/><Relationship Id="rId84" Type="http://schemas.openxmlformats.org/officeDocument/2006/relationships/hyperlink" Target="https://www.ojp.gov/ncjrs/virtual-library/abstracts/artificial-intelligence-applications-criminal-courts-overview" TargetMode="External"/><Relationship Id="rId89" Type="http://schemas.openxmlformats.org/officeDocument/2006/relationships/hyperlink" Target="https://ccla.org/our-work/privacy/surveillance-technology/facial-recognition/" TargetMode="External"/><Relationship Id="rId16" Type="http://schemas.openxmlformats.org/officeDocument/2006/relationships/hyperlink" Target="https://aspercentre.ca/wp-content/uploads/2021/11/FRT-and-the-Charter-Brief.pdf" TargetMode="External"/><Relationship Id="rId107" Type="http://schemas.openxmlformats.org/officeDocument/2006/relationships/hyperlink" Target="https://www.lco-cdo.org/en/our-current-projects/ai-adm-and-the-justice-system/regulating-ai-critical-issues-and-choices/" TargetMode="External"/><Relationship Id="rId11" Type="http://schemas.openxmlformats.org/officeDocument/2006/relationships/hyperlink" Target="https://www.ncsc.org/__data/assets/pdf_file/0027/98910/JTC-AI-paper-update-3.5.24.pdf" TargetMode="External"/><Relationship Id="rId32" Type="http://schemas.openxmlformats.org/officeDocument/2006/relationships/hyperlink" Target="https://www.fct-cf.gc.ca/en/pages/law-and-practice/artificial-intelligence" TargetMode="External"/><Relationship Id="rId37" Type="http://schemas.openxmlformats.org/officeDocument/2006/relationships/hyperlink" Target="https://www.fct-cf.gc.ca/en/pages/law-and-practice/artificial-intelligence" TargetMode="External"/><Relationship Id="rId53" Type="http://schemas.openxmlformats.org/officeDocument/2006/relationships/hyperlink" Target="https://www.lco-cdo.org/wp-content/uploads/2020/10/Criminal-AI-Paper-Final-Oct-28-2020.pdf" TargetMode="External"/><Relationship Id="rId58" Type="http://schemas.openxmlformats.org/officeDocument/2006/relationships/hyperlink" Target="https://scholarlycommons.law.northwestern.edu/njtip/vol19/iss1/2/" TargetMode="External"/><Relationship Id="rId74" Type="http://schemas.openxmlformats.org/officeDocument/2006/relationships/hyperlink" Target="https://tpsb.ca/policies-by-laws/board-policies/195-use-of-artificial-intelligence-technology" TargetMode="External"/><Relationship Id="rId79" Type="http://schemas.openxmlformats.org/officeDocument/2006/relationships/hyperlink" Target="https://www.policechiefmagazine.org/navigating-future-ai-chatgpt/" TargetMode="External"/><Relationship Id="rId102" Type="http://schemas.openxmlformats.org/officeDocument/2006/relationships/hyperlink" Target="https://www.cbc.ca/news/canada/toronto/toronto-police-report-clearview-ai-1.6295295" TargetMode="External"/><Relationship Id="rId5" Type="http://schemas.openxmlformats.org/officeDocument/2006/relationships/hyperlink" Target="https://www.lco-cdo.org/wp-content/uploads/2021/06/AI-PG-Case-Study-Final-EN-June-2021-2.pdf" TargetMode="External"/><Relationship Id="rId90" Type="http://schemas.openxmlformats.org/officeDocument/2006/relationships/hyperlink" Target="https://www.lco-cdo.org/wp-content/uploads/2021/06/AI-PG-Case-Study-Final-EN-June-2021-2.pdf" TargetMode="External"/><Relationship Id="rId95" Type="http://schemas.openxmlformats.org/officeDocument/2006/relationships/hyperlink" Target="https://www.archives.gov.on.ca/en/e_records/goudge/report/v1_en.html" TargetMode="External"/><Relationship Id="rId22" Type="http://schemas.openxmlformats.org/officeDocument/2006/relationships/hyperlink" Target="https://laws.justice.gc.ca/eng/acts/C-5/" TargetMode="External"/><Relationship Id="rId27" Type="http://schemas.openxmlformats.org/officeDocument/2006/relationships/hyperlink" Target="https://www.cbapd.org/details_en.aspx?id=on_on24oba54c" TargetMode="External"/><Relationship Id="rId43" Type="http://schemas.openxmlformats.org/officeDocument/2006/relationships/hyperlink" Target="https://news.bloomberglaw.com/us-law-week/ai-standing-orders-proliferate-as-federal-courts-forge-own-paths" TargetMode="External"/><Relationship Id="rId48" Type="http://schemas.openxmlformats.org/officeDocument/2006/relationships/hyperlink" Target="https://www.ontario.ca/document/crown-prosecution-manual/" TargetMode="External"/><Relationship Id="rId64" Type="http://schemas.openxmlformats.org/officeDocument/2006/relationships/hyperlink" Target="https://www.ontariocourts.ca/scj/practice/practice-directions/" TargetMode="External"/><Relationship Id="rId69" Type="http://schemas.openxmlformats.org/officeDocument/2006/relationships/hyperlink" Target="https://www.ontario.ca/laws/statute/20l11" TargetMode="External"/><Relationship Id="rId80" Type="http://schemas.openxmlformats.org/officeDocument/2006/relationships/hyperlink" Target="https://blog.talosintelligence.com/the-rise-of-ai-powered-criminals/" TargetMode="External"/><Relationship Id="rId85" Type="http://schemas.openxmlformats.org/officeDocument/2006/relationships/hyperlink" Target="https://www.lco-cdo.org/wp-content/uploads/2020/10/Criminal-AI-Paper-Final-Oct-28-2020.pdf" TargetMode="External"/><Relationship Id="rId12" Type="http://schemas.openxmlformats.org/officeDocument/2006/relationships/hyperlink" Target="https://obamawhitehouse.archives.gov/sites/default/files/microsites/ostp/PCAST/pcast_forensic_science_report_final.pdf" TargetMode="External"/><Relationship Id="rId17" Type="http://schemas.openxmlformats.org/officeDocument/2006/relationships/hyperlink" Target="https://naacp.org/resources/artificial-intelligence-predictive-policing-issue-brief" TargetMode="External"/><Relationship Id="rId33" Type="http://schemas.openxmlformats.org/officeDocument/2006/relationships/hyperlink" Target="https://www.fct-cf.gc.ca/Content/assets/pdf/base/2023-12-20-notice-use-of-ai-in-court-proceedings.pdf" TargetMode="External"/><Relationship Id="rId38" Type="http://schemas.openxmlformats.org/officeDocument/2006/relationships/hyperlink" Target="https://www.fct-cf.gc.ca/Content/assets/pdf/base/2023-12-20-notice-use-of-ai-in-court-proceedings.pdf" TargetMode="External"/><Relationship Id="rId59" Type="http://schemas.openxmlformats.org/officeDocument/2006/relationships/hyperlink" Target="https://www.ontario.ca/laws/statute/95v06" TargetMode="External"/><Relationship Id="rId103" Type="http://schemas.openxmlformats.org/officeDocument/2006/relationships/hyperlink" Target="https://www.propublica.org/article/federal-judge-unseals-new-york-crime-labs-software-for-analyzing-dna-evidence" TargetMode="External"/><Relationship Id="rId108" Type="http://schemas.openxmlformats.org/officeDocument/2006/relationships/hyperlink" Target="https://www.ontario.ca/document/crown-prosecution-manual/d-1-appeals" TargetMode="External"/><Relationship Id="rId54" Type="http://schemas.openxmlformats.org/officeDocument/2006/relationships/hyperlink" Target="https://blog.canlii.org/2024/02/15/ai-summarization-projects-and-more-in-2024/" TargetMode="External"/><Relationship Id="rId70" Type="http://schemas.openxmlformats.org/officeDocument/2006/relationships/hyperlink" Target="https://laws-lois.justice.gc.ca/eng/acts/c-46/" TargetMode="External"/><Relationship Id="rId75" Type="http://schemas.openxmlformats.org/officeDocument/2006/relationships/hyperlink" Target="https://www.ipc.on.ca/en/media/3505/download" TargetMode="External"/><Relationship Id="rId91" Type="http://schemas.openxmlformats.org/officeDocument/2006/relationships/hyperlink" Target="https://www.lco-cdo.org/wp-content/uploads/2021/06/AI-PG-Case-Study-Final-EN-June-2021-2.pdf" TargetMode="External"/><Relationship Id="rId96" Type="http://schemas.openxmlformats.org/officeDocument/2006/relationships/hyperlink" Target="https://www.archives.gov.on.ca/en/e_records/motheriskcommission/wp-content/uploads/Report-of-the-Motherisk-Commission.pdf" TargetMode="External"/><Relationship Id="rId1" Type="http://schemas.openxmlformats.org/officeDocument/2006/relationships/hyperlink" Target="https://www.laws-lois.justice.gc.ca/eng/Const/page-12.html" TargetMode="External"/><Relationship Id="rId6" Type="http://schemas.openxmlformats.org/officeDocument/2006/relationships/hyperlink" Target="https://www.lco-cdo.org/wp-content/uploads/2021/06/AI-PG-Case-Study-Final-EN-June-2021-2.pdf" TargetMode="External"/><Relationship Id="rId15" Type="http://schemas.openxmlformats.org/officeDocument/2006/relationships/hyperlink" Target="https://aspercentre.ca/wp-content/uploads/2021/11/FRT-and-the-Charter-Brief.pdf" TargetMode="External"/><Relationship Id="rId23" Type="http://schemas.openxmlformats.org/officeDocument/2006/relationships/hyperlink" Target="https://onlinewilder.vcu.edu/blog/ai-challenges-and-opportunities-national-security/" TargetMode="External"/><Relationship Id="rId28" Type="http://schemas.openxmlformats.org/officeDocument/2006/relationships/hyperlink" Target="https://scholarlycommons.law.northwestern.edu/njtip/vol19/iss1/2" TargetMode="External"/><Relationship Id="rId36" Type="http://schemas.openxmlformats.org/officeDocument/2006/relationships/hyperlink" Target="https://www.fct-cf.gc.ca/en/pages/law-and-practice/artificial-intelligence" TargetMode="External"/><Relationship Id="rId49" Type="http://schemas.openxmlformats.org/officeDocument/2006/relationships/hyperlink" Target="https://www.ontario.ca/document/crown-prosecution-manual/" TargetMode="External"/><Relationship Id="rId57" Type="http://schemas.openxmlformats.org/officeDocument/2006/relationships/hyperlink" Target="https://futurism.com/the-byte/china-ai-prosecutor-crimes" TargetMode="External"/><Relationship Id="rId106" Type="http://schemas.openxmlformats.org/officeDocument/2006/relationships/hyperlink" Target="https://www.lco-cdo.org/en/our-current-projects/ai-adm-and-the-justice-system/regulating-ai-critical-issues-and-choices/" TargetMode="External"/><Relationship Id="rId10" Type="http://schemas.openxmlformats.org/officeDocument/2006/relationships/hyperlink" Target="https://www.theclm.org/Magazine/articles/ai-and-the-future-of-jury-trials/2731" TargetMode="External"/><Relationship Id="rId31" Type="http://schemas.openxmlformats.org/officeDocument/2006/relationships/hyperlink" Target="https://www.ontario.ca/laws/statute/90c43" TargetMode="External"/><Relationship Id="rId44" Type="http://schemas.openxmlformats.org/officeDocument/2006/relationships/hyperlink" Target="https://www.reuters.com/legal/transactional/wary-courts-confront-ai-pitfalls-2024-promises-2023-12-27/" TargetMode="External"/><Relationship Id="rId52" Type="http://schemas.openxmlformats.org/officeDocument/2006/relationships/hyperlink" Target="https://rm.coe.int/ethical-charter-en-for-publication-4-december-2018/16808f699c" TargetMode="External"/><Relationship Id="rId60" Type="http://schemas.openxmlformats.org/officeDocument/2006/relationships/hyperlink" Target="https://www.canlii.org/en/ca/laws/astat/sc-2015-c-13/latest/sc-2015-c-13.html" TargetMode="External"/><Relationship Id="rId65" Type="http://schemas.openxmlformats.org/officeDocument/2006/relationships/hyperlink" Target="https://johnhoward.on.ca/find-services/programs-services-across-ontario/" TargetMode="External"/><Relationship Id="rId73" Type="http://schemas.openxmlformats.org/officeDocument/2006/relationships/hyperlink" Target="https://tpsb.ca/policies-by-laws/board-policies/195-use-of-artificial-intelligence-technology" TargetMode="External"/><Relationship Id="rId78" Type="http://schemas.openxmlformats.org/officeDocument/2006/relationships/hyperlink" Target="https://blog.talosintelligence.com/the-rise-of-ai-powered-criminals/" TargetMode="External"/><Relationship Id="rId81" Type="http://schemas.openxmlformats.org/officeDocument/2006/relationships/hyperlink" Target="https://www.lco-cdo.org/wp-content/uploads/2020/10/Criminal-AI-Paper-Final-Oct-28-2020.pdf" TargetMode="External"/><Relationship Id="rId86" Type="http://schemas.openxmlformats.org/officeDocument/2006/relationships/hyperlink" Target="https://themanitobalawjournal.com/wp-content/uploads/articles/MLJ_44.6/446_Singh.pdf" TargetMode="External"/><Relationship Id="rId94" Type="http://schemas.openxmlformats.org/officeDocument/2006/relationships/hyperlink" Target="http://netk.net.au/Canada/MorinList.asp" TargetMode="External"/><Relationship Id="rId99" Type="http://schemas.openxmlformats.org/officeDocument/2006/relationships/hyperlink" Target="https://lawcat.berkeley.edu/record/1129186?v=pdf" TargetMode="External"/><Relationship Id="rId101" Type="http://schemas.openxmlformats.org/officeDocument/2006/relationships/hyperlink" Target="https://www.lco-cdo.org/wp-content/uploads/2021/06/AI-PG-Case-Study-Final-EN-June-2021-2.pdf" TargetMode="External"/><Relationship Id="rId4" Type="http://schemas.openxmlformats.org/officeDocument/2006/relationships/hyperlink" Target="https://www.ontario.ca/laws/statute/90c43/v3" TargetMode="External"/><Relationship Id="rId9" Type="http://schemas.openxmlformats.org/officeDocument/2006/relationships/hyperlink" Target="https://doi.org/10.1126/aaas.adf0787" TargetMode="External"/><Relationship Id="rId13" Type="http://schemas.openxmlformats.org/officeDocument/2006/relationships/hyperlink" Target="https://www.constitutionalstudies.ca/2019/07/oakes-test/" TargetMode="External"/><Relationship Id="rId18" Type="http://schemas.openxmlformats.org/officeDocument/2006/relationships/hyperlink" Target="https://aspercentre.ca/wp-content/uploads/2021/11/FRT-and-the-Charter-Brief.pdf" TargetMode="External"/><Relationship Id="rId39" Type="http://schemas.openxmlformats.org/officeDocument/2006/relationships/hyperlink" Target="https://www.fct-cf.gc.ca/en/pages/law-and-practice/artificial-intelligence" TargetMode="External"/><Relationship Id="rId109" Type="http://schemas.openxmlformats.org/officeDocument/2006/relationships/hyperlink" Target="https://laws-lois.justice.gc.ca/eng/acts/c-46/" TargetMode="External"/><Relationship Id="rId34" Type="http://schemas.openxmlformats.org/officeDocument/2006/relationships/hyperlink" Target="https://www.fct-cf.gc.ca/en/pages/law-and-practice/artificial-intelligence" TargetMode="External"/><Relationship Id="rId50" Type="http://schemas.openxmlformats.org/officeDocument/2006/relationships/hyperlink" Target="https://www.ontario.ca/document/crown-prosecution-manual/" TargetMode="External"/><Relationship Id="rId55" Type="http://schemas.openxmlformats.org/officeDocument/2006/relationships/hyperlink" Target="https://blog.canlii.org/2025/03/12/introducing-ai-enrichments-for-saskatchewan-case-law-on-canlii/" TargetMode="External"/><Relationship Id="rId76" Type="http://schemas.openxmlformats.org/officeDocument/2006/relationships/hyperlink" Target="https://www.lco-cdo.org/wp-content/uploads/2020/10/Criminal-AI-Paper-Final-Oct-28-2020.pdf" TargetMode="External"/><Relationship Id="rId97" Type="http://schemas.openxmlformats.org/officeDocument/2006/relationships/hyperlink" Target="https://www.lco-cdo.org/wp-content/uploads/2021/06/AI-PG-Case-Study-Final-EN-June-2021-2.pdf" TargetMode="External"/><Relationship Id="rId104" Type="http://schemas.openxmlformats.org/officeDocument/2006/relationships/hyperlink" Target="https://law.yale.edu/sites/default/files/area/clinic/document/139._memorandum_of_law.pdf" TargetMode="External"/><Relationship Id="rId7" Type="http://schemas.openxmlformats.org/officeDocument/2006/relationships/hyperlink" Target="https://www.lco-cdo.org/wp-content/uploads/2021/06/AI-PG-Case-Study-Final-EN-June-2021-2.pdf" TargetMode="External"/><Relationship Id="rId71" Type="http://schemas.openxmlformats.org/officeDocument/2006/relationships/hyperlink" Target="https://tpsb.ca/policies-by-laws/board-policies/195-use-of-artificial-intelligence-technology" TargetMode="External"/><Relationship Id="rId92" Type="http://schemas.openxmlformats.org/officeDocument/2006/relationships/hyperlink" Target="https://www.lco-cdo.org/wp-content/uploads/2022/04/CanSWGDAM-response-to-LCO_English-2022-03-07.pdf" TargetMode="External"/><Relationship Id="rId2" Type="http://schemas.openxmlformats.org/officeDocument/2006/relationships/hyperlink" Target="https://laws-lois.justice.gc.ca/eng/acts/c-5/" TargetMode="External"/><Relationship Id="rId29" Type="http://schemas.openxmlformats.org/officeDocument/2006/relationships/hyperlink" Target="https://www.lco-cdo.org/wp-content/uploads/2021/06/AI-PG-Case-Study-Final-EN-June-2021-2.pdf" TargetMode="External"/><Relationship Id="rId24" Type="http://schemas.openxmlformats.org/officeDocument/2006/relationships/hyperlink" Target="https://publications.gc.ca/collections/collection_2022/ongc-cgsb/P29-072-034-2022-eng.pdf" TargetMode="External"/><Relationship Id="rId40" Type="http://schemas.openxmlformats.org/officeDocument/2006/relationships/hyperlink" Target="https://www.fct-cf.gc.ca/Content/assets/pdf/base/2023-12-20-notice-use-of-ai-in-court-proceedings.pdf" TargetMode="External"/><Relationship Id="rId45" Type="http://schemas.openxmlformats.org/officeDocument/2006/relationships/hyperlink" Target="https://www.reuters.com/legal/transactional/us-judicial-panel-develop-rules-address-ai-produced-evidence-2024-11-08/" TargetMode="External"/><Relationship Id="rId66" Type="http://schemas.openxmlformats.org/officeDocument/2006/relationships/hyperlink" Target="https://www.sadvtreatmentcentres.ca/find-a-centre/" TargetMode="External"/><Relationship Id="rId87" Type="http://schemas.openxmlformats.org/officeDocument/2006/relationships/hyperlink" Target="https://aspercentre.ca/wp-content/uploads/2021/11/FRT-and-the-Charter-Brief.pdf" TargetMode="External"/><Relationship Id="rId61" Type="http://schemas.openxmlformats.org/officeDocument/2006/relationships/hyperlink" Target="https://onlinelibrary.wiley.com/doi/full/10.1111/1745-9133.12582" TargetMode="External"/><Relationship Id="rId82" Type="http://schemas.openxmlformats.org/officeDocument/2006/relationships/hyperlink" Target="https://www.lco-cdo.org/wp-content/uploads/2020/10/Criminal-AI-Paper-Final-Oct-28-2020.pdf" TargetMode="External"/><Relationship Id="rId19" Type="http://schemas.openxmlformats.org/officeDocument/2006/relationships/hyperlink" Target="https://laws.justice.gc.ca/eng/acts/C-5/" TargetMode="External"/><Relationship Id="rId14" Type="http://schemas.openxmlformats.org/officeDocument/2006/relationships/hyperlink" Target="https://aspercentre.ca/wp-content/uploads/2021/11/FRT-and-the-Charter-Brief.pdf" TargetMode="External"/><Relationship Id="rId30" Type="http://schemas.openxmlformats.org/officeDocument/2006/relationships/hyperlink" Target="https://scholarlycommons.law.northwestern.edu/njtip/vol19/iss1/2" TargetMode="External"/><Relationship Id="rId35" Type="http://schemas.openxmlformats.org/officeDocument/2006/relationships/hyperlink" Target="https://www.fct-cf.gc.ca/en/pages/law-and-practice/artificial-intelligence" TargetMode="External"/><Relationship Id="rId56" Type="http://schemas.openxmlformats.org/officeDocument/2006/relationships/hyperlink" Target="https://www.dailymail.co.uk/news/article-10346933/China-develops-AI-prosecutor-press-charges-97-accuracy.html" TargetMode="External"/><Relationship Id="rId77" Type="http://schemas.openxmlformats.org/officeDocument/2006/relationships/hyperlink" Target="https://www.lco-cdo.org/en/our-current-projects/ai-adm-and-the-justice-system/regulating-ai-critical-issues-and-choices/" TargetMode="External"/><Relationship Id="rId100" Type="http://schemas.openxmlformats.org/officeDocument/2006/relationships/hyperlink" Target="https://www.lco-cdo.org/wp-content/uploads/2021/06/AI-PG-Case-Study-Final-EN-June-2021-2.pdf" TargetMode="External"/><Relationship Id="rId105" Type="http://schemas.openxmlformats.org/officeDocument/2006/relationships/hyperlink" Target="https://papers.ssrn.com/sol3/papers.cfm?abstract_id=3374005" TargetMode="External"/><Relationship Id="rId8" Type="http://schemas.openxmlformats.org/officeDocument/2006/relationships/hyperlink" Target="https://scholarlycommons.law.northwestern.edu/njtip/vol19/iss1/2/" TargetMode="External"/><Relationship Id="rId51" Type="http://schemas.openxmlformats.org/officeDocument/2006/relationships/hyperlink" Target="https://www.americanbar.org/content/dam/aba/administrative/professional_responsibility/ethics-opinions/aba-formal-opinion-512.pdf" TargetMode="External"/><Relationship Id="rId72" Type="http://schemas.openxmlformats.org/officeDocument/2006/relationships/hyperlink" Target="https://tpsb.ca/policies-by-laws/board-policies/195-use-of-artificial-intelligence-technology" TargetMode="External"/><Relationship Id="rId93" Type="http://schemas.openxmlformats.org/officeDocument/2006/relationships/hyperlink" Target="https://www.lco-cdo.org/wp-content/uploads/2021/06/AI-PG-Case-Study-Final-EN-June-2021-2.pdf" TargetMode="External"/><Relationship Id="rId98" Type="http://schemas.openxmlformats.org/officeDocument/2006/relationships/hyperlink" Target="https://lawcat.berkeley.edu/record/1129186?v=pdf" TargetMode="External"/><Relationship Id="rId3" Type="http://schemas.openxmlformats.org/officeDocument/2006/relationships/hyperlink" Target="https://laws-lois.justice.gc.ca/eng/acts/C-46/" TargetMode="External"/><Relationship Id="rId25" Type="http://schemas.openxmlformats.org/officeDocument/2006/relationships/hyperlink" Target="https://arstechnica.com/science/2023/07/a-jargon-free-explanation-of-how-ai-large-language-models-work/" TargetMode="External"/><Relationship Id="rId46" Type="http://schemas.openxmlformats.org/officeDocument/2006/relationships/hyperlink" Target="https://thesedonaconference.org/sites/default/files/publications/Navigating%20AI%20in%20the%20Judiciary_PDF_021925_1.pdf" TargetMode="External"/><Relationship Id="rId67" Type="http://schemas.openxmlformats.org/officeDocument/2006/relationships/hyperlink" Target="https://www.ontario.ca/page/family-court-support-workers" TargetMode="External"/><Relationship Id="rId20" Type="http://schemas.openxmlformats.org/officeDocument/2006/relationships/hyperlink" Target="https://laws-lois.justice.gc.ca/eng/acts/C-46/" TargetMode="External"/><Relationship Id="rId41" Type="http://schemas.openxmlformats.org/officeDocument/2006/relationships/hyperlink" Target="https://www.ontario.ca/page/published-plans-and-annual-reports-2023-2024-ministry-attorney-general" TargetMode="External"/><Relationship Id="rId62" Type="http://schemas.openxmlformats.org/officeDocument/2006/relationships/hyperlink" Target="https://laws-lois.justice.gc.ca/eng/const/page-1.html" TargetMode="External"/><Relationship Id="rId83" Type="http://schemas.openxmlformats.org/officeDocument/2006/relationships/hyperlink" Target="https://www.rand.org/news/press/2017/01/10.html" TargetMode="External"/><Relationship Id="rId88" Type="http://schemas.openxmlformats.org/officeDocument/2006/relationships/hyperlink" Target="https://www.lco-cdo.org/en/our-current-projects/ai-adm-and-the-justice-system/regulating-ai-critical-issues-and-cho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VZ93W/LQT9X/8C71uO4opyn0A==">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62DE50-2A66-4393-8A3F-E144A0381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88</Pages>
  <Words>29507</Words>
  <Characters>168190</Characters>
  <Application>Microsoft Office Word</Application>
  <DocSecurity>0</DocSecurity>
  <Lines>1401</Lines>
  <Paragraphs>394</Paragraphs>
  <ScaleCrop>false</ScaleCrop>
  <HeadingPairs>
    <vt:vector size="2" baseType="variant">
      <vt:variant>
        <vt:lpstr>Title</vt:lpstr>
      </vt:variant>
      <vt:variant>
        <vt:i4>1</vt:i4>
      </vt:variant>
    </vt:vector>
  </HeadingPairs>
  <TitlesOfParts>
    <vt:vector size="1" baseType="lpstr">
      <vt:lpstr/>
    </vt:vector>
  </TitlesOfParts>
  <Company>McMaster University</Company>
  <LinksUpToDate>false</LinksUpToDate>
  <CharactersWithSpaces>197303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Marcus Pratt</dc:creator>
  <cp:lastModifiedBy>Ryan Fritsch</cp:lastModifiedBy>
  <cp:revision>563</cp:revision>
  <dcterms:created xsi:type="dcterms:W3CDTF">2024-11-05T18:57:00Z</dcterms:created>
  <dcterms:modified xsi:type="dcterms:W3CDTF">2025-04-15T14:35:00Z</dcterms:modified>
</cp:coreProperties>
</file>