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9F8BF" w14:textId="602D8589" w:rsidR="003012E0" w:rsidRPr="00A317D7" w:rsidRDefault="002D6CF7" w:rsidP="003012E0">
      <w:pPr>
        <w:rPr>
          <w:lang w:val="fr-CA" w:eastAsia="en-CA"/>
        </w:rPr>
      </w:pPr>
      <w:bookmarkStart w:id="0" w:name="_Toc173918235"/>
      <w:bookmarkStart w:id="1" w:name="_Toc188900883"/>
      <w:r w:rsidRPr="00A317D7">
        <w:rPr>
          <w:noProof/>
          <w:lang w:val="en-US"/>
        </w:rPr>
        <w:drawing>
          <wp:anchor distT="0" distB="0" distL="114300" distR="114300" simplePos="0" relativeHeight="251659264" behindDoc="0" locked="0" layoutInCell="1" allowOverlap="1" wp14:anchorId="59FEB5E5" wp14:editId="2211DFF3">
            <wp:simplePos x="0" y="0"/>
            <wp:positionH relativeFrom="margin">
              <wp:align>right</wp:align>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20278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3335" name=""/>
                    <pic:cNvPicPr/>
                  </pic:nvPicPr>
                  <pic:blipFill>
                    <a:blip r:embed="rId8"/>
                    <a:stretch>
                      <a:fillRect/>
                    </a:stretch>
                  </pic:blipFill>
                  <pic:spPr>
                    <a:xfrm>
                      <a:off x="0" y="0"/>
                      <a:ext cx="5943600" cy="5943600"/>
                    </a:xfrm>
                    <a:prstGeom prst="rect">
                      <a:avLst/>
                    </a:prstGeom>
                  </pic:spPr>
                </pic:pic>
              </a:graphicData>
            </a:graphic>
            <wp14:sizeRelV relativeFrom="margin">
              <wp14:pctHeight>0</wp14:pctHeight>
            </wp14:sizeRelV>
          </wp:anchor>
        </w:drawing>
      </w:r>
    </w:p>
    <w:p w14:paraId="6553E077" w14:textId="3BE659CE" w:rsidR="003012E0" w:rsidRPr="00A317D7" w:rsidRDefault="00A317D7" w:rsidP="00D17576">
      <w:pPr>
        <w:jc w:val="center"/>
        <w:rPr>
          <w:rFonts w:ascii="Calibri" w:eastAsia="Calibri" w:hAnsi="Calibri" w:cs="Calibri"/>
          <w:b/>
          <w:lang w:val="fr-CA" w:eastAsia="en-CA"/>
        </w:rPr>
      </w:pPr>
      <w:r w:rsidRPr="00A317D7">
        <w:rPr>
          <w:rFonts w:ascii="Calibri" w:eastAsia="Calibri" w:hAnsi="Calibri" w:cs="Calibri"/>
          <w:b/>
          <w:lang w:val="fr-CA" w:eastAsia="en-CA"/>
        </w:rPr>
        <w:t xml:space="preserve">PROJET </w:t>
      </w:r>
      <w:r w:rsidR="00844DE2">
        <w:rPr>
          <w:rFonts w:ascii="Calibri" w:eastAsia="Calibri" w:hAnsi="Calibri" w:cs="Calibri"/>
          <w:b/>
          <w:lang w:val="fr-CA" w:eastAsia="en-CA"/>
        </w:rPr>
        <w:t xml:space="preserve">SUR </w:t>
      </w:r>
      <w:r w:rsidRPr="00A317D7">
        <w:rPr>
          <w:rFonts w:ascii="Calibri" w:eastAsia="Calibri" w:hAnsi="Calibri" w:cs="Calibri"/>
          <w:b/>
          <w:lang w:val="fr-CA" w:eastAsia="en-CA"/>
        </w:rPr>
        <w:t xml:space="preserve">L’IA DANS LE SYSTÈME DE JUSTICE PÉNALE </w:t>
      </w:r>
      <w:r w:rsidR="00D17576" w:rsidRPr="00A317D7">
        <w:rPr>
          <w:rFonts w:ascii="Calibri" w:eastAsia="Calibri" w:hAnsi="Calibri" w:cs="Calibri"/>
          <w:b/>
          <w:lang w:val="fr-CA" w:eastAsia="en-CA"/>
        </w:rPr>
        <w:t>| ANNEX</w:t>
      </w:r>
      <w:r w:rsidRPr="00A317D7">
        <w:rPr>
          <w:rFonts w:ascii="Calibri" w:eastAsia="Calibri" w:hAnsi="Calibri" w:cs="Calibri"/>
          <w:b/>
          <w:lang w:val="fr-CA" w:eastAsia="en-CA"/>
        </w:rPr>
        <w:t>E</w:t>
      </w:r>
      <w:r w:rsidR="00D17576" w:rsidRPr="00A317D7">
        <w:rPr>
          <w:rFonts w:ascii="Calibri" w:eastAsia="Calibri" w:hAnsi="Calibri" w:cs="Calibri"/>
          <w:b/>
          <w:lang w:val="fr-CA" w:eastAsia="en-CA"/>
        </w:rPr>
        <w:t xml:space="preserve"> A</w:t>
      </w:r>
    </w:p>
    <w:p w14:paraId="5DD71BA8" w14:textId="04E3C709" w:rsidR="003012E0" w:rsidRPr="00A317D7" w:rsidRDefault="00A317D7" w:rsidP="00D17576">
      <w:pPr>
        <w:jc w:val="center"/>
        <w:rPr>
          <w:rFonts w:ascii="Calibri" w:eastAsia="Calibri" w:hAnsi="Calibri" w:cs="Calibri"/>
          <w:b/>
          <w:lang w:val="fr-CA" w:eastAsia="en-CA"/>
        </w:rPr>
      </w:pPr>
      <w:r w:rsidRPr="00A317D7">
        <w:rPr>
          <w:rFonts w:ascii="Calibri" w:eastAsia="Calibri" w:hAnsi="Calibri" w:cs="Calibri"/>
          <w:b/>
          <w:lang w:val="fr-CA" w:eastAsia="en-CA"/>
        </w:rPr>
        <w:t>Sommaire et questions de c</w:t>
      </w:r>
      <w:r w:rsidR="003012E0" w:rsidRPr="00A317D7">
        <w:rPr>
          <w:rFonts w:ascii="Calibri" w:eastAsia="Calibri" w:hAnsi="Calibri" w:cs="Calibri"/>
          <w:b/>
          <w:lang w:val="fr-CA" w:eastAsia="en-CA"/>
        </w:rPr>
        <w:t xml:space="preserve">onsultation </w:t>
      </w:r>
    </w:p>
    <w:p w14:paraId="407329A3" w14:textId="0151EF18" w:rsidR="003012E0" w:rsidRPr="00A317D7" w:rsidRDefault="003012E0" w:rsidP="00D17576">
      <w:pPr>
        <w:jc w:val="center"/>
        <w:rPr>
          <w:rFonts w:ascii="Calibri" w:eastAsia="Calibri" w:hAnsi="Calibri" w:cs="Calibri"/>
          <w:b/>
          <w:lang w:val="fr-CA" w:eastAsia="en-CA"/>
        </w:rPr>
      </w:pPr>
      <w:r w:rsidRPr="00A317D7">
        <w:rPr>
          <w:rFonts w:ascii="Calibri" w:eastAsia="Calibri" w:hAnsi="Calibri" w:cs="Calibri"/>
          <w:b/>
          <w:lang w:val="fr-CA" w:eastAsia="en-CA"/>
        </w:rPr>
        <w:t>A</w:t>
      </w:r>
      <w:r w:rsidR="00A317D7" w:rsidRPr="00A317D7">
        <w:rPr>
          <w:rFonts w:ascii="Calibri" w:eastAsia="Calibri" w:hAnsi="Calibri" w:cs="Calibri"/>
          <w:b/>
          <w:lang w:val="fr-CA" w:eastAsia="en-CA"/>
        </w:rPr>
        <w:t>v</w:t>
      </w:r>
      <w:r w:rsidRPr="00A317D7">
        <w:rPr>
          <w:rFonts w:ascii="Calibri" w:eastAsia="Calibri" w:hAnsi="Calibri" w:cs="Calibri"/>
          <w:b/>
          <w:lang w:val="fr-CA" w:eastAsia="en-CA"/>
        </w:rPr>
        <w:t>ril 2025</w:t>
      </w:r>
    </w:p>
    <w:p w14:paraId="1D113905" w14:textId="77777777" w:rsidR="003012E0" w:rsidRPr="00A317D7" w:rsidRDefault="003012E0" w:rsidP="003012E0">
      <w:pPr>
        <w:rPr>
          <w:rFonts w:ascii="Calibri" w:eastAsia="Calibri" w:hAnsi="Calibri" w:cs="Calibri"/>
          <w:b/>
          <w:lang w:val="fr-CA" w:eastAsia="en-CA"/>
        </w:rPr>
      </w:pPr>
    </w:p>
    <w:p w14:paraId="38C53063" w14:textId="22C92D58" w:rsidR="003012E0" w:rsidRPr="00A317D7" w:rsidRDefault="002D6CF7" w:rsidP="003012E0">
      <w:pPr>
        <w:rPr>
          <w:rFonts w:ascii="Calibri" w:eastAsia="Calibri" w:hAnsi="Calibri" w:cs="Calibri"/>
          <w:b/>
          <w:lang w:val="fr-CA" w:eastAsia="en-CA"/>
        </w:rPr>
      </w:pPr>
      <w:r w:rsidRPr="00A317D7">
        <w:rPr>
          <w:rFonts w:cstheme="minorHAnsi"/>
          <w:b/>
          <w:noProof/>
          <w:sz w:val="24"/>
          <w:szCs w:val="24"/>
          <w:lang w:val="en-US"/>
        </w:rPr>
        <w:drawing>
          <wp:anchor distT="0" distB="0" distL="114300" distR="114300" simplePos="0" relativeHeight="251661312" behindDoc="0" locked="0" layoutInCell="1" allowOverlap="1" wp14:anchorId="1ADD4810" wp14:editId="32ED2AFF">
            <wp:simplePos x="0" y="0"/>
            <wp:positionH relativeFrom="margin">
              <wp:align>center</wp:align>
            </wp:positionH>
            <wp:positionV relativeFrom="paragraph">
              <wp:posOffset>10795</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9"/>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7FDE08F2" w14:textId="77777777" w:rsidR="003012E0" w:rsidRPr="00A317D7" w:rsidRDefault="003012E0" w:rsidP="003012E0">
      <w:pPr>
        <w:rPr>
          <w:rFonts w:ascii="Calibri" w:eastAsia="Calibri" w:hAnsi="Calibri" w:cs="Calibri"/>
          <w:b/>
          <w:lang w:val="fr-CA" w:eastAsia="en-CA"/>
        </w:rPr>
      </w:pPr>
    </w:p>
    <w:p w14:paraId="040A3AF5" w14:textId="77777777" w:rsidR="003012E0" w:rsidRPr="00A317D7" w:rsidRDefault="003012E0" w:rsidP="003012E0">
      <w:pPr>
        <w:rPr>
          <w:rFonts w:ascii="Calibri" w:eastAsia="Calibri" w:hAnsi="Calibri" w:cs="Calibri"/>
          <w:b/>
          <w:lang w:val="fr-CA" w:eastAsia="en-CA"/>
        </w:rPr>
      </w:pPr>
    </w:p>
    <w:p w14:paraId="22B298AB" w14:textId="776A6648" w:rsidR="003012E0" w:rsidRPr="00A317D7" w:rsidRDefault="00A317D7" w:rsidP="003012E0">
      <w:pPr>
        <w:rPr>
          <w:rFonts w:ascii="Calibri" w:eastAsia="Calibri" w:hAnsi="Calibri" w:cs="Calibri"/>
          <w:b/>
          <w:lang w:val="fr-CA" w:eastAsia="en-CA"/>
        </w:rPr>
      </w:pPr>
      <w:r w:rsidRPr="00A317D7">
        <w:rPr>
          <w:rFonts w:ascii="Calibri" w:eastAsia="Calibri" w:hAnsi="Calibri" w:cs="Calibri"/>
          <w:b/>
          <w:lang w:val="fr-CA" w:eastAsia="en-CA"/>
        </w:rPr>
        <w:lastRenderedPageBreak/>
        <w:t xml:space="preserve">À PROPOS DE LA </w:t>
      </w:r>
      <w:r w:rsidR="003012E0" w:rsidRPr="00A317D7">
        <w:rPr>
          <w:rFonts w:ascii="Calibri" w:eastAsia="Calibri" w:hAnsi="Calibri" w:cs="Calibri"/>
          <w:b/>
          <w:lang w:val="fr-CA" w:eastAsia="en-CA"/>
        </w:rPr>
        <w:t xml:space="preserve">COMMISSION </w:t>
      </w:r>
      <w:r w:rsidRPr="00A317D7">
        <w:rPr>
          <w:rFonts w:ascii="Calibri" w:eastAsia="Calibri" w:hAnsi="Calibri" w:cs="Calibri"/>
          <w:b/>
          <w:lang w:val="fr-CA" w:eastAsia="en-CA"/>
        </w:rPr>
        <w:t>DU DROIT DE L’</w:t>
      </w:r>
      <w:r w:rsidR="003012E0" w:rsidRPr="00A317D7">
        <w:rPr>
          <w:rFonts w:ascii="Calibri" w:eastAsia="Calibri" w:hAnsi="Calibri" w:cs="Calibri"/>
          <w:b/>
          <w:lang w:val="fr-CA" w:eastAsia="en-CA"/>
        </w:rPr>
        <w:t>ONTARIO</w:t>
      </w:r>
    </w:p>
    <w:p w14:paraId="38978CCC" w14:textId="03E20D0B" w:rsidR="003012E0" w:rsidRPr="00A317D7" w:rsidRDefault="00A317D7" w:rsidP="005E0126">
      <w:pPr>
        <w:spacing w:after="0"/>
        <w:rPr>
          <w:rFonts w:ascii="Calibri" w:eastAsia="Calibri" w:hAnsi="Calibri" w:cs="Calibri"/>
          <w:lang w:val="fr-CA" w:eastAsia="en-CA"/>
        </w:rPr>
      </w:pPr>
      <w:r w:rsidRPr="00A317D7">
        <w:rPr>
          <w:rFonts w:ascii="Calibri" w:eastAsia="Calibri" w:hAnsi="Calibri" w:cs="Calibri"/>
          <w:lang w:val="fr-CA" w:eastAsia="en-CA"/>
        </w:rPr>
        <w:t xml:space="preserve">La </w:t>
      </w:r>
      <w:r w:rsidR="003012E0" w:rsidRPr="00A317D7">
        <w:rPr>
          <w:rFonts w:ascii="Calibri" w:eastAsia="Calibri" w:hAnsi="Calibri" w:cs="Calibri"/>
          <w:lang w:val="fr-CA" w:eastAsia="en-CA"/>
        </w:rPr>
        <w:t xml:space="preserve">Commission </w:t>
      </w:r>
      <w:r w:rsidRPr="00A317D7">
        <w:rPr>
          <w:rFonts w:ascii="Calibri" w:eastAsia="Calibri" w:hAnsi="Calibri" w:cs="Calibri"/>
          <w:lang w:val="fr-CA" w:eastAsia="en-CA"/>
        </w:rPr>
        <w:t>du droit de l’</w:t>
      </w:r>
      <w:r w:rsidR="003012E0" w:rsidRPr="00A317D7">
        <w:rPr>
          <w:rFonts w:ascii="Calibri" w:eastAsia="Calibri" w:hAnsi="Calibri" w:cs="Calibri"/>
          <w:lang w:val="fr-CA" w:eastAsia="en-CA"/>
        </w:rPr>
        <w:t>Ontario (</w:t>
      </w:r>
      <w:r w:rsidRPr="00A317D7">
        <w:rPr>
          <w:rFonts w:ascii="Calibri" w:eastAsia="Calibri" w:hAnsi="Calibri" w:cs="Calibri"/>
          <w:lang w:val="fr-CA" w:eastAsia="en-CA"/>
        </w:rPr>
        <w:t>CDO</w:t>
      </w:r>
      <w:r w:rsidR="003012E0" w:rsidRPr="00A317D7">
        <w:rPr>
          <w:rFonts w:ascii="Calibri" w:eastAsia="Calibri" w:hAnsi="Calibri" w:cs="Calibri"/>
          <w:lang w:val="fr-CA" w:eastAsia="en-CA"/>
        </w:rPr>
        <w:t xml:space="preserve">) </w:t>
      </w:r>
      <w:r w:rsidRPr="00A317D7">
        <w:rPr>
          <w:rFonts w:ascii="Calibri" w:eastAsia="Calibri" w:hAnsi="Calibri" w:cs="Calibri"/>
          <w:lang w:val="fr-CA" w:eastAsia="en-CA"/>
        </w:rPr>
        <w:t xml:space="preserve">est un organisme de premier plan en matière de réforme </w:t>
      </w:r>
      <w:r w:rsidR="002806CB">
        <w:rPr>
          <w:rFonts w:ascii="Calibri" w:eastAsia="Calibri" w:hAnsi="Calibri" w:cs="Calibri"/>
          <w:lang w:val="fr-CA" w:eastAsia="en-CA"/>
        </w:rPr>
        <w:t xml:space="preserve">du droit </w:t>
      </w:r>
      <w:r w:rsidRPr="00A317D7">
        <w:rPr>
          <w:rFonts w:ascii="Calibri" w:eastAsia="Calibri" w:hAnsi="Calibri" w:cs="Calibri"/>
          <w:lang w:val="fr-CA" w:eastAsia="en-CA"/>
        </w:rPr>
        <w:t>en Ontario</w:t>
      </w:r>
      <w:r w:rsidR="003012E0" w:rsidRPr="00A317D7">
        <w:rPr>
          <w:rFonts w:ascii="Calibri" w:eastAsia="Calibri" w:hAnsi="Calibri" w:cs="Calibri"/>
          <w:lang w:val="fr-CA" w:eastAsia="en-CA"/>
        </w:rPr>
        <w:t xml:space="preserve">. </w:t>
      </w:r>
    </w:p>
    <w:p w14:paraId="276B1B5A" w14:textId="77777777" w:rsidR="005E0126" w:rsidRPr="00A317D7" w:rsidRDefault="005E0126" w:rsidP="005E0126">
      <w:pPr>
        <w:spacing w:after="0"/>
        <w:rPr>
          <w:rFonts w:ascii="Calibri" w:eastAsia="Calibri" w:hAnsi="Calibri" w:cs="Calibri"/>
          <w:lang w:val="fr-CA" w:eastAsia="en-CA"/>
        </w:rPr>
      </w:pPr>
    </w:p>
    <w:p w14:paraId="29013C30" w14:textId="3C692532" w:rsidR="003012E0" w:rsidRPr="00A317D7" w:rsidRDefault="00A317D7" w:rsidP="005E0126">
      <w:pPr>
        <w:spacing w:after="0"/>
        <w:rPr>
          <w:rFonts w:ascii="Calibri" w:eastAsia="Calibri" w:hAnsi="Calibri" w:cs="Calibri"/>
          <w:lang w:val="fr-CA" w:eastAsia="en-CA"/>
        </w:rPr>
      </w:pPr>
      <w:r w:rsidRPr="00A317D7">
        <w:rPr>
          <w:rFonts w:ascii="Calibri" w:eastAsia="Calibri" w:hAnsi="Calibri" w:cs="Calibri"/>
          <w:lang w:val="fr-CA" w:eastAsia="en-CA"/>
        </w:rPr>
        <w:t>La CDO fournit des avis indépendants, équilibrés et faisant autorité sur des questions juridiques complexes et importantes. Grâce à ce travail, la CDO favorise l</w:t>
      </w:r>
      <w:r w:rsidR="00C62E0C">
        <w:rPr>
          <w:rFonts w:ascii="Calibri" w:eastAsia="Calibri" w:hAnsi="Calibri" w:cs="Calibri"/>
          <w:lang w:val="fr-CA" w:eastAsia="en-CA"/>
        </w:rPr>
        <w:t>’</w:t>
      </w:r>
      <w:r w:rsidRPr="00A317D7">
        <w:rPr>
          <w:rFonts w:ascii="Calibri" w:eastAsia="Calibri" w:hAnsi="Calibri" w:cs="Calibri"/>
          <w:lang w:val="fr-CA" w:eastAsia="en-CA"/>
        </w:rPr>
        <w:t>accès à la justice, l</w:t>
      </w:r>
      <w:r w:rsidR="00C62E0C">
        <w:rPr>
          <w:rFonts w:ascii="Calibri" w:eastAsia="Calibri" w:hAnsi="Calibri" w:cs="Calibri"/>
          <w:lang w:val="fr-CA" w:eastAsia="en-CA"/>
        </w:rPr>
        <w:t>’</w:t>
      </w:r>
      <w:r w:rsidRPr="00A317D7">
        <w:rPr>
          <w:rFonts w:ascii="Calibri" w:eastAsia="Calibri" w:hAnsi="Calibri" w:cs="Calibri"/>
          <w:lang w:val="fr-CA" w:eastAsia="en-CA"/>
        </w:rPr>
        <w:t>élaboration de lois et de politiques fondées sur des données probantes, ainsi que la participation du public à d</w:t>
      </w:r>
      <w:r w:rsidR="00C62E0C">
        <w:rPr>
          <w:rFonts w:ascii="Calibri" w:eastAsia="Calibri" w:hAnsi="Calibri" w:cs="Calibri"/>
          <w:lang w:val="fr-CA" w:eastAsia="en-CA"/>
        </w:rPr>
        <w:t>’</w:t>
      </w:r>
      <w:r w:rsidRPr="00A317D7">
        <w:rPr>
          <w:rFonts w:ascii="Calibri" w:eastAsia="Calibri" w:hAnsi="Calibri" w:cs="Calibri"/>
          <w:lang w:val="fr-CA" w:eastAsia="en-CA"/>
        </w:rPr>
        <w:t>importantes questions de réforme législative. La CDO est indépendante des intérêts des parties prenantes et s</w:t>
      </w:r>
      <w:r w:rsidR="00C62E0C">
        <w:rPr>
          <w:rFonts w:ascii="Calibri" w:eastAsia="Calibri" w:hAnsi="Calibri" w:cs="Calibri"/>
          <w:lang w:val="fr-CA" w:eastAsia="en-CA"/>
        </w:rPr>
        <w:t>’</w:t>
      </w:r>
      <w:r w:rsidRPr="00A317D7">
        <w:rPr>
          <w:rFonts w:ascii="Calibri" w:eastAsia="Calibri" w:hAnsi="Calibri" w:cs="Calibri"/>
          <w:lang w:val="fr-CA" w:eastAsia="en-CA"/>
        </w:rPr>
        <w:t>engage à adopter une perspective d</w:t>
      </w:r>
      <w:r w:rsidR="00C62E0C">
        <w:rPr>
          <w:rFonts w:ascii="Calibri" w:eastAsia="Calibri" w:hAnsi="Calibri" w:cs="Calibri"/>
          <w:lang w:val="fr-CA" w:eastAsia="en-CA"/>
        </w:rPr>
        <w:t>’</w:t>
      </w:r>
      <w:r w:rsidRPr="00A317D7">
        <w:rPr>
          <w:rFonts w:ascii="Calibri" w:eastAsia="Calibri" w:hAnsi="Calibri" w:cs="Calibri"/>
          <w:lang w:val="fr-CA" w:eastAsia="en-CA"/>
        </w:rPr>
        <w:t>intérêt public dans tous ses projets</w:t>
      </w:r>
      <w:r w:rsidR="003012E0" w:rsidRPr="00A317D7">
        <w:rPr>
          <w:rFonts w:ascii="Calibri" w:eastAsia="Calibri" w:hAnsi="Calibri" w:cs="Calibri"/>
          <w:lang w:val="fr-CA" w:eastAsia="en-CA"/>
        </w:rPr>
        <w:t>.</w:t>
      </w:r>
    </w:p>
    <w:p w14:paraId="06F3D0A7" w14:textId="77777777" w:rsidR="005E0126" w:rsidRPr="00A317D7" w:rsidRDefault="005E0126" w:rsidP="005E0126">
      <w:pPr>
        <w:spacing w:after="0"/>
        <w:rPr>
          <w:rFonts w:ascii="Calibri" w:eastAsia="Calibri" w:hAnsi="Calibri" w:cs="Calibri"/>
          <w:lang w:val="fr-CA" w:eastAsia="en-CA"/>
        </w:rPr>
      </w:pPr>
    </w:p>
    <w:p w14:paraId="2F6EBB41" w14:textId="1F26AB22" w:rsidR="003012E0" w:rsidRPr="00A317D7" w:rsidRDefault="00A317D7" w:rsidP="005E0126">
      <w:pPr>
        <w:spacing w:after="0"/>
        <w:rPr>
          <w:rFonts w:ascii="Calibri" w:eastAsia="Calibri" w:hAnsi="Calibri" w:cs="Calibri"/>
          <w:lang w:val="fr-CA" w:eastAsia="en-CA"/>
        </w:rPr>
      </w:pPr>
      <w:r w:rsidRPr="00A317D7">
        <w:rPr>
          <w:rFonts w:ascii="Calibri" w:eastAsia="Calibri" w:hAnsi="Calibri" w:cs="Calibri"/>
          <w:lang w:val="fr-CA" w:eastAsia="en-CA"/>
        </w:rPr>
        <w:t>Voici des rapports et mémoires récents de la CDO traitant des questions liées à l</w:t>
      </w:r>
      <w:r w:rsidR="00C62E0C">
        <w:rPr>
          <w:rFonts w:ascii="Calibri" w:eastAsia="Calibri" w:hAnsi="Calibri" w:cs="Calibri"/>
          <w:lang w:val="fr-CA" w:eastAsia="en-CA"/>
        </w:rPr>
        <w:t>’</w:t>
      </w:r>
      <w:r w:rsidRPr="00A317D7">
        <w:rPr>
          <w:rFonts w:ascii="Calibri" w:eastAsia="Calibri" w:hAnsi="Calibri" w:cs="Calibri"/>
          <w:lang w:val="fr-CA" w:eastAsia="en-CA"/>
        </w:rPr>
        <w:t>IA </w:t>
      </w:r>
      <w:r w:rsidR="003012E0" w:rsidRPr="00A317D7">
        <w:rPr>
          <w:rFonts w:ascii="Calibri" w:eastAsia="Calibri" w:hAnsi="Calibri" w:cs="Calibri"/>
          <w:lang w:val="fr-CA" w:eastAsia="en-CA"/>
        </w:rPr>
        <w:t>:</w:t>
      </w:r>
    </w:p>
    <w:p w14:paraId="3835F58B" w14:textId="77777777" w:rsidR="005E0126" w:rsidRPr="00A317D7" w:rsidRDefault="005E0126" w:rsidP="005E0126">
      <w:pPr>
        <w:spacing w:after="0"/>
        <w:rPr>
          <w:rFonts w:ascii="Calibri" w:eastAsia="Calibri" w:hAnsi="Calibri" w:cs="Calibri"/>
          <w:lang w:val="fr-CA" w:eastAsia="en-CA"/>
        </w:rPr>
      </w:pPr>
    </w:p>
    <w:p w14:paraId="461280D5" w14:textId="1BBEB8CE" w:rsidR="003012E0" w:rsidRPr="00A317D7" w:rsidRDefault="00A610A1" w:rsidP="00A317D7">
      <w:pPr>
        <w:pStyle w:val="ListParagraph"/>
        <w:numPr>
          <w:ilvl w:val="0"/>
          <w:numId w:val="2"/>
        </w:numPr>
        <w:spacing w:after="0" w:line="240" w:lineRule="auto"/>
        <w:rPr>
          <w:rFonts w:ascii="Calibri" w:eastAsia="Calibri" w:hAnsi="Calibri" w:cs="Calibri"/>
          <w:lang w:val="fr-CA" w:eastAsia="en-CA"/>
        </w:rPr>
      </w:pPr>
      <w:hyperlink r:id="rId10" w:history="1">
        <w:r w:rsidR="00A317D7" w:rsidRPr="00A317D7">
          <w:rPr>
            <w:rFonts w:ascii="Calibri" w:eastAsia="Calibri" w:hAnsi="Calibri" w:cs="Calibri"/>
            <w:color w:val="0563C1"/>
            <w:u w:val="single"/>
            <w:lang w:val="fr-CA" w:eastAsia="en-CA"/>
          </w:rPr>
          <w:t>Évaluation de l’impact de l’intelligence artificielle sur les droits de la personne</w:t>
        </w:r>
      </w:hyperlink>
      <w:r w:rsidR="003012E0" w:rsidRPr="00A317D7">
        <w:rPr>
          <w:rFonts w:ascii="Calibri" w:eastAsia="Calibri" w:hAnsi="Calibri" w:cs="Calibri"/>
          <w:lang w:val="fr-CA" w:eastAsia="en-CA"/>
        </w:rPr>
        <w:t xml:space="preserve"> (</w:t>
      </w:r>
      <w:r w:rsidR="00A317D7" w:rsidRPr="00A317D7">
        <w:rPr>
          <w:rFonts w:ascii="Calibri" w:eastAsia="Calibri" w:hAnsi="Calibri" w:cs="Calibri"/>
          <w:lang w:val="fr-CA" w:eastAsia="en-CA"/>
        </w:rPr>
        <w:t>avec la</w:t>
      </w:r>
      <w:r w:rsidR="00A317D7" w:rsidRPr="00A317D7">
        <w:rPr>
          <w:lang w:val="fr-CA"/>
        </w:rPr>
        <w:t xml:space="preserve"> </w:t>
      </w:r>
      <w:r w:rsidR="00A317D7" w:rsidRPr="00A317D7">
        <w:rPr>
          <w:rFonts w:ascii="Calibri" w:eastAsia="Calibri" w:hAnsi="Calibri" w:cs="Calibri"/>
          <w:lang w:val="fr-CA" w:eastAsia="en-CA"/>
        </w:rPr>
        <w:t>Commission ontarienne des droits de la personne</w:t>
      </w:r>
      <w:r w:rsidR="003012E0" w:rsidRPr="00A317D7">
        <w:rPr>
          <w:rFonts w:ascii="Calibri" w:eastAsia="Calibri" w:hAnsi="Calibri" w:cs="Calibri"/>
          <w:lang w:val="fr-CA" w:eastAsia="en-CA"/>
        </w:rPr>
        <w:t>, 2024)</w:t>
      </w:r>
    </w:p>
    <w:p w14:paraId="4EE54B83" w14:textId="2F62CA85" w:rsidR="003012E0" w:rsidRPr="00A317D7" w:rsidRDefault="00A610A1" w:rsidP="005E0126">
      <w:pPr>
        <w:numPr>
          <w:ilvl w:val="0"/>
          <w:numId w:val="2"/>
        </w:numPr>
        <w:spacing w:after="0" w:line="240" w:lineRule="auto"/>
        <w:ind w:left="714" w:hanging="357"/>
        <w:rPr>
          <w:rFonts w:ascii="Calibri" w:eastAsia="Calibri" w:hAnsi="Calibri" w:cs="Calibri"/>
          <w:lang w:val="fr-CA" w:eastAsia="en-CA"/>
        </w:rPr>
      </w:pPr>
      <w:hyperlink r:id="rId11" w:anchor="bill194" w:history="1">
        <w:r w:rsidR="00A317D7" w:rsidRPr="00A317D7">
          <w:rPr>
            <w:rFonts w:ascii="Calibri" w:eastAsia="Calibri" w:hAnsi="Calibri" w:cs="Calibri"/>
            <w:color w:val="0563C1"/>
            <w:u w:val="single"/>
            <w:lang w:val="fr-CA" w:eastAsia="en-CA"/>
          </w:rPr>
          <w:t>Mémoire au gouvernement de l</w:t>
        </w:r>
        <w:r w:rsidR="00C62E0C">
          <w:rPr>
            <w:rFonts w:ascii="Calibri" w:eastAsia="Calibri" w:hAnsi="Calibri" w:cs="Calibri"/>
            <w:color w:val="0563C1"/>
            <w:u w:val="single"/>
            <w:lang w:val="fr-CA" w:eastAsia="en-CA"/>
          </w:rPr>
          <w:t>’</w:t>
        </w:r>
        <w:r w:rsidR="00A317D7" w:rsidRPr="00A317D7">
          <w:rPr>
            <w:rFonts w:ascii="Calibri" w:eastAsia="Calibri" w:hAnsi="Calibri" w:cs="Calibri"/>
            <w:color w:val="0563C1"/>
            <w:u w:val="single"/>
            <w:lang w:val="fr-CA" w:eastAsia="en-CA"/>
          </w:rPr>
          <w:t>Ontario sur le projet de loi 194</w:t>
        </w:r>
      </w:hyperlink>
      <w:r w:rsidR="003012E0" w:rsidRPr="00A317D7">
        <w:rPr>
          <w:rFonts w:ascii="Calibri" w:eastAsia="Calibri" w:hAnsi="Calibri" w:cs="Calibri"/>
          <w:lang w:val="fr-CA" w:eastAsia="en-CA"/>
        </w:rPr>
        <w:t xml:space="preserve"> (2024)</w:t>
      </w:r>
    </w:p>
    <w:p w14:paraId="4D8EBC27" w14:textId="5B27DE96" w:rsidR="003012E0" w:rsidRPr="00A317D7" w:rsidRDefault="00A610A1" w:rsidP="005E0126">
      <w:pPr>
        <w:numPr>
          <w:ilvl w:val="0"/>
          <w:numId w:val="2"/>
        </w:numPr>
        <w:spacing w:after="0" w:line="240" w:lineRule="auto"/>
        <w:ind w:left="714" w:hanging="357"/>
        <w:rPr>
          <w:rFonts w:ascii="Calibri" w:eastAsia="Calibri" w:hAnsi="Calibri" w:cs="Calibri"/>
          <w:lang w:val="fr-CA" w:eastAsia="en-CA"/>
        </w:rPr>
      </w:pPr>
      <w:hyperlink r:id="rId12" w:history="1">
        <w:r w:rsidR="009A5F23">
          <w:rPr>
            <w:rFonts w:ascii="Calibri" w:eastAsia="Calibri" w:hAnsi="Calibri" w:cs="Calibri"/>
            <w:i/>
            <w:iCs/>
            <w:color w:val="0563C1"/>
            <w:u w:val="single"/>
            <w:lang w:val="fr-CA" w:eastAsia="en-CA"/>
          </w:rPr>
          <w:t>Accountable AI</w:t>
        </w:r>
      </w:hyperlink>
      <w:r w:rsidR="003012E0" w:rsidRPr="00A317D7">
        <w:rPr>
          <w:rFonts w:ascii="Calibri" w:eastAsia="Calibri" w:hAnsi="Calibri" w:cs="Calibri"/>
          <w:i/>
          <w:iCs/>
          <w:lang w:val="fr-CA" w:eastAsia="en-CA"/>
        </w:rPr>
        <w:t xml:space="preserve"> </w:t>
      </w:r>
      <w:r w:rsidR="003012E0" w:rsidRPr="00A317D7">
        <w:rPr>
          <w:rFonts w:ascii="Calibri" w:eastAsia="Calibri" w:hAnsi="Calibri" w:cs="Calibri"/>
          <w:lang w:val="fr-CA" w:eastAsia="en-CA"/>
        </w:rPr>
        <w:t>(2022)</w:t>
      </w:r>
    </w:p>
    <w:p w14:paraId="77D4FCA8" w14:textId="7DC0B391" w:rsidR="003012E0" w:rsidRPr="00A317D7" w:rsidRDefault="00A610A1" w:rsidP="005E0126">
      <w:pPr>
        <w:numPr>
          <w:ilvl w:val="0"/>
          <w:numId w:val="2"/>
        </w:numPr>
        <w:spacing w:after="0" w:line="240" w:lineRule="auto"/>
        <w:ind w:left="714" w:hanging="357"/>
        <w:rPr>
          <w:rFonts w:ascii="Calibri" w:eastAsia="Calibri" w:hAnsi="Calibri" w:cs="Calibri"/>
          <w:lang w:val="fr-CA" w:eastAsia="en-CA"/>
        </w:rPr>
      </w:pPr>
      <w:hyperlink r:id="rId13" w:history="1">
        <w:r w:rsidR="009A5F23">
          <w:rPr>
            <w:rFonts w:ascii="Calibri" w:eastAsia="Calibri" w:hAnsi="Calibri" w:cs="Calibri"/>
            <w:i/>
            <w:iCs/>
            <w:color w:val="0563C1"/>
            <w:u w:val="single"/>
            <w:lang w:val="fr-CA" w:eastAsia="en-CA"/>
          </w:rPr>
          <w:t>Réglementer l’intelligence artificielle – Enjeux et choix essentiels</w:t>
        </w:r>
      </w:hyperlink>
      <w:r w:rsidR="003012E0" w:rsidRPr="00A317D7">
        <w:rPr>
          <w:rFonts w:ascii="Calibri" w:eastAsia="Calibri" w:hAnsi="Calibri" w:cs="Calibri"/>
          <w:lang w:val="fr-CA" w:eastAsia="en-CA"/>
        </w:rPr>
        <w:t xml:space="preserve"> (2021) </w:t>
      </w:r>
    </w:p>
    <w:p w14:paraId="40EDA6BA" w14:textId="19A90FFD" w:rsidR="003012E0" w:rsidRPr="00A317D7" w:rsidRDefault="00A610A1" w:rsidP="00D74E89">
      <w:pPr>
        <w:numPr>
          <w:ilvl w:val="0"/>
          <w:numId w:val="2"/>
        </w:numPr>
        <w:spacing w:after="0" w:line="240" w:lineRule="auto"/>
        <w:rPr>
          <w:rFonts w:ascii="Calibri" w:eastAsia="Calibri" w:hAnsi="Calibri" w:cs="Calibri"/>
          <w:lang w:val="fr-CA" w:eastAsia="en-CA"/>
        </w:rPr>
      </w:pPr>
      <w:hyperlink r:id="rId14" w:history="1">
        <w:hyperlink r:id="rId15" w:history="1">
          <w:r w:rsidR="00D74E89" w:rsidRPr="00D74E89">
            <w:rPr>
              <w:i/>
              <w:iCs/>
              <w:color w:val="0563C1"/>
              <w:u w:val="single"/>
              <w:lang w:val="en-US"/>
            </w:rPr>
            <w:t>Legal Issues and Government AI Development</w:t>
          </w:r>
        </w:hyperlink>
      </w:hyperlink>
      <w:r w:rsidR="003012E0" w:rsidRPr="00A317D7">
        <w:rPr>
          <w:rFonts w:ascii="Calibri" w:eastAsia="Calibri" w:hAnsi="Calibri" w:cs="Calibri"/>
          <w:lang w:val="fr-CA" w:eastAsia="en-CA"/>
        </w:rPr>
        <w:t xml:space="preserve"> (2021)</w:t>
      </w:r>
    </w:p>
    <w:p w14:paraId="78220469" w14:textId="77777777" w:rsidR="003012E0" w:rsidRPr="00C62E0C" w:rsidRDefault="00A610A1" w:rsidP="005E0126">
      <w:pPr>
        <w:numPr>
          <w:ilvl w:val="0"/>
          <w:numId w:val="2"/>
        </w:numPr>
        <w:spacing w:after="0" w:line="240" w:lineRule="auto"/>
        <w:ind w:left="714" w:hanging="357"/>
        <w:rPr>
          <w:rFonts w:ascii="Calibri" w:eastAsia="Calibri" w:hAnsi="Calibri" w:cs="Calibri"/>
          <w:lang w:val="en-US" w:eastAsia="en-CA"/>
        </w:rPr>
      </w:pPr>
      <w:hyperlink r:id="rId16" w:history="1">
        <w:r w:rsidR="003012E0" w:rsidRPr="00C62E0C">
          <w:rPr>
            <w:rFonts w:ascii="Calibri" w:eastAsia="Calibri" w:hAnsi="Calibri" w:cs="Calibri"/>
            <w:color w:val="0563C1"/>
            <w:u w:val="single"/>
            <w:lang w:val="en-US" w:eastAsia="en-CA"/>
          </w:rPr>
          <w:t>The Rise and Fall of Algorithms in the American Justice System: Lessons for Canada</w:t>
        </w:r>
      </w:hyperlink>
      <w:r w:rsidR="003012E0" w:rsidRPr="00C62E0C">
        <w:rPr>
          <w:rFonts w:ascii="Calibri" w:eastAsia="Calibri" w:hAnsi="Calibri" w:cs="Calibri"/>
          <w:lang w:val="en-US" w:eastAsia="en-CA"/>
        </w:rPr>
        <w:t xml:space="preserve"> (2020) </w:t>
      </w:r>
    </w:p>
    <w:p w14:paraId="4C101DFD" w14:textId="45199CDC" w:rsidR="003012E0" w:rsidRPr="00A317D7" w:rsidRDefault="00C62E0C" w:rsidP="003B653D">
      <w:pPr>
        <w:spacing w:before="120" w:after="120"/>
        <w:rPr>
          <w:rFonts w:ascii="Calibri" w:eastAsia="Calibri" w:hAnsi="Calibri" w:cs="Calibri"/>
          <w:b/>
          <w:lang w:val="fr-CA" w:eastAsia="en-CA"/>
        </w:rPr>
      </w:pPr>
      <w:r>
        <w:rPr>
          <w:rFonts w:ascii="Calibri" w:eastAsia="Calibri" w:hAnsi="Calibri" w:cs="Calibri"/>
          <w:lang w:val="fr-CA" w:eastAsia="en-CA"/>
        </w:rPr>
        <w:t xml:space="preserve">Pour en savoir plus sur la CDO et ce projet, veuillez consulter : </w:t>
      </w:r>
      <w:hyperlink r:id="rId17" w:history="1">
        <w:r w:rsidR="002806CB" w:rsidRPr="0098295E">
          <w:rPr>
            <w:rStyle w:val="Hyperlink"/>
            <w:rFonts w:ascii="Calibri" w:eastAsia="Calibri" w:hAnsi="Calibri" w:cs="Calibri"/>
            <w:lang w:val="fr-CA" w:eastAsia="en-CA"/>
          </w:rPr>
          <w:t>https://www.lco-cdo.org/fr</w:t>
        </w:r>
      </w:hyperlink>
      <w:r>
        <w:rPr>
          <w:rFonts w:ascii="Calibri" w:eastAsia="Calibri" w:hAnsi="Calibri" w:cs="Calibri"/>
          <w:lang w:val="fr-CA" w:eastAsia="en-CA"/>
        </w:rPr>
        <w:t>.</w:t>
      </w:r>
    </w:p>
    <w:p w14:paraId="06015BEC" w14:textId="3DB828CC" w:rsidR="005E0126" w:rsidRPr="00A317D7" w:rsidRDefault="009A5F23" w:rsidP="005E0126">
      <w:pPr>
        <w:rPr>
          <w:rFonts w:ascii="Calibri" w:eastAsia="Calibri" w:hAnsi="Calibri" w:cs="Calibri"/>
          <w:b/>
          <w:bCs/>
          <w:lang w:val="fr-CA" w:eastAsia="en-CA"/>
        </w:rPr>
      </w:pPr>
      <w:r>
        <w:rPr>
          <w:rFonts w:ascii="Calibri" w:eastAsia="Calibri" w:hAnsi="Calibri" w:cs="Calibri"/>
          <w:b/>
          <w:bCs/>
          <w:lang w:val="fr-CA" w:eastAsia="en-CA"/>
        </w:rPr>
        <w:t>SOURCE</w:t>
      </w:r>
    </w:p>
    <w:p w14:paraId="7D301651" w14:textId="230BF56A" w:rsidR="005E0126" w:rsidRPr="00A317D7" w:rsidRDefault="005E0126" w:rsidP="005E0126">
      <w:pPr>
        <w:rPr>
          <w:rFonts w:ascii="Calibri" w:eastAsia="Calibri" w:hAnsi="Calibri" w:cs="Calibri"/>
          <w:lang w:val="fr-CA" w:eastAsia="en-CA"/>
        </w:rPr>
      </w:pPr>
      <w:r w:rsidRPr="00A317D7">
        <w:rPr>
          <w:rFonts w:ascii="Calibri" w:eastAsia="Calibri" w:hAnsi="Calibri" w:cs="Calibri"/>
          <w:lang w:val="fr-CA" w:eastAsia="en-CA"/>
        </w:rPr>
        <w:t xml:space="preserve">Commission </w:t>
      </w:r>
      <w:r w:rsidR="009A5F23">
        <w:rPr>
          <w:rFonts w:ascii="Calibri" w:eastAsia="Calibri" w:hAnsi="Calibri" w:cs="Calibri"/>
          <w:lang w:val="fr-CA" w:eastAsia="en-CA"/>
        </w:rPr>
        <w:t>du droit de l’</w:t>
      </w:r>
      <w:r w:rsidRPr="00A317D7">
        <w:rPr>
          <w:rFonts w:ascii="Calibri" w:eastAsia="Calibri" w:hAnsi="Calibri" w:cs="Calibri"/>
          <w:lang w:val="fr-CA" w:eastAsia="en-CA"/>
        </w:rPr>
        <w:t>Ontario</w:t>
      </w:r>
      <w:r w:rsidRPr="00A317D7">
        <w:rPr>
          <w:rFonts w:ascii="Calibri" w:eastAsia="Calibri" w:hAnsi="Calibri" w:cs="Calibri"/>
          <w:lang w:val="fr-CA" w:eastAsia="en-CA"/>
        </w:rPr>
        <w:br/>
        <w:t>2032</w:t>
      </w:r>
      <w:r w:rsidR="009A5F23">
        <w:rPr>
          <w:rFonts w:ascii="Calibri" w:eastAsia="Calibri" w:hAnsi="Calibri" w:cs="Calibri"/>
          <w:lang w:val="fr-CA" w:eastAsia="en-CA"/>
        </w:rPr>
        <w:t xml:space="preserve">, édifice </w:t>
      </w:r>
      <w:r w:rsidRPr="00A317D7">
        <w:rPr>
          <w:rFonts w:ascii="Calibri" w:eastAsia="Calibri" w:hAnsi="Calibri" w:cs="Calibri"/>
          <w:lang w:val="fr-CA" w:eastAsia="en-CA"/>
        </w:rPr>
        <w:t>Ignat Kaneff</w:t>
      </w:r>
      <w:r w:rsidRPr="00A317D7">
        <w:rPr>
          <w:rFonts w:ascii="Calibri" w:eastAsia="Calibri" w:hAnsi="Calibri" w:cs="Calibri"/>
          <w:lang w:val="fr-CA" w:eastAsia="en-CA"/>
        </w:rPr>
        <w:br/>
      </w:r>
      <w:r w:rsidR="009A5F23">
        <w:rPr>
          <w:rFonts w:ascii="Calibri" w:eastAsia="Calibri" w:hAnsi="Calibri" w:cs="Calibri"/>
          <w:lang w:val="fr-CA" w:eastAsia="en-CA"/>
        </w:rPr>
        <w:t xml:space="preserve">Faculté de droit </w:t>
      </w:r>
      <w:r w:rsidRPr="00A317D7">
        <w:rPr>
          <w:rFonts w:ascii="Calibri" w:eastAsia="Calibri" w:hAnsi="Calibri" w:cs="Calibri"/>
          <w:lang w:val="fr-CA" w:eastAsia="en-CA"/>
        </w:rPr>
        <w:t xml:space="preserve">Osgoode Hall, </w:t>
      </w:r>
      <w:r w:rsidR="009A5F23">
        <w:rPr>
          <w:rFonts w:ascii="Calibri" w:eastAsia="Calibri" w:hAnsi="Calibri" w:cs="Calibri"/>
          <w:lang w:val="fr-CA" w:eastAsia="en-CA"/>
        </w:rPr>
        <w:t xml:space="preserve">Université </w:t>
      </w:r>
      <w:r w:rsidRPr="00A317D7">
        <w:rPr>
          <w:rFonts w:ascii="Calibri" w:eastAsia="Calibri" w:hAnsi="Calibri" w:cs="Calibri"/>
          <w:lang w:val="fr-CA" w:eastAsia="en-CA"/>
        </w:rPr>
        <w:t xml:space="preserve">York </w:t>
      </w:r>
      <w:r w:rsidRPr="00A317D7">
        <w:rPr>
          <w:rFonts w:ascii="Calibri" w:eastAsia="Calibri" w:hAnsi="Calibri" w:cs="Calibri"/>
          <w:lang w:val="fr-CA" w:eastAsia="en-CA"/>
        </w:rPr>
        <w:br/>
      </w:r>
      <w:r w:rsidR="00C62E0C">
        <w:rPr>
          <w:rFonts w:ascii="Calibri" w:eastAsia="Calibri" w:hAnsi="Calibri" w:cs="Calibri"/>
          <w:lang w:val="fr-CA" w:eastAsia="en-CA"/>
        </w:rPr>
        <w:t>4700, rue Keele, Toronto ON M3J 1P3</w:t>
      </w:r>
    </w:p>
    <w:p w14:paraId="38D51A5C" w14:textId="7266FDB1" w:rsidR="005E0126" w:rsidRPr="00C62E0C" w:rsidRDefault="005E0126" w:rsidP="005E0126">
      <w:pPr>
        <w:rPr>
          <w:rFonts w:ascii="Calibri" w:eastAsia="Calibri" w:hAnsi="Calibri" w:cs="Calibri"/>
          <w:lang w:val="en-US" w:eastAsia="en-CA"/>
        </w:rPr>
      </w:pPr>
      <w:r w:rsidRPr="00C62E0C">
        <w:rPr>
          <w:rFonts w:ascii="Calibri" w:eastAsia="Calibri" w:hAnsi="Calibri" w:cs="Calibri"/>
          <w:lang w:val="en-US" w:eastAsia="en-CA"/>
        </w:rPr>
        <w:t>T</w:t>
      </w:r>
      <w:r w:rsidR="009A5F23" w:rsidRPr="00C62E0C">
        <w:rPr>
          <w:rFonts w:ascii="Calibri" w:eastAsia="Calibri" w:hAnsi="Calibri" w:cs="Calibri"/>
          <w:lang w:val="en-US" w:eastAsia="en-CA"/>
        </w:rPr>
        <w:t>é</w:t>
      </w:r>
      <w:r w:rsidRPr="00C62E0C">
        <w:rPr>
          <w:rFonts w:ascii="Calibri" w:eastAsia="Calibri" w:hAnsi="Calibri" w:cs="Calibri"/>
          <w:lang w:val="en-US" w:eastAsia="en-CA"/>
        </w:rPr>
        <w:t>l</w:t>
      </w:r>
      <w:r w:rsidR="009A5F23" w:rsidRPr="00C62E0C">
        <w:rPr>
          <w:rFonts w:ascii="Calibri" w:eastAsia="Calibri" w:hAnsi="Calibri" w:cs="Calibri"/>
          <w:lang w:val="en-US" w:eastAsia="en-CA"/>
        </w:rPr>
        <w:t>. </w:t>
      </w:r>
      <w:r w:rsidRPr="00C62E0C">
        <w:rPr>
          <w:rFonts w:ascii="Calibri" w:eastAsia="Calibri" w:hAnsi="Calibri" w:cs="Calibri"/>
          <w:lang w:val="en-US" w:eastAsia="en-CA"/>
        </w:rPr>
        <w:t>: 416</w:t>
      </w:r>
      <w:r w:rsidR="009A5F23" w:rsidRPr="00C62E0C">
        <w:rPr>
          <w:rFonts w:ascii="Calibri" w:eastAsia="Calibri" w:hAnsi="Calibri" w:cs="Calibri"/>
          <w:lang w:val="en-US" w:eastAsia="en-CA"/>
        </w:rPr>
        <w:t> </w:t>
      </w:r>
      <w:r w:rsidRPr="00C62E0C">
        <w:rPr>
          <w:rFonts w:ascii="Calibri" w:eastAsia="Calibri" w:hAnsi="Calibri" w:cs="Calibri"/>
          <w:lang w:val="en-US" w:eastAsia="en-CA"/>
        </w:rPr>
        <w:t xml:space="preserve">650-8406 </w:t>
      </w:r>
      <w:r w:rsidRPr="00C62E0C">
        <w:rPr>
          <w:rFonts w:ascii="Calibri" w:eastAsia="Calibri" w:hAnsi="Calibri" w:cs="Calibri"/>
          <w:lang w:val="en-US" w:eastAsia="en-CA"/>
        </w:rPr>
        <w:br/>
      </w:r>
      <w:r w:rsidR="009A5F23" w:rsidRPr="00C62E0C">
        <w:rPr>
          <w:rFonts w:ascii="Calibri" w:eastAsia="Calibri" w:hAnsi="Calibri" w:cs="Calibri"/>
          <w:lang w:val="en-US" w:eastAsia="en-CA"/>
        </w:rPr>
        <w:t>Courriel </w:t>
      </w:r>
      <w:r w:rsidRPr="00C62E0C">
        <w:rPr>
          <w:rFonts w:ascii="Calibri" w:eastAsia="Calibri" w:hAnsi="Calibri" w:cs="Calibri"/>
          <w:lang w:val="en-US" w:eastAsia="en-CA"/>
        </w:rPr>
        <w:t xml:space="preserve">: </w:t>
      </w:r>
      <w:hyperlink r:id="rId18" w:history="1">
        <w:r w:rsidRPr="00C62E0C">
          <w:rPr>
            <w:rFonts w:ascii="Calibri" w:eastAsia="Calibri" w:hAnsi="Calibri" w:cs="Calibri"/>
            <w:color w:val="0563C1"/>
            <w:u w:val="single"/>
            <w:lang w:val="en-US" w:eastAsia="en-CA"/>
          </w:rPr>
          <w:t>LawCommission@lco-cdo.org</w:t>
        </w:r>
      </w:hyperlink>
      <w:r w:rsidRPr="00C62E0C">
        <w:rPr>
          <w:rFonts w:ascii="Calibri" w:eastAsia="Calibri" w:hAnsi="Calibri" w:cs="Calibri"/>
          <w:lang w:val="en-US" w:eastAsia="en-CA"/>
        </w:rPr>
        <w:t xml:space="preserve"> </w:t>
      </w:r>
      <w:r w:rsidRPr="00C62E0C">
        <w:rPr>
          <w:rFonts w:ascii="Calibri" w:eastAsia="Calibri" w:hAnsi="Calibri" w:cs="Calibri"/>
          <w:lang w:val="en-US" w:eastAsia="en-CA"/>
        </w:rPr>
        <w:br/>
        <w:t>Web</w:t>
      </w:r>
      <w:r w:rsidR="009A5F23" w:rsidRPr="00C62E0C">
        <w:rPr>
          <w:rFonts w:ascii="Calibri" w:eastAsia="Calibri" w:hAnsi="Calibri" w:cs="Calibri"/>
          <w:lang w:val="en-US" w:eastAsia="en-CA"/>
        </w:rPr>
        <w:t> </w:t>
      </w:r>
      <w:r w:rsidRPr="00C62E0C">
        <w:rPr>
          <w:rFonts w:ascii="Calibri" w:eastAsia="Calibri" w:hAnsi="Calibri" w:cs="Calibri"/>
          <w:lang w:val="en-US" w:eastAsia="en-CA"/>
        </w:rPr>
        <w:t xml:space="preserve">: </w:t>
      </w:r>
      <w:hyperlink r:id="rId19" w:history="1">
        <w:r w:rsidRPr="00C62E0C">
          <w:rPr>
            <w:rFonts w:ascii="Calibri" w:eastAsia="Calibri" w:hAnsi="Calibri" w:cs="Calibri"/>
            <w:color w:val="0563C1"/>
            <w:u w:val="single"/>
            <w:lang w:val="en-US" w:eastAsia="en-CA"/>
          </w:rPr>
          <w:t>https://www.lco-cdo.org</w:t>
        </w:r>
      </w:hyperlink>
      <w:r w:rsidRPr="00C62E0C">
        <w:rPr>
          <w:rFonts w:ascii="Calibri" w:eastAsia="Calibri" w:hAnsi="Calibri" w:cs="Calibri"/>
          <w:lang w:val="en-US" w:eastAsia="en-CA"/>
        </w:rPr>
        <w:t xml:space="preserve"> </w:t>
      </w:r>
      <w:r w:rsidRPr="00C62E0C">
        <w:rPr>
          <w:rFonts w:ascii="Calibri" w:eastAsia="Calibri" w:hAnsi="Calibri" w:cs="Calibri"/>
          <w:lang w:val="en-US" w:eastAsia="en-CA"/>
        </w:rPr>
        <w:br/>
        <w:t>LinkedIn</w:t>
      </w:r>
      <w:r w:rsidR="009A5F23" w:rsidRPr="00C62E0C">
        <w:rPr>
          <w:rFonts w:ascii="Calibri" w:eastAsia="Calibri" w:hAnsi="Calibri" w:cs="Calibri"/>
          <w:lang w:val="en-US" w:eastAsia="en-CA"/>
        </w:rPr>
        <w:t> </w:t>
      </w:r>
      <w:r w:rsidRPr="00C62E0C">
        <w:rPr>
          <w:rFonts w:ascii="Calibri" w:eastAsia="Calibri" w:hAnsi="Calibri" w:cs="Calibri"/>
          <w:lang w:val="en-US" w:eastAsia="en-CA"/>
        </w:rPr>
        <w:t xml:space="preserve">: </w:t>
      </w:r>
      <w:hyperlink r:id="rId20" w:history="1">
        <w:r w:rsidRPr="00C62E0C">
          <w:rPr>
            <w:rFonts w:ascii="Calibri" w:eastAsia="Calibri" w:hAnsi="Calibri" w:cs="Calibri"/>
            <w:color w:val="0563C1"/>
            <w:u w:val="single"/>
            <w:lang w:val="en-US" w:eastAsia="en-CA"/>
          </w:rPr>
          <w:t>https://linkedin.com/company/lco-cdo</w:t>
        </w:r>
      </w:hyperlink>
      <w:r w:rsidRPr="00C62E0C">
        <w:rPr>
          <w:rFonts w:ascii="Calibri" w:eastAsia="Calibri" w:hAnsi="Calibri" w:cs="Calibri"/>
          <w:lang w:val="en-US" w:eastAsia="en-CA"/>
        </w:rPr>
        <w:t xml:space="preserve">  </w:t>
      </w:r>
      <w:r w:rsidRPr="00C62E0C">
        <w:rPr>
          <w:rFonts w:ascii="Calibri" w:eastAsia="Calibri" w:hAnsi="Calibri" w:cs="Calibri"/>
          <w:lang w:val="en-US" w:eastAsia="en-CA"/>
        </w:rPr>
        <w:br/>
        <w:t>Bluesky</w:t>
      </w:r>
      <w:r w:rsidR="009A5F23" w:rsidRPr="00C62E0C">
        <w:rPr>
          <w:rFonts w:ascii="Calibri" w:eastAsia="Calibri" w:hAnsi="Calibri" w:cs="Calibri"/>
          <w:lang w:val="en-US" w:eastAsia="en-CA"/>
        </w:rPr>
        <w:t> </w:t>
      </w:r>
      <w:r w:rsidRPr="00C62E0C">
        <w:rPr>
          <w:rFonts w:ascii="Calibri" w:eastAsia="Calibri" w:hAnsi="Calibri" w:cs="Calibri"/>
          <w:lang w:val="en-US" w:eastAsia="en-CA"/>
        </w:rPr>
        <w:t xml:space="preserve">: </w:t>
      </w:r>
      <w:hyperlink r:id="rId21" w:history="1">
        <w:r w:rsidRPr="00C62E0C">
          <w:rPr>
            <w:rFonts w:ascii="Calibri" w:eastAsia="Calibri" w:hAnsi="Calibri" w:cs="Calibri"/>
            <w:color w:val="0563C1"/>
            <w:u w:val="single"/>
            <w:lang w:val="en-US" w:eastAsia="en-CA"/>
          </w:rPr>
          <w:t>@lco-cdo.bsky.social</w:t>
        </w:r>
      </w:hyperlink>
      <w:r w:rsidRPr="00C62E0C">
        <w:rPr>
          <w:rFonts w:ascii="Calibri" w:eastAsia="Calibri" w:hAnsi="Calibri" w:cs="Calibri"/>
          <w:lang w:val="en-US" w:eastAsia="en-CA"/>
        </w:rPr>
        <w:br/>
      </w:r>
      <w:r w:rsidR="009A5F23" w:rsidRPr="00C62E0C">
        <w:rPr>
          <w:rFonts w:ascii="Calibri" w:eastAsia="Calibri" w:hAnsi="Calibri" w:cs="Calibri"/>
          <w:lang w:val="en-US" w:eastAsia="en-CA"/>
        </w:rPr>
        <w:t>X </w:t>
      </w:r>
      <w:r w:rsidRPr="00C62E0C">
        <w:rPr>
          <w:rFonts w:ascii="Calibri" w:eastAsia="Calibri" w:hAnsi="Calibri" w:cs="Calibri"/>
          <w:lang w:val="en-US" w:eastAsia="en-CA"/>
        </w:rPr>
        <w:t xml:space="preserve">: </w:t>
      </w:r>
      <w:hyperlink r:id="rId22" w:history="1">
        <w:r w:rsidRPr="00C62E0C">
          <w:rPr>
            <w:rFonts w:ascii="Calibri" w:eastAsia="Calibri" w:hAnsi="Calibri" w:cs="Calibri"/>
            <w:color w:val="0563C1"/>
            <w:u w:val="single"/>
            <w:lang w:val="en-US" w:eastAsia="en-CA"/>
          </w:rPr>
          <w:t>@LCO_CDO</w:t>
        </w:r>
      </w:hyperlink>
      <w:r w:rsidRPr="00C62E0C">
        <w:rPr>
          <w:rFonts w:ascii="Calibri" w:eastAsia="Calibri" w:hAnsi="Calibri" w:cs="Calibri"/>
          <w:lang w:val="en-US" w:eastAsia="en-CA"/>
        </w:rPr>
        <w:br/>
        <w:t>YouTube</w:t>
      </w:r>
      <w:r w:rsidR="009A5F23" w:rsidRPr="00C62E0C">
        <w:rPr>
          <w:rFonts w:ascii="Calibri" w:eastAsia="Calibri" w:hAnsi="Calibri" w:cs="Calibri"/>
          <w:lang w:val="en-US" w:eastAsia="en-CA"/>
        </w:rPr>
        <w:t> </w:t>
      </w:r>
      <w:r w:rsidRPr="00C62E0C">
        <w:rPr>
          <w:rFonts w:ascii="Calibri" w:eastAsia="Calibri" w:hAnsi="Calibri" w:cs="Calibri"/>
          <w:lang w:val="en-US" w:eastAsia="en-CA"/>
        </w:rPr>
        <w:t xml:space="preserve">: </w:t>
      </w:r>
      <w:hyperlink r:id="rId23" w:history="1">
        <w:r w:rsidRPr="00C62E0C">
          <w:rPr>
            <w:rFonts w:ascii="Calibri" w:eastAsia="Calibri" w:hAnsi="Calibri" w:cs="Calibri"/>
            <w:color w:val="0563C1"/>
            <w:u w:val="single"/>
            <w:lang w:val="en-US" w:eastAsia="en-CA"/>
          </w:rPr>
          <w:t>@lawcommissionofontario8724</w:t>
        </w:r>
      </w:hyperlink>
      <w:r w:rsidRPr="00C62E0C">
        <w:rPr>
          <w:rFonts w:ascii="Calibri" w:eastAsia="Calibri" w:hAnsi="Calibri" w:cs="Calibri"/>
          <w:lang w:val="en-US" w:eastAsia="en-CA"/>
        </w:rPr>
        <w:t xml:space="preserve"> </w:t>
      </w:r>
    </w:p>
    <w:p w14:paraId="13F9FF87" w14:textId="6B7E8F99" w:rsidR="005E0126" w:rsidRPr="00A317D7" w:rsidRDefault="009A5F23" w:rsidP="005E0126">
      <w:pPr>
        <w:rPr>
          <w:rFonts w:ascii="Calibri" w:eastAsia="Calibri" w:hAnsi="Calibri" w:cs="Calibri"/>
          <w:b/>
          <w:bCs/>
          <w:lang w:val="fr-CA" w:eastAsia="en-CA"/>
        </w:rPr>
      </w:pPr>
      <w:r>
        <w:rPr>
          <w:rFonts w:ascii="Calibri" w:eastAsia="Calibri" w:hAnsi="Calibri" w:cs="Calibri"/>
          <w:b/>
          <w:bCs/>
          <w:lang w:val="fr-CA" w:eastAsia="en-CA"/>
        </w:rPr>
        <w:t>BAILLEURS DE FONDS</w:t>
      </w:r>
    </w:p>
    <w:p w14:paraId="78CCA7EB" w14:textId="13CA4E6C" w:rsidR="005E0126" w:rsidRPr="00A317D7" w:rsidRDefault="00DF11B0" w:rsidP="005E0126">
      <w:pPr>
        <w:rPr>
          <w:rFonts w:ascii="Calibri" w:eastAsia="Calibri" w:hAnsi="Calibri" w:cs="Calibri"/>
          <w:lang w:val="fr-CA" w:eastAsia="en-CA"/>
        </w:rPr>
      </w:pPr>
      <w:r w:rsidRPr="00DF11B0">
        <w:rPr>
          <w:rFonts w:ascii="Calibri" w:eastAsia="Calibri" w:hAnsi="Calibri" w:cs="Calibri"/>
          <w:lang w:val="fr-CA" w:eastAsia="en-CA"/>
        </w:rPr>
        <w:t>La Commission du droit de l’Ontario est financée par la Fondation du droit de l’Ontario, le Barreau de l’Ontario et la faculté de droit Osgoode Hall.</w:t>
      </w:r>
      <w:r>
        <w:rPr>
          <w:rFonts w:ascii="Calibri" w:eastAsia="Calibri" w:hAnsi="Calibri" w:cs="Calibri"/>
          <w:lang w:val="fr-CA" w:eastAsia="en-CA"/>
        </w:rPr>
        <w:t xml:space="preserve"> </w:t>
      </w:r>
      <w:r w:rsidR="009A5F23" w:rsidRPr="009A5F23">
        <w:rPr>
          <w:rFonts w:ascii="Calibri" w:eastAsia="Calibri" w:hAnsi="Calibri" w:cs="Calibri"/>
          <w:lang w:val="fr-CA" w:eastAsia="en-CA"/>
        </w:rPr>
        <w:t>La CDO est situé</w:t>
      </w:r>
      <w:r>
        <w:rPr>
          <w:rFonts w:ascii="Calibri" w:eastAsia="Calibri" w:hAnsi="Calibri" w:cs="Calibri"/>
          <w:lang w:val="fr-CA" w:eastAsia="en-CA"/>
        </w:rPr>
        <w:t>e</w:t>
      </w:r>
      <w:r w:rsidR="009A5F23" w:rsidRPr="009A5F23">
        <w:rPr>
          <w:rFonts w:ascii="Calibri" w:eastAsia="Calibri" w:hAnsi="Calibri" w:cs="Calibri"/>
          <w:lang w:val="fr-CA" w:eastAsia="en-CA"/>
        </w:rPr>
        <w:t xml:space="preserve"> à la faculté de droit Osgoode Hall à Toronto</w:t>
      </w:r>
      <w:r w:rsidR="005E0126" w:rsidRPr="00A317D7">
        <w:rPr>
          <w:rFonts w:ascii="Calibri" w:eastAsia="Calibri" w:hAnsi="Calibri" w:cs="Calibri"/>
          <w:lang w:val="fr-CA" w:eastAsia="en-CA"/>
        </w:rPr>
        <w:t>.</w:t>
      </w:r>
    </w:p>
    <w:p w14:paraId="2D5AACAF" w14:textId="77777777" w:rsidR="005E0126" w:rsidRPr="00A317D7" w:rsidRDefault="005E0126" w:rsidP="005E0126">
      <w:pPr>
        <w:jc w:val="center"/>
        <w:rPr>
          <w:rFonts w:ascii="Calibri" w:eastAsia="Calibri" w:hAnsi="Calibri" w:cs="Calibri"/>
          <w:lang w:val="fr-CA" w:eastAsia="en-CA"/>
        </w:rPr>
      </w:pPr>
      <w:r w:rsidRPr="00A317D7">
        <w:rPr>
          <w:rFonts w:ascii="Calibri" w:eastAsia="Calibri" w:hAnsi="Calibri" w:cs="Calibri"/>
          <w:noProof/>
          <w:lang w:val="en-US"/>
        </w:rPr>
        <w:drawing>
          <wp:inline distT="0" distB="0" distL="0" distR="0" wp14:anchorId="25259481" wp14:editId="4B7E3DE7">
            <wp:extent cx="2087844" cy="782942"/>
            <wp:effectExtent l="0" t="0" r="8255" b="0"/>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4"/>
                    <a:stretch>
                      <a:fillRect/>
                    </a:stretch>
                  </pic:blipFill>
                  <pic:spPr>
                    <a:xfrm>
                      <a:off x="0" y="0"/>
                      <a:ext cx="2118783" cy="794544"/>
                    </a:xfrm>
                    <a:prstGeom prst="rect">
                      <a:avLst/>
                    </a:prstGeom>
                  </pic:spPr>
                </pic:pic>
              </a:graphicData>
            </a:graphic>
          </wp:inline>
        </w:drawing>
      </w:r>
    </w:p>
    <w:p w14:paraId="74B178F3" w14:textId="6D415CF9" w:rsidR="003012E0" w:rsidRPr="00A317D7" w:rsidRDefault="00844DE2" w:rsidP="003B653D">
      <w:pPr>
        <w:spacing w:after="0"/>
        <w:rPr>
          <w:rFonts w:ascii="Calibri" w:eastAsia="Calibri" w:hAnsi="Calibri" w:cs="Calibri"/>
          <w:b/>
          <w:bCs/>
          <w:lang w:val="fr-CA" w:eastAsia="en-CA"/>
        </w:rPr>
      </w:pPr>
      <w:r w:rsidRPr="00844DE2">
        <w:rPr>
          <w:rFonts w:ascii="Calibri" w:eastAsia="Calibri" w:hAnsi="Calibri" w:cs="Calibri"/>
          <w:b/>
          <w:bCs/>
          <w:lang w:val="fr-CA" w:eastAsia="en-CA"/>
        </w:rPr>
        <w:lastRenderedPageBreak/>
        <w:t xml:space="preserve">PROJET </w:t>
      </w:r>
      <w:r>
        <w:rPr>
          <w:rFonts w:ascii="Calibri" w:eastAsia="Calibri" w:hAnsi="Calibri" w:cs="Calibri"/>
          <w:b/>
          <w:bCs/>
          <w:lang w:val="fr-CA" w:eastAsia="en-CA"/>
        </w:rPr>
        <w:t xml:space="preserve">DE LA CDO SUR </w:t>
      </w:r>
      <w:r w:rsidRPr="00844DE2">
        <w:rPr>
          <w:rFonts w:ascii="Calibri" w:eastAsia="Calibri" w:hAnsi="Calibri" w:cs="Calibri"/>
          <w:b/>
          <w:bCs/>
          <w:lang w:val="fr-CA" w:eastAsia="en-CA"/>
        </w:rPr>
        <w:t xml:space="preserve">L’IA DANS LE SYSTÈME DE JUSTICE PÉNALE </w:t>
      </w:r>
      <w:r w:rsidR="003012E0" w:rsidRPr="00A317D7">
        <w:rPr>
          <w:rFonts w:ascii="Calibri" w:eastAsia="Calibri" w:hAnsi="Calibri" w:cs="Calibri"/>
          <w:b/>
          <w:bCs/>
          <w:lang w:val="fr-CA" w:eastAsia="en-C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7"/>
      </w:tblGrid>
      <w:tr w:rsidR="003012E0" w:rsidRPr="00A610A1" w14:paraId="2DB1FD6B" w14:textId="77777777" w:rsidTr="00A317D7">
        <w:tc>
          <w:tcPr>
            <w:tcW w:w="1413" w:type="dxa"/>
          </w:tcPr>
          <w:p w14:paraId="577A0B52" w14:textId="78B6B81A" w:rsidR="003012E0" w:rsidRPr="00A317D7" w:rsidRDefault="00F43A3F" w:rsidP="00F43A3F">
            <w:pPr>
              <w:rPr>
                <w:rFonts w:eastAsia="Calibri"/>
                <w:bCs/>
                <w:kern w:val="0"/>
                <w:sz w:val="24"/>
                <w:szCs w:val="24"/>
                <w:lang w:val="fr-CA" w:eastAsia="en-CA"/>
              </w:rPr>
            </w:pPr>
            <w:r>
              <w:rPr>
                <w:rFonts w:eastAsia="Calibri"/>
                <w:bCs/>
                <w:kern w:val="0"/>
                <w:sz w:val="24"/>
                <w:szCs w:val="24"/>
                <w:lang w:val="fr-CA" w:eastAsia="en-CA"/>
              </w:rPr>
              <w:t>Rapport</w:t>
            </w:r>
            <w:r w:rsidR="00844DE2">
              <w:rPr>
                <w:rFonts w:eastAsia="Calibri"/>
                <w:bCs/>
                <w:kern w:val="0"/>
                <w:sz w:val="24"/>
                <w:szCs w:val="24"/>
                <w:lang w:val="fr-CA" w:eastAsia="en-CA"/>
              </w:rPr>
              <w:t xml:space="preserve"> </w:t>
            </w:r>
            <w:r w:rsidR="003012E0" w:rsidRPr="00A317D7">
              <w:rPr>
                <w:rFonts w:eastAsia="Calibri"/>
                <w:bCs/>
                <w:kern w:val="0"/>
                <w:sz w:val="24"/>
                <w:szCs w:val="24"/>
                <w:lang w:val="fr-CA" w:eastAsia="en-CA"/>
              </w:rPr>
              <w:t>1</w:t>
            </w:r>
          </w:p>
        </w:tc>
        <w:tc>
          <w:tcPr>
            <w:tcW w:w="7937" w:type="dxa"/>
          </w:tcPr>
          <w:p w14:paraId="00112B2D" w14:textId="412DFD63" w:rsidR="003012E0" w:rsidRPr="00A317D7" w:rsidRDefault="00D17576" w:rsidP="00DF11B0">
            <w:pPr>
              <w:rPr>
                <w:rFonts w:eastAsia="Calibri"/>
                <w:b/>
                <w:bCs/>
                <w:i/>
                <w:iCs/>
                <w:kern w:val="0"/>
                <w:sz w:val="24"/>
                <w:szCs w:val="24"/>
                <w:lang w:val="fr-CA" w:eastAsia="en-CA"/>
              </w:rPr>
            </w:pPr>
            <w:r w:rsidRPr="00A317D7">
              <w:rPr>
                <w:rFonts w:eastAsia="Calibri"/>
                <w:b/>
                <w:bCs/>
                <w:i/>
                <w:iCs/>
                <w:kern w:val="0"/>
                <w:sz w:val="24"/>
                <w:szCs w:val="24"/>
                <w:lang w:val="fr-CA" w:eastAsia="en-CA"/>
              </w:rPr>
              <w:t xml:space="preserve">Introduction </w:t>
            </w:r>
            <w:r w:rsidR="00DF11B0">
              <w:rPr>
                <w:rFonts w:eastAsia="Calibri"/>
                <w:b/>
                <w:bCs/>
                <w:i/>
                <w:iCs/>
                <w:kern w:val="0"/>
                <w:sz w:val="24"/>
                <w:szCs w:val="24"/>
                <w:lang w:val="fr-CA" w:eastAsia="en-CA"/>
              </w:rPr>
              <w:t>et sommaire </w:t>
            </w:r>
            <w:r w:rsidRPr="00A317D7">
              <w:rPr>
                <w:rFonts w:eastAsia="Calibri"/>
                <w:b/>
                <w:bCs/>
                <w:i/>
                <w:iCs/>
                <w:kern w:val="0"/>
                <w:sz w:val="24"/>
                <w:szCs w:val="24"/>
                <w:lang w:val="fr-CA" w:eastAsia="en-CA"/>
              </w:rPr>
              <w:t xml:space="preserve">: </w:t>
            </w:r>
            <w:r w:rsidR="00DF11B0">
              <w:rPr>
                <w:rFonts w:eastAsia="Calibri"/>
                <w:b/>
                <w:bCs/>
                <w:i/>
                <w:iCs/>
                <w:kern w:val="0"/>
                <w:sz w:val="24"/>
                <w:szCs w:val="24"/>
                <w:lang w:val="fr-CA" w:eastAsia="en-CA"/>
              </w:rPr>
              <w:t>projet sur l’IA dans le système de justice pénale </w:t>
            </w:r>
            <w:r w:rsidR="003012E0" w:rsidRPr="00A317D7">
              <w:rPr>
                <w:rFonts w:eastAsia="Calibri"/>
                <w:b/>
                <w:bCs/>
                <w:i/>
                <w:iCs/>
                <w:kern w:val="0"/>
                <w:sz w:val="24"/>
                <w:szCs w:val="24"/>
                <w:lang w:val="fr-CA" w:eastAsia="en-CA"/>
              </w:rPr>
              <w:t>:</w:t>
            </w:r>
          </w:p>
        </w:tc>
      </w:tr>
      <w:tr w:rsidR="003012E0" w:rsidRPr="00A610A1" w14:paraId="458B6BAB" w14:textId="77777777" w:rsidTr="00A317D7">
        <w:tc>
          <w:tcPr>
            <w:tcW w:w="1413" w:type="dxa"/>
          </w:tcPr>
          <w:p w14:paraId="2053C1D3" w14:textId="77777777" w:rsidR="003012E0" w:rsidRPr="00A317D7" w:rsidRDefault="003012E0" w:rsidP="00A317D7">
            <w:pPr>
              <w:rPr>
                <w:rFonts w:eastAsia="Calibri"/>
                <w:bCs/>
                <w:kern w:val="0"/>
                <w:sz w:val="24"/>
                <w:szCs w:val="24"/>
                <w:lang w:val="fr-CA" w:eastAsia="en-CA"/>
              </w:rPr>
            </w:pPr>
          </w:p>
        </w:tc>
        <w:tc>
          <w:tcPr>
            <w:tcW w:w="7937" w:type="dxa"/>
          </w:tcPr>
          <w:p w14:paraId="483F757F" w14:textId="2E001E4E" w:rsidR="003012E0" w:rsidRPr="00A317D7" w:rsidRDefault="003012E0" w:rsidP="00DF11B0">
            <w:pPr>
              <w:rPr>
                <w:rFonts w:eastAsia="Calibri"/>
                <w:kern w:val="0"/>
                <w:sz w:val="24"/>
                <w:szCs w:val="24"/>
                <w:lang w:val="fr-CA" w:eastAsia="en-CA"/>
              </w:rPr>
            </w:pPr>
            <w:r w:rsidRPr="003B653D">
              <w:rPr>
                <w:rFonts w:eastAsia="Calibri"/>
                <w:kern w:val="0"/>
                <w:szCs w:val="24"/>
                <w:lang w:val="fr-CA" w:eastAsia="en-CA"/>
              </w:rPr>
              <w:t xml:space="preserve">Nye Thomas, </w:t>
            </w:r>
            <w:r w:rsidR="00DF11B0" w:rsidRPr="003B653D">
              <w:rPr>
                <w:rFonts w:eastAsia="Calibri"/>
                <w:kern w:val="0"/>
                <w:szCs w:val="24"/>
                <w:lang w:val="fr-CA" w:eastAsia="en-CA"/>
              </w:rPr>
              <w:t>directeur général</w:t>
            </w:r>
            <w:r w:rsidRPr="003B653D">
              <w:rPr>
                <w:rFonts w:eastAsia="Calibri"/>
                <w:kern w:val="0"/>
                <w:szCs w:val="24"/>
                <w:lang w:val="fr-CA" w:eastAsia="en-CA"/>
              </w:rPr>
              <w:t xml:space="preserve">, </w:t>
            </w:r>
            <w:r w:rsidR="00DF11B0" w:rsidRPr="003B653D">
              <w:rPr>
                <w:rFonts w:eastAsia="Calibri"/>
                <w:kern w:val="0"/>
                <w:szCs w:val="24"/>
                <w:lang w:val="fr-CA" w:eastAsia="en-CA"/>
              </w:rPr>
              <w:t>CDO</w:t>
            </w:r>
            <w:r w:rsidR="002B1497" w:rsidRPr="003B653D">
              <w:rPr>
                <w:rFonts w:eastAsia="Calibri"/>
                <w:kern w:val="0"/>
                <w:szCs w:val="24"/>
                <w:lang w:val="fr-CA" w:eastAsia="en-CA"/>
              </w:rPr>
              <w:br/>
              <w:t xml:space="preserve">Ryan Fritsch, </w:t>
            </w:r>
            <w:r w:rsidR="00DF11B0" w:rsidRPr="003B653D">
              <w:rPr>
                <w:rFonts w:eastAsia="Calibri"/>
                <w:kern w:val="0"/>
                <w:szCs w:val="24"/>
                <w:lang w:val="fr-CA" w:eastAsia="en-CA"/>
              </w:rPr>
              <w:t>avocat</w:t>
            </w:r>
            <w:r w:rsidR="002B1497" w:rsidRPr="003B653D">
              <w:rPr>
                <w:rFonts w:eastAsia="Calibri"/>
                <w:kern w:val="0"/>
                <w:szCs w:val="24"/>
                <w:lang w:val="fr-CA" w:eastAsia="en-CA"/>
              </w:rPr>
              <w:t xml:space="preserve">, </w:t>
            </w:r>
            <w:r w:rsidR="00DF11B0" w:rsidRPr="003B653D">
              <w:rPr>
                <w:rFonts w:eastAsia="Calibri"/>
                <w:kern w:val="0"/>
                <w:szCs w:val="24"/>
                <w:lang w:val="fr-CA" w:eastAsia="en-CA"/>
              </w:rPr>
              <w:t>CDO</w:t>
            </w:r>
          </w:p>
        </w:tc>
      </w:tr>
      <w:tr w:rsidR="003012E0" w:rsidRPr="00A610A1" w14:paraId="61DBD201" w14:textId="77777777" w:rsidTr="00A317D7">
        <w:tc>
          <w:tcPr>
            <w:tcW w:w="1413" w:type="dxa"/>
          </w:tcPr>
          <w:p w14:paraId="10AE537E" w14:textId="77777777" w:rsidR="003012E0" w:rsidRPr="00A317D7" w:rsidRDefault="003012E0" w:rsidP="00A317D7">
            <w:pPr>
              <w:rPr>
                <w:rFonts w:eastAsia="Calibri"/>
                <w:bCs/>
                <w:kern w:val="0"/>
                <w:sz w:val="24"/>
                <w:szCs w:val="24"/>
                <w:lang w:val="fr-CA" w:eastAsia="en-CA"/>
              </w:rPr>
            </w:pPr>
          </w:p>
        </w:tc>
        <w:tc>
          <w:tcPr>
            <w:tcW w:w="7937" w:type="dxa"/>
          </w:tcPr>
          <w:p w14:paraId="0AC5D07C" w14:textId="77777777" w:rsidR="003012E0" w:rsidRPr="00A317D7" w:rsidRDefault="003012E0" w:rsidP="00A317D7">
            <w:pPr>
              <w:rPr>
                <w:rFonts w:eastAsia="Calibri"/>
                <w:kern w:val="0"/>
                <w:sz w:val="24"/>
                <w:szCs w:val="24"/>
                <w:lang w:val="fr-CA" w:eastAsia="en-CA"/>
              </w:rPr>
            </w:pPr>
          </w:p>
        </w:tc>
      </w:tr>
      <w:tr w:rsidR="003012E0" w:rsidRPr="00A610A1" w14:paraId="2023E494" w14:textId="77777777" w:rsidTr="00A317D7">
        <w:tc>
          <w:tcPr>
            <w:tcW w:w="1413" w:type="dxa"/>
          </w:tcPr>
          <w:p w14:paraId="4914499A" w14:textId="0D2CF25E" w:rsidR="003012E0" w:rsidRPr="00A317D7" w:rsidRDefault="00F43A3F" w:rsidP="00A317D7">
            <w:pPr>
              <w:rPr>
                <w:rFonts w:eastAsia="Calibri"/>
                <w:bCs/>
                <w:kern w:val="0"/>
                <w:sz w:val="24"/>
                <w:szCs w:val="24"/>
                <w:lang w:val="fr-CA" w:eastAsia="en-CA"/>
              </w:rPr>
            </w:pPr>
            <w:r>
              <w:rPr>
                <w:rFonts w:eastAsia="Calibri"/>
                <w:bCs/>
                <w:kern w:val="0"/>
                <w:sz w:val="24"/>
                <w:szCs w:val="24"/>
                <w:lang w:val="fr-CA" w:eastAsia="en-CA"/>
              </w:rPr>
              <w:t xml:space="preserve">Rapport </w:t>
            </w:r>
            <w:r w:rsidR="003012E0" w:rsidRPr="00A317D7">
              <w:rPr>
                <w:rFonts w:eastAsia="Calibri"/>
                <w:bCs/>
                <w:kern w:val="0"/>
                <w:sz w:val="24"/>
                <w:szCs w:val="24"/>
                <w:lang w:val="fr-CA" w:eastAsia="en-CA"/>
              </w:rPr>
              <w:t>2</w:t>
            </w:r>
          </w:p>
        </w:tc>
        <w:tc>
          <w:tcPr>
            <w:tcW w:w="7937" w:type="dxa"/>
          </w:tcPr>
          <w:p w14:paraId="2A587F99" w14:textId="75B6A6CB" w:rsidR="003012E0" w:rsidRPr="00DF11B0" w:rsidRDefault="00DF11B0" w:rsidP="00DF11B0">
            <w:pPr>
              <w:rPr>
                <w:rFonts w:eastAsia="Calibri"/>
                <w:b/>
                <w:bCs/>
                <w:i/>
                <w:iCs/>
                <w:kern w:val="0"/>
                <w:sz w:val="24"/>
                <w:szCs w:val="24"/>
                <w:lang w:val="fr-CA" w:eastAsia="en-CA"/>
              </w:rPr>
            </w:pPr>
            <w:r>
              <w:rPr>
                <w:rFonts w:eastAsia="Calibri"/>
                <w:b/>
                <w:bCs/>
                <w:i/>
                <w:iCs/>
                <w:kern w:val="0"/>
                <w:sz w:val="24"/>
                <w:szCs w:val="24"/>
                <w:lang w:val="fr-CA" w:eastAsia="en-CA"/>
              </w:rPr>
              <w:t>L’utilisation de</w:t>
            </w:r>
            <w:r w:rsidRPr="00DF11B0">
              <w:rPr>
                <w:rFonts w:eastAsia="Calibri"/>
                <w:b/>
                <w:bCs/>
                <w:i/>
                <w:iCs/>
                <w:kern w:val="0"/>
                <w:sz w:val="24"/>
                <w:szCs w:val="24"/>
                <w:lang w:val="fr-CA" w:eastAsia="en-CA"/>
              </w:rPr>
              <w:t xml:space="preserve"> l’IA par les forces de l’ordre</w:t>
            </w:r>
          </w:p>
        </w:tc>
      </w:tr>
      <w:tr w:rsidR="003012E0" w:rsidRPr="00A317D7" w14:paraId="4BC8BFE5" w14:textId="77777777" w:rsidTr="00A317D7">
        <w:tc>
          <w:tcPr>
            <w:tcW w:w="1413" w:type="dxa"/>
          </w:tcPr>
          <w:p w14:paraId="1C04CCFF" w14:textId="77777777" w:rsidR="003012E0" w:rsidRPr="00DF11B0" w:rsidRDefault="003012E0" w:rsidP="00A317D7">
            <w:pPr>
              <w:rPr>
                <w:rFonts w:eastAsia="Calibri"/>
                <w:bCs/>
                <w:kern w:val="0"/>
                <w:sz w:val="24"/>
                <w:szCs w:val="24"/>
                <w:lang w:val="fr-CA" w:eastAsia="en-CA"/>
              </w:rPr>
            </w:pPr>
          </w:p>
        </w:tc>
        <w:tc>
          <w:tcPr>
            <w:tcW w:w="7937" w:type="dxa"/>
          </w:tcPr>
          <w:p w14:paraId="7F391432" w14:textId="312652AE" w:rsidR="003012E0" w:rsidRPr="00A317D7" w:rsidRDefault="003012E0" w:rsidP="00A317D7">
            <w:pPr>
              <w:rPr>
                <w:rFonts w:eastAsia="Calibri"/>
                <w:kern w:val="0"/>
                <w:sz w:val="24"/>
                <w:szCs w:val="24"/>
                <w:lang w:val="fr-CA" w:eastAsia="en-CA"/>
              </w:rPr>
            </w:pPr>
            <w:r w:rsidRPr="003B653D">
              <w:rPr>
                <w:rFonts w:eastAsia="Calibri"/>
                <w:kern w:val="0"/>
                <w:szCs w:val="24"/>
                <w:lang w:val="fr-CA" w:eastAsia="en-CA"/>
              </w:rPr>
              <w:t xml:space="preserve">Ryan Fritsch, </w:t>
            </w:r>
            <w:r w:rsidR="00DF11B0" w:rsidRPr="003B653D">
              <w:rPr>
                <w:rFonts w:eastAsia="Calibri"/>
                <w:kern w:val="0"/>
                <w:szCs w:val="24"/>
                <w:lang w:val="fr-CA" w:eastAsia="en-CA"/>
              </w:rPr>
              <w:t>avocat</w:t>
            </w:r>
            <w:r w:rsidRPr="003B653D">
              <w:rPr>
                <w:rFonts w:eastAsia="Calibri"/>
                <w:kern w:val="0"/>
                <w:szCs w:val="24"/>
                <w:lang w:val="fr-CA" w:eastAsia="en-CA"/>
              </w:rPr>
              <w:t xml:space="preserve">, </w:t>
            </w:r>
            <w:r w:rsidR="00DF11B0" w:rsidRPr="003B653D">
              <w:rPr>
                <w:rFonts w:eastAsia="Calibri"/>
                <w:kern w:val="0"/>
                <w:szCs w:val="24"/>
                <w:lang w:val="fr-CA" w:eastAsia="en-CA"/>
              </w:rPr>
              <w:t>CDO</w:t>
            </w:r>
          </w:p>
        </w:tc>
      </w:tr>
      <w:tr w:rsidR="003012E0" w:rsidRPr="00A317D7" w14:paraId="579620BE" w14:textId="77777777" w:rsidTr="00A317D7">
        <w:tc>
          <w:tcPr>
            <w:tcW w:w="1413" w:type="dxa"/>
          </w:tcPr>
          <w:p w14:paraId="6F768616" w14:textId="77777777" w:rsidR="003012E0" w:rsidRPr="00A317D7" w:rsidRDefault="003012E0" w:rsidP="00A317D7">
            <w:pPr>
              <w:rPr>
                <w:rFonts w:eastAsia="Calibri"/>
                <w:bCs/>
                <w:kern w:val="0"/>
                <w:sz w:val="24"/>
                <w:szCs w:val="24"/>
                <w:lang w:val="fr-CA" w:eastAsia="en-CA"/>
              </w:rPr>
            </w:pPr>
          </w:p>
        </w:tc>
        <w:tc>
          <w:tcPr>
            <w:tcW w:w="7937" w:type="dxa"/>
          </w:tcPr>
          <w:p w14:paraId="3102E84A" w14:textId="77777777" w:rsidR="003012E0" w:rsidRPr="00A317D7" w:rsidRDefault="003012E0" w:rsidP="00A317D7">
            <w:pPr>
              <w:rPr>
                <w:rFonts w:eastAsia="Calibri"/>
                <w:kern w:val="0"/>
                <w:sz w:val="24"/>
                <w:szCs w:val="24"/>
                <w:lang w:val="fr-CA" w:eastAsia="en-CA"/>
              </w:rPr>
            </w:pPr>
          </w:p>
        </w:tc>
      </w:tr>
      <w:tr w:rsidR="003012E0" w:rsidRPr="00A610A1" w14:paraId="35839E54" w14:textId="77777777" w:rsidTr="00A317D7">
        <w:tc>
          <w:tcPr>
            <w:tcW w:w="1413" w:type="dxa"/>
          </w:tcPr>
          <w:p w14:paraId="35730C44" w14:textId="0236D7F9" w:rsidR="003012E0" w:rsidRPr="00A317D7" w:rsidRDefault="00F43A3F" w:rsidP="00A317D7">
            <w:pPr>
              <w:rPr>
                <w:rFonts w:eastAsia="Calibri"/>
                <w:bCs/>
                <w:kern w:val="0"/>
                <w:sz w:val="24"/>
                <w:szCs w:val="24"/>
                <w:lang w:val="fr-CA" w:eastAsia="en-CA"/>
              </w:rPr>
            </w:pPr>
            <w:r>
              <w:rPr>
                <w:rFonts w:eastAsia="Calibri"/>
                <w:bCs/>
                <w:kern w:val="0"/>
                <w:sz w:val="24"/>
                <w:szCs w:val="24"/>
                <w:lang w:val="fr-CA" w:eastAsia="en-CA"/>
              </w:rPr>
              <w:t xml:space="preserve">Rapport </w:t>
            </w:r>
            <w:r w:rsidR="003012E0" w:rsidRPr="00A317D7">
              <w:rPr>
                <w:rFonts w:eastAsia="Calibri"/>
                <w:bCs/>
                <w:kern w:val="0"/>
                <w:sz w:val="24"/>
                <w:szCs w:val="24"/>
                <w:lang w:val="fr-CA" w:eastAsia="en-CA"/>
              </w:rPr>
              <w:t>3</w:t>
            </w:r>
          </w:p>
        </w:tc>
        <w:tc>
          <w:tcPr>
            <w:tcW w:w="7937" w:type="dxa"/>
          </w:tcPr>
          <w:p w14:paraId="19AA4E1E" w14:textId="08DFC66D" w:rsidR="003012E0" w:rsidRPr="00DF11B0" w:rsidRDefault="00DF11B0" w:rsidP="00DF11B0">
            <w:pPr>
              <w:rPr>
                <w:rFonts w:eastAsia="Calibri"/>
                <w:b/>
                <w:bCs/>
                <w:i/>
                <w:iCs/>
                <w:kern w:val="0"/>
                <w:sz w:val="24"/>
                <w:szCs w:val="24"/>
                <w:lang w:val="fr-CA" w:eastAsia="en-CA"/>
              </w:rPr>
            </w:pPr>
            <w:r w:rsidRPr="00DF11B0">
              <w:rPr>
                <w:rFonts w:eastAsia="Calibri"/>
                <w:b/>
                <w:bCs/>
                <w:i/>
                <w:iCs/>
                <w:kern w:val="0"/>
                <w:sz w:val="24"/>
                <w:szCs w:val="24"/>
                <w:lang w:val="fr-CA" w:eastAsia="en-CA"/>
              </w:rPr>
              <w:t xml:space="preserve">L’IA et l’évaluation du risque </w:t>
            </w:r>
            <w:r>
              <w:rPr>
                <w:rFonts w:eastAsia="Calibri"/>
                <w:b/>
                <w:bCs/>
                <w:i/>
                <w:iCs/>
                <w:kern w:val="0"/>
                <w:sz w:val="24"/>
                <w:szCs w:val="24"/>
                <w:lang w:val="fr-CA" w:eastAsia="en-CA"/>
              </w:rPr>
              <w:t xml:space="preserve">associé </w:t>
            </w:r>
            <w:r w:rsidRPr="00DF11B0">
              <w:rPr>
                <w:rFonts w:eastAsia="Calibri"/>
                <w:b/>
                <w:bCs/>
                <w:i/>
                <w:iCs/>
                <w:kern w:val="0"/>
                <w:sz w:val="24"/>
                <w:szCs w:val="24"/>
                <w:lang w:val="fr-CA" w:eastAsia="en-CA"/>
              </w:rPr>
              <w:t xml:space="preserve">à la mise en liberté sous caution, à la détermination </w:t>
            </w:r>
            <w:r>
              <w:rPr>
                <w:rFonts w:eastAsia="Calibri"/>
                <w:b/>
                <w:bCs/>
                <w:i/>
                <w:iCs/>
                <w:kern w:val="0"/>
                <w:sz w:val="24"/>
                <w:szCs w:val="24"/>
                <w:lang w:val="fr-CA" w:eastAsia="en-CA"/>
              </w:rPr>
              <w:t xml:space="preserve">des </w:t>
            </w:r>
            <w:r w:rsidRPr="00DF11B0">
              <w:rPr>
                <w:rFonts w:eastAsia="Calibri"/>
                <w:b/>
                <w:bCs/>
                <w:i/>
                <w:iCs/>
                <w:kern w:val="0"/>
                <w:sz w:val="24"/>
                <w:szCs w:val="24"/>
                <w:lang w:val="fr-CA" w:eastAsia="en-CA"/>
              </w:rPr>
              <w:t>peine</w:t>
            </w:r>
            <w:r>
              <w:rPr>
                <w:rFonts w:eastAsia="Calibri"/>
                <w:b/>
                <w:bCs/>
                <w:i/>
                <w:iCs/>
                <w:kern w:val="0"/>
                <w:sz w:val="24"/>
                <w:szCs w:val="24"/>
                <w:lang w:val="fr-CA" w:eastAsia="en-CA"/>
              </w:rPr>
              <w:t>s</w:t>
            </w:r>
            <w:r w:rsidRPr="00DF11B0">
              <w:rPr>
                <w:rFonts w:eastAsia="Calibri"/>
                <w:b/>
                <w:bCs/>
                <w:i/>
                <w:iCs/>
                <w:kern w:val="0"/>
                <w:sz w:val="24"/>
                <w:szCs w:val="24"/>
                <w:lang w:val="fr-CA" w:eastAsia="en-CA"/>
              </w:rPr>
              <w:t xml:space="preserve"> et à la récidive</w:t>
            </w:r>
          </w:p>
        </w:tc>
      </w:tr>
      <w:tr w:rsidR="003012E0" w:rsidRPr="00A610A1" w14:paraId="51C1B0E3" w14:textId="77777777" w:rsidTr="00A317D7">
        <w:tc>
          <w:tcPr>
            <w:tcW w:w="1413" w:type="dxa"/>
          </w:tcPr>
          <w:p w14:paraId="155DD6A8" w14:textId="77777777" w:rsidR="003012E0" w:rsidRPr="00DF11B0" w:rsidRDefault="003012E0" w:rsidP="00A317D7">
            <w:pPr>
              <w:rPr>
                <w:rFonts w:eastAsia="Calibri"/>
                <w:bCs/>
                <w:kern w:val="0"/>
                <w:sz w:val="24"/>
                <w:szCs w:val="24"/>
                <w:lang w:val="fr-CA" w:eastAsia="en-CA"/>
              </w:rPr>
            </w:pPr>
          </w:p>
        </w:tc>
        <w:tc>
          <w:tcPr>
            <w:tcW w:w="7937" w:type="dxa"/>
          </w:tcPr>
          <w:p w14:paraId="4C00B236" w14:textId="2EB77585" w:rsidR="003012E0" w:rsidRPr="00A317D7" w:rsidRDefault="003012E0" w:rsidP="00DF11B0">
            <w:pPr>
              <w:rPr>
                <w:rFonts w:eastAsia="Calibri"/>
                <w:kern w:val="0"/>
                <w:sz w:val="24"/>
                <w:szCs w:val="24"/>
                <w:lang w:val="fr-CA" w:eastAsia="en-CA"/>
              </w:rPr>
            </w:pPr>
            <w:r w:rsidRPr="00A317D7">
              <w:rPr>
                <w:lang w:val="fr-CA"/>
              </w:rPr>
              <w:t xml:space="preserve">Armando D’Andrea, </w:t>
            </w:r>
            <w:r w:rsidR="00DF11B0" w:rsidRPr="00DF11B0">
              <w:rPr>
                <w:lang w:val="fr-CA"/>
              </w:rPr>
              <w:t>avocat-conseil,</w:t>
            </w:r>
            <w:r w:rsidRPr="00A317D7">
              <w:rPr>
                <w:lang w:val="fr-CA"/>
              </w:rPr>
              <w:t xml:space="preserve"> </w:t>
            </w:r>
            <w:r w:rsidR="00DF11B0">
              <w:rPr>
                <w:lang w:val="fr-CA"/>
              </w:rPr>
              <w:t>bureau p</w:t>
            </w:r>
            <w:r w:rsidRPr="00A317D7">
              <w:rPr>
                <w:lang w:val="fr-CA"/>
              </w:rPr>
              <w:t xml:space="preserve">rovincial, </w:t>
            </w:r>
            <w:r w:rsidR="00DF11B0">
              <w:rPr>
                <w:lang w:val="fr-CA"/>
              </w:rPr>
              <w:t xml:space="preserve">Aide juridique </w:t>
            </w:r>
            <w:r w:rsidRPr="00A317D7">
              <w:rPr>
                <w:lang w:val="fr-CA"/>
              </w:rPr>
              <w:t>Ontario</w:t>
            </w:r>
            <w:r w:rsidRPr="00A317D7">
              <w:rPr>
                <w:lang w:val="fr-CA"/>
              </w:rPr>
              <w:br/>
              <w:t xml:space="preserve">Gideon Christian, </w:t>
            </w:r>
            <w:r w:rsidR="00DF11B0">
              <w:rPr>
                <w:lang w:val="fr-CA"/>
              </w:rPr>
              <w:t>professeur de droit</w:t>
            </w:r>
            <w:r w:rsidRPr="00A317D7">
              <w:rPr>
                <w:lang w:val="fr-CA"/>
              </w:rPr>
              <w:t xml:space="preserve">, </w:t>
            </w:r>
            <w:r w:rsidR="00DF11B0">
              <w:rPr>
                <w:lang w:val="fr-CA"/>
              </w:rPr>
              <w:t>faculté de droit</w:t>
            </w:r>
            <w:r w:rsidRPr="00A317D7">
              <w:rPr>
                <w:lang w:val="fr-CA"/>
              </w:rPr>
              <w:t>, Universit</w:t>
            </w:r>
            <w:r w:rsidR="00DF11B0">
              <w:rPr>
                <w:lang w:val="fr-CA"/>
              </w:rPr>
              <w:t xml:space="preserve">é de </w:t>
            </w:r>
            <w:r w:rsidRPr="00A317D7">
              <w:rPr>
                <w:lang w:val="fr-CA"/>
              </w:rPr>
              <w:t>Calgary</w:t>
            </w:r>
          </w:p>
        </w:tc>
      </w:tr>
      <w:tr w:rsidR="003012E0" w:rsidRPr="00A610A1" w14:paraId="7D1946E0" w14:textId="77777777" w:rsidTr="00A317D7">
        <w:tc>
          <w:tcPr>
            <w:tcW w:w="1413" w:type="dxa"/>
          </w:tcPr>
          <w:p w14:paraId="0EABC431" w14:textId="77777777" w:rsidR="003012E0" w:rsidRPr="00A317D7" w:rsidRDefault="003012E0" w:rsidP="00A317D7">
            <w:pPr>
              <w:rPr>
                <w:rFonts w:eastAsia="Calibri"/>
                <w:bCs/>
                <w:kern w:val="0"/>
                <w:sz w:val="24"/>
                <w:szCs w:val="24"/>
                <w:lang w:val="fr-CA" w:eastAsia="en-CA"/>
              </w:rPr>
            </w:pPr>
          </w:p>
        </w:tc>
        <w:tc>
          <w:tcPr>
            <w:tcW w:w="7937" w:type="dxa"/>
          </w:tcPr>
          <w:p w14:paraId="6E924977" w14:textId="77777777" w:rsidR="003012E0" w:rsidRPr="00A317D7" w:rsidRDefault="003012E0" w:rsidP="00A317D7">
            <w:pPr>
              <w:rPr>
                <w:rFonts w:eastAsia="Calibri"/>
                <w:kern w:val="0"/>
                <w:sz w:val="24"/>
                <w:szCs w:val="24"/>
                <w:lang w:val="fr-CA" w:eastAsia="en-CA"/>
              </w:rPr>
            </w:pPr>
          </w:p>
        </w:tc>
      </w:tr>
      <w:tr w:rsidR="003012E0" w:rsidRPr="00A610A1" w14:paraId="7704D2B7" w14:textId="77777777" w:rsidTr="00A317D7">
        <w:tc>
          <w:tcPr>
            <w:tcW w:w="1413" w:type="dxa"/>
          </w:tcPr>
          <w:p w14:paraId="4DC0E7C0" w14:textId="0D3B359F" w:rsidR="003012E0" w:rsidRPr="00A317D7" w:rsidRDefault="00F43A3F" w:rsidP="00A317D7">
            <w:pPr>
              <w:rPr>
                <w:rFonts w:eastAsia="Calibri"/>
                <w:bCs/>
                <w:kern w:val="0"/>
                <w:sz w:val="24"/>
                <w:szCs w:val="24"/>
                <w:lang w:val="fr-CA" w:eastAsia="en-CA"/>
              </w:rPr>
            </w:pPr>
            <w:r>
              <w:rPr>
                <w:rFonts w:eastAsia="Calibri"/>
                <w:bCs/>
                <w:kern w:val="0"/>
                <w:sz w:val="24"/>
                <w:szCs w:val="24"/>
                <w:lang w:val="fr-CA" w:eastAsia="en-CA"/>
              </w:rPr>
              <w:t xml:space="preserve">Rapport </w:t>
            </w:r>
            <w:r w:rsidR="003012E0" w:rsidRPr="00A317D7">
              <w:rPr>
                <w:rFonts w:eastAsia="Calibri"/>
                <w:bCs/>
                <w:kern w:val="0"/>
                <w:sz w:val="24"/>
                <w:szCs w:val="24"/>
                <w:lang w:val="fr-CA" w:eastAsia="en-CA"/>
              </w:rPr>
              <w:t>4</w:t>
            </w:r>
          </w:p>
        </w:tc>
        <w:tc>
          <w:tcPr>
            <w:tcW w:w="7937" w:type="dxa"/>
          </w:tcPr>
          <w:p w14:paraId="7C878BA2" w14:textId="04B0C007" w:rsidR="003012E0" w:rsidRPr="00DF11B0" w:rsidRDefault="00DF11B0" w:rsidP="00DF11B0">
            <w:pPr>
              <w:rPr>
                <w:rFonts w:eastAsia="Calibri"/>
                <w:b/>
                <w:bCs/>
                <w:i/>
                <w:iCs/>
                <w:kern w:val="0"/>
                <w:sz w:val="24"/>
                <w:szCs w:val="24"/>
                <w:lang w:val="fr-CA" w:eastAsia="en-CA"/>
              </w:rPr>
            </w:pPr>
            <w:r w:rsidRPr="00DF11B0">
              <w:rPr>
                <w:rFonts w:eastAsia="Calibri"/>
                <w:b/>
                <w:bCs/>
                <w:i/>
                <w:iCs/>
                <w:kern w:val="0"/>
                <w:sz w:val="24"/>
                <w:szCs w:val="24"/>
                <w:lang w:val="fr-CA" w:eastAsia="en-CA"/>
              </w:rPr>
              <w:t xml:space="preserve">L’IA </w:t>
            </w:r>
            <w:r>
              <w:rPr>
                <w:rFonts w:eastAsia="Calibri"/>
                <w:b/>
                <w:bCs/>
                <w:i/>
                <w:iCs/>
                <w:kern w:val="0"/>
                <w:sz w:val="24"/>
                <w:szCs w:val="24"/>
                <w:lang w:val="fr-CA" w:eastAsia="en-CA"/>
              </w:rPr>
              <w:t>d</w:t>
            </w:r>
            <w:r w:rsidRPr="00DF11B0">
              <w:rPr>
                <w:rFonts w:eastAsia="Calibri"/>
                <w:b/>
                <w:bCs/>
                <w:i/>
                <w:iCs/>
                <w:kern w:val="0"/>
                <w:sz w:val="24"/>
                <w:szCs w:val="24"/>
                <w:lang w:val="fr-CA" w:eastAsia="en-CA"/>
              </w:rPr>
              <w:t>urant le procès et en ap</w:t>
            </w:r>
            <w:r>
              <w:rPr>
                <w:rFonts w:eastAsia="Calibri"/>
                <w:b/>
                <w:bCs/>
                <w:i/>
                <w:iCs/>
                <w:kern w:val="0"/>
                <w:sz w:val="24"/>
                <w:szCs w:val="24"/>
                <w:lang w:val="fr-CA" w:eastAsia="en-CA"/>
              </w:rPr>
              <w:t>p</w:t>
            </w:r>
            <w:r w:rsidRPr="00DF11B0">
              <w:rPr>
                <w:rFonts w:eastAsia="Calibri"/>
                <w:b/>
                <w:bCs/>
                <w:i/>
                <w:iCs/>
                <w:kern w:val="0"/>
                <w:sz w:val="24"/>
                <w:szCs w:val="24"/>
                <w:lang w:val="fr-CA" w:eastAsia="en-CA"/>
              </w:rPr>
              <w:t>el</w:t>
            </w:r>
          </w:p>
        </w:tc>
      </w:tr>
      <w:tr w:rsidR="003012E0" w:rsidRPr="00A610A1" w14:paraId="76EDDC02" w14:textId="77777777" w:rsidTr="00A317D7">
        <w:tc>
          <w:tcPr>
            <w:tcW w:w="1413" w:type="dxa"/>
          </w:tcPr>
          <w:p w14:paraId="0F14A2E8" w14:textId="77777777" w:rsidR="003012E0" w:rsidRPr="00DF11B0" w:rsidRDefault="003012E0" w:rsidP="00A317D7">
            <w:pPr>
              <w:rPr>
                <w:rFonts w:eastAsia="Calibri"/>
                <w:bCs/>
                <w:kern w:val="0"/>
                <w:sz w:val="24"/>
                <w:szCs w:val="24"/>
                <w:lang w:val="fr-CA" w:eastAsia="en-CA"/>
              </w:rPr>
            </w:pPr>
          </w:p>
        </w:tc>
        <w:tc>
          <w:tcPr>
            <w:tcW w:w="7937" w:type="dxa"/>
          </w:tcPr>
          <w:p w14:paraId="25BA4B77" w14:textId="0B2E4D09" w:rsidR="003012E0" w:rsidRPr="00A317D7" w:rsidRDefault="00C62E0C" w:rsidP="009438DA">
            <w:pPr>
              <w:rPr>
                <w:rFonts w:eastAsia="Calibri"/>
                <w:kern w:val="0"/>
                <w:sz w:val="24"/>
                <w:szCs w:val="24"/>
                <w:lang w:val="fr-CA" w:eastAsia="en-CA"/>
              </w:rPr>
            </w:pPr>
            <w:r w:rsidRPr="003B653D">
              <w:rPr>
                <w:rFonts w:eastAsia="Calibri"/>
                <w:kern w:val="0"/>
                <w:szCs w:val="24"/>
                <w:lang w:val="fr-CA" w:eastAsia="en-CA"/>
              </w:rPr>
              <w:t>Paula Thompson, Initiatives stratégiques, ministère du Procureur général</w:t>
            </w:r>
            <w:r w:rsidR="009438DA" w:rsidRPr="009438DA">
              <w:rPr>
                <w:rFonts w:eastAsia="Calibri"/>
                <w:kern w:val="0"/>
                <w:sz w:val="24"/>
                <w:szCs w:val="24"/>
                <w:lang w:val="fr-CA" w:eastAsia="en-CA"/>
              </w:rPr>
              <w:t xml:space="preserve"> </w:t>
            </w:r>
            <w:r w:rsidR="003012E0" w:rsidRPr="00A317D7">
              <w:rPr>
                <w:rFonts w:eastAsia="Calibri"/>
                <w:kern w:val="0"/>
                <w:sz w:val="24"/>
                <w:szCs w:val="24"/>
                <w:lang w:val="fr-CA" w:eastAsia="en-CA"/>
              </w:rPr>
              <w:br/>
            </w:r>
            <w:r w:rsidR="003012E0" w:rsidRPr="00A317D7">
              <w:rPr>
                <w:lang w:val="fr-CA"/>
              </w:rPr>
              <w:t xml:space="preserve">Eric Neubauer, </w:t>
            </w:r>
            <w:r w:rsidR="009438DA" w:rsidRPr="009438DA">
              <w:rPr>
                <w:lang w:val="fr-CA"/>
              </w:rPr>
              <w:t>avocat de la défense, Neubauer Law, et coprésident, Criminal Lawyers Association Technology Committee</w:t>
            </w:r>
          </w:p>
        </w:tc>
      </w:tr>
      <w:tr w:rsidR="003012E0" w:rsidRPr="00A610A1" w14:paraId="00D250F6" w14:textId="77777777" w:rsidTr="00A317D7">
        <w:tc>
          <w:tcPr>
            <w:tcW w:w="1413" w:type="dxa"/>
          </w:tcPr>
          <w:p w14:paraId="1E1E3961" w14:textId="77777777" w:rsidR="003012E0" w:rsidRPr="00A317D7" w:rsidRDefault="003012E0" w:rsidP="00A317D7">
            <w:pPr>
              <w:rPr>
                <w:rFonts w:eastAsia="Calibri"/>
                <w:bCs/>
                <w:kern w:val="0"/>
                <w:sz w:val="24"/>
                <w:szCs w:val="24"/>
                <w:lang w:val="fr-CA" w:eastAsia="en-CA"/>
              </w:rPr>
            </w:pPr>
          </w:p>
        </w:tc>
        <w:tc>
          <w:tcPr>
            <w:tcW w:w="7937" w:type="dxa"/>
          </w:tcPr>
          <w:p w14:paraId="088C136F" w14:textId="77777777" w:rsidR="003012E0" w:rsidRPr="00A317D7" w:rsidRDefault="003012E0" w:rsidP="00A317D7">
            <w:pPr>
              <w:rPr>
                <w:rFonts w:eastAsia="Calibri"/>
                <w:kern w:val="0"/>
                <w:sz w:val="24"/>
                <w:szCs w:val="24"/>
                <w:lang w:val="fr-CA" w:eastAsia="en-CA"/>
              </w:rPr>
            </w:pPr>
          </w:p>
        </w:tc>
      </w:tr>
      <w:tr w:rsidR="003012E0" w:rsidRPr="00A610A1" w14:paraId="49EFE5A6" w14:textId="77777777" w:rsidTr="00A317D7">
        <w:tc>
          <w:tcPr>
            <w:tcW w:w="1413" w:type="dxa"/>
          </w:tcPr>
          <w:p w14:paraId="1F78935C" w14:textId="07756830" w:rsidR="003012E0" w:rsidRPr="00A317D7" w:rsidRDefault="00F43A3F" w:rsidP="00A317D7">
            <w:pPr>
              <w:rPr>
                <w:rFonts w:eastAsia="Calibri"/>
                <w:bCs/>
                <w:kern w:val="0"/>
                <w:sz w:val="24"/>
                <w:szCs w:val="24"/>
                <w:lang w:val="fr-CA" w:eastAsia="en-CA"/>
              </w:rPr>
            </w:pPr>
            <w:r>
              <w:rPr>
                <w:rFonts w:eastAsia="Calibri"/>
                <w:bCs/>
                <w:kern w:val="0"/>
                <w:sz w:val="24"/>
                <w:szCs w:val="24"/>
                <w:lang w:val="fr-CA" w:eastAsia="en-CA"/>
              </w:rPr>
              <w:t xml:space="preserve">Rapport </w:t>
            </w:r>
            <w:r w:rsidR="003012E0" w:rsidRPr="00A317D7">
              <w:rPr>
                <w:rFonts w:eastAsia="Calibri"/>
                <w:bCs/>
                <w:kern w:val="0"/>
                <w:sz w:val="24"/>
                <w:szCs w:val="24"/>
                <w:lang w:val="fr-CA" w:eastAsia="en-CA"/>
              </w:rPr>
              <w:t>5</w:t>
            </w:r>
          </w:p>
        </w:tc>
        <w:tc>
          <w:tcPr>
            <w:tcW w:w="7937" w:type="dxa"/>
          </w:tcPr>
          <w:p w14:paraId="6FB9E76B" w14:textId="4F4F1470" w:rsidR="003012E0" w:rsidRPr="00A317D7" w:rsidRDefault="009438DA" w:rsidP="00E3741E">
            <w:pPr>
              <w:rPr>
                <w:rFonts w:eastAsia="Calibri"/>
                <w:b/>
                <w:bCs/>
                <w:i/>
                <w:iCs/>
                <w:kern w:val="0"/>
                <w:sz w:val="24"/>
                <w:szCs w:val="24"/>
                <w:lang w:val="fr-CA" w:eastAsia="en-CA"/>
              </w:rPr>
            </w:pPr>
            <w:r w:rsidRPr="009438DA">
              <w:rPr>
                <w:rFonts w:eastAsia="Calibri"/>
                <w:b/>
                <w:bCs/>
                <w:i/>
                <w:iCs/>
                <w:kern w:val="0"/>
                <w:sz w:val="24"/>
                <w:szCs w:val="24"/>
                <w:lang w:val="fr-CA" w:eastAsia="en-CA"/>
              </w:rPr>
              <w:t xml:space="preserve">L’IA et les mécanismes de surveillance systémique </w:t>
            </w:r>
            <w:r>
              <w:rPr>
                <w:rFonts w:eastAsia="Calibri"/>
                <w:b/>
                <w:bCs/>
                <w:i/>
                <w:iCs/>
                <w:kern w:val="0"/>
                <w:sz w:val="24"/>
                <w:szCs w:val="24"/>
                <w:lang w:val="fr-CA" w:eastAsia="en-CA"/>
              </w:rPr>
              <w:t>dans le système de justice pénale</w:t>
            </w:r>
          </w:p>
        </w:tc>
      </w:tr>
      <w:tr w:rsidR="003012E0" w:rsidRPr="00A610A1" w14:paraId="1EB61C94" w14:textId="77777777" w:rsidTr="00A317D7">
        <w:tc>
          <w:tcPr>
            <w:tcW w:w="1413" w:type="dxa"/>
          </w:tcPr>
          <w:p w14:paraId="1349F76F" w14:textId="77777777" w:rsidR="003012E0" w:rsidRPr="00A317D7" w:rsidRDefault="003012E0" w:rsidP="00A317D7">
            <w:pPr>
              <w:rPr>
                <w:rFonts w:eastAsia="Calibri"/>
                <w:bCs/>
                <w:kern w:val="0"/>
                <w:sz w:val="24"/>
                <w:szCs w:val="24"/>
                <w:lang w:val="fr-CA" w:eastAsia="en-CA"/>
              </w:rPr>
            </w:pPr>
          </w:p>
        </w:tc>
        <w:tc>
          <w:tcPr>
            <w:tcW w:w="7937" w:type="dxa"/>
          </w:tcPr>
          <w:p w14:paraId="17A626E8" w14:textId="3E87DB9E" w:rsidR="003012E0" w:rsidRPr="003B653D" w:rsidRDefault="003012E0" w:rsidP="00A317D7">
            <w:pPr>
              <w:rPr>
                <w:rFonts w:eastAsia="Calibri"/>
                <w:kern w:val="0"/>
                <w:szCs w:val="24"/>
                <w:lang w:val="fr-CA" w:eastAsia="en-CA"/>
              </w:rPr>
            </w:pPr>
            <w:r w:rsidRPr="003B653D">
              <w:rPr>
                <w:rFonts w:eastAsia="Calibri"/>
                <w:kern w:val="0"/>
                <w:szCs w:val="24"/>
                <w:lang w:val="fr-CA" w:eastAsia="en-CA"/>
              </w:rPr>
              <w:t xml:space="preserve">Brenda McPhail, </w:t>
            </w:r>
            <w:r w:rsidR="009438DA" w:rsidRPr="003B653D">
              <w:rPr>
                <w:rFonts w:eastAsia="Calibri"/>
                <w:kern w:val="0"/>
                <w:szCs w:val="24"/>
                <w:lang w:val="fr-CA" w:eastAsia="en-CA"/>
              </w:rPr>
              <w:t xml:space="preserve">conseillère principale en technologie et en politiques, Commissaire à l’information et à la protection de la vie privée de l’Ontario </w:t>
            </w:r>
            <w:r w:rsidRPr="003B653D">
              <w:rPr>
                <w:rFonts w:eastAsia="Calibri"/>
                <w:kern w:val="0"/>
                <w:szCs w:val="24"/>
                <w:lang w:val="fr-CA" w:eastAsia="en-CA"/>
              </w:rPr>
              <w:br/>
              <w:t xml:space="preserve">Marcus Pratt, </w:t>
            </w:r>
            <w:r w:rsidR="009438DA" w:rsidRPr="003B653D">
              <w:rPr>
                <w:rFonts w:eastAsia="Calibri"/>
                <w:kern w:val="0"/>
                <w:szCs w:val="24"/>
                <w:lang w:val="fr-CA" w:eastAsia="en-CA"/>
              </w:rPr>
              <w:t>conseiller principal, Service des politiques, Aide juridique Ontario et président du comité des causes types d’AJO</w:t>
            </w:r>
          </w:p>
          <w:p w14:paraId="5C2F53FE" w14:textId="721DAD0D" w:rsidR="003012E0" w:rsidRPr="009438DA" w:rsidRDefault="003012E0" w:rsidP="00A317D7">
            <w:pPr>
              <w:rPr>
                <w:rFonts w:eastAsia="Calibri"/>
                <w:kern w:val="0"/>
                <w:sz w:val="24"/>
                <w:szCs w:val="24"/>
                <w:lang w:val="fr-CA" w:eastAsia="en-CA"/>
              </w:rPr>
            </w:pPr>
            <w:r w:rsidRPr="003B653D">
              <w:rPr>
                <w:rFonts w:eastAsia="Calibri"/>
                <w:kern w:val="0"/>
                <w:szCs w:val="24"/>
                <w:lang w:val="fr-CA" w:eastAsia="en-CA"/>
              </w:rPr>
              <w:t xml:space="preserve">Jagtaran Singh, </w:t>
            </w:r>
            <w:r w:rsidR="009438DA" w:rsidRPr="003B653D">
              <w:rPr>
                <w:rFonts w:eastAsia="Calibri"/>
                <w:kern w:val="0"/>
                <w:szCs w:val="24"/>
                <w:lang w:val="fr-CA" w:eastAsia="en-CA"/>
              </w:rPr>
              <w:t>conseiller juridique, Commission ontarienne des droits de la personne</w:t>
            </w:r>
          </w:p>
        </w:tc>
      </w:tr>
      <w:tr w:rsidR="003012E0" w:rsidRPr="00A610A1" w14:paraId="1C9D2831" w14:textId="77777777" w:rsidTr="00A317D7">
        <w:tc>
          <w:tcPr>
            <w:tcW w:w="1413" w:type="dxa"/>
          </w:tcPr>
          <w:p w14:paraId="4B73236B" w14:textId="77777777" w:rsidR="003012E0" w:rsidRPr="009438DA" w:rsidRDefault="003012E0" w:rsidP="00A317D7">
            <w:pPr>
              <w:rPr>
                <w:rFonts w:eastAsia="Calibri"/>
                <w:bCs/>
                <w:kern w:val="0"/>
                <w:sz w:val="24"/>
                <w:szCs w:val="24"/>
                <w:lang w:val="fr-CA" w:eastAsia="en-CA"/>
              </w:rPr>
            </w:pPr>
          </w:p>
        </w:tc>
        <w:tc>
          <w:tcPr>
            <w:tcW w:w="7937" w:type="dxa"/>
          </w:tcPr>
          <w:p w14:paraId="1B22AEEB" w14:textId="77777777" w:rsidR="003012E0" w:rsidRPr="009438DA" w:rsidRDefault="003012E0" w:rsidP="00A317D7">
            <w:pPr>
              <w:rPr>
                <w:rFonts w:eastAsia="Calibri"/>
                <w:kern w:val="0"/>
                <w:sz w:val="24"/>
                <w:szCs w:val="24"/>
                <w:lang w:val="fr-CA" w:eastAsia="en-CA"/>
              </w:rPr>
            </w:pPr>
          </w:p>
        </w:tc>
      </w:tr>
      <w:tr w:rsidR="003012E0" w:rsidRPr="00A610A1" w14:paraId="28FA1BB6" w14:textId="77777777" w:rsidTr="00A317D7">
        <w:tc>
          <w:tcPr>
            <w:tcW w:w="1413" w:type="dxa"/>
          </w:tcPr>
          <w:p w14:paraId="541BA9D4" w14:textId="0041F4AB" w:rsidR="003012E0" w:rsidRPr="00A317D7" w:rsidRDefault="003012E0" w:rsidP="00A317D7">
            <w:pPr>
              <w:rPr>
                <w:rFonts w:eastAsia="Calibri"/>
                <w:bCs/>
                <w:kern w:val="0"/>
                <w:sz w:val="24"/>
                <w:szCs w:val="24"/>
                <w:lang w:val="fr-CA" w:eastAsia="en-CA"/>
              </w:rPr>
            </w:pPr>
            <w:r w:rsidRPr="00A317D7">
              <w:rPr>
                <w:rFonts w:eastAsia="Calibri"/>
                <w:bCs/>
                <w:kern w:val="0"/>
                <w:sz w:val="24"/>
                <w:szCs w:val="24"/>
                <w:lang w:val="fr-CA" w:eastAsia="en-CA"/>
              </w:rPr>
              <w:t>Annex</w:t>
            </w:r>
            <w:r w:rsidR="00844DE2">
              <w:rPr>
                <w:rFonts w:eastAsia="Calibri"/>
                <w:bCs/>
                <w:kern w:val="0"/>
                <w:sz w:val="24"/>
                <w:szCs w:val="24"/>
                <w:lang w:val="fr-CA" w:eastAsia="en-CA"/>
              </w:rPr>
              <w:t>e</w:t>
            </w:r>
            <w:r w:rsidRPr="00A317D7">
              <w:rPr>
                <w:rFonts w:eastAsia="Calibri"/>
                <w:bCs/>
                <w:kern w:val="0"/>
                <w:sz w:val="24"/>
                <w:szCs w:val="24"/>
                <w:lang w:val="fr-CA" w:eastAsia="en-CA"/>
              </w:rPr>
              <w:t xml:space="preserve"> A</w:t>
            </w:r>
          </w:p>
        </w:tc>
        <w:tc>
          <w:tcPr>
            <w:tcW w:w="7937" w:type="dxa"/>
          </w:tcPr>
          <w:p w14:paraId="444F158A" w14:textId="367AE059" w:rsidR="003012E0" w:rsidRPr="00A317D7" w:rsidRDefault="009438DA" w:rsidP="009438DA">
            <w:pPr>
              <w:rPr>
                <w:rFonts w:eastAsia="Calibri"/>
                <w:b/>
                <w:bCs/>
                <w:i/>
                <w:iCs/>
                <w:kern w:val="0"/>
                <w:sz w:val="24"/>
                <w:szCs w:val="24"/>
                <w:lang w:val="fr-CA" w:eastAsia="en-CA"/>
              </w:rPr>
            </w:pPr>
            <w:r>
              <w:rPr>
                <w:rFonts w:eastAsia="Calibri"/>
                <w:b/>
                <w:bCs/>
                <w:i/>
                <w:iCs/>
                <w:kern w:val="0"/>
                <w:sz w:val="24"/>
                <w:szCs w:val="24"/>
                <w:lang w:val="fr-CA" w:eastAsia="en-CA"/>
              </w:rPr>
              <w:t xml:space="preserve">Sommaire </w:t>
            </w:r>
            <w:r w:rsidRPr="009438DA">
              <w:rPr>
                <w:rFonts w:eastAsia="Calibri"/>
                <w:b/>
                <w:bCs/>
                <w:i/>
                <w:iCs/>
                <w:kern w:val="0"/>
                <w:sz w:val="24"/>
                <w:szCs w:val="24"/>
                <w:lang w:val="fr-CA" w:eastAsia="en-CA"/>
              </w:rPr>
              <w:t>et liste des questions de consultation</w:t>
            </w:r>
          </w:p>
        </w:tc>
      </w:tr>
      <w:tr w:rsidR="003012E0" w:rsidRPr="00A610A1" w14:paraId="3C8A1C93" w14:textId="77777777" w:rsidTr="00A317D7">
        <w:tc>
          <w:tcPr>
            <w:tcW w:w="1413" w:type="dxa"/>
          </w:tcPr>
          <w:p w14:paraId="019CC38C" w14:textId="7D53EBE8" w:rsidR="005E0126" w:rsidRPr="00A317D7" w:rsidRDefault="00D17576" w:rsidP="00A317D7">
            <w:pPr>
              <w:rPr>
                <w:rFonts w:eastAsia="Calibri"/>
                <w:bCs/>
                <w:kern w:val="0"/>
                <w:sz w:val="24"/>
                <w:szCs w:val="24"/>
                <w:lang w:val="fr-CA" w:eastAsia="en-CA"/>
              </w:rPr>
            </w:pPr>
            <w:r w:rsidRPr="00A317D7">
              <w:rPr>
                <w:rFonts w:eastAsia="Calibri"/>
                <w:bCs/>
                <w:kern w:val="0"/>
                <w:sz w:val="24"/>
                <w:szCs w:val="24"/>
                <w:lang w:val="fr-CA" w:eastAsia="en-CA"/>
              </w:rPr>
              <w:br/>
              <w:t>Annex</w:t>
            </w:r>
            <w:r w:rsidR="00844DE2">
              <w:rPr>
                <w:rFonts w:eastAsia="Calibri"/>
                <w:bCs/>
                <w:kern w:val="0"/>
                <w:sz w:val="24"/>
                <w:szCs w:val="24"/>
                <w:lang w:val="fr-CA" w:eastAsia="en-CA"/>
              </w:rPr>
              <w:t>e</w:t>
            </w:r>
            <w:r w:rsidRPr="00A317D7">
              <w:rPr>
                <w:rFonts w:eastAsia="Calibri"/>
                <w:bCs/>
                <w:kern w:val="0"/>
                <w:sz w:val="24"/>
                <w:szCs w:val="24"/>
                <w:lang w:val="fr-CA" w:eastAsia="en-CA"/>
              </w:rPr>
              <w:t xml:space="preserve"> B</w:t>
            </w:r>
          </w:p>
          <w:p w14:paraId="1E05E106" w14:textId="35EDBEF2" w:rsidR="003012E0" w:rsidRPr="00A317D7" w:rsidRDefault="003012E0" w:rsidP="00A317D7">
            <w:pPr>
              <w:rPr>
                <w:rFonts w:eastAsia="Calibri"/>
                <w:bCs/>
                <w:kern w:val="0"/>
                <w:sz w:val="24"/>
                <w:szCs w:val="24"/>
                <w:lang w:val="fr-CA" w:eastAsia="en-CA"/>
              </w:rPr>
            </w:pPr>
          </w:p>
        </w:tc>
        <w:tc>
          <w:tcPr>
            <w:tcW w:w="7937" w:type="dxa"/>
          </w:tcPr>
          <w:p w14:paraId="629656BB" w14:textId="7B10F8A6" w:rsidR="003012E0" w:rsidRPr="00A317D7" w:rsidRDefault="00D17576" w:rsidP="009438DA">
            <w:pPr>
              <w:rPr>
                <w:rFonts w:eastAsia="Calibri"/>
                <w:b/>
                <w:bCs/>
                <w:i/>
                <w:iCs/>
                <w:kern w:val="0"/>
                <w:sz w:val="24"/>
                <w:szCs w:val="24"/>
                <w:lang w:val="fr-CA" w:eastAsia="en-CA"/>
              </w:rPr>
            </w:pPr>
            <w:r w:rsidRPr="00A317D7">
              <w:rPr>
                <w:rFonts w:eastAsia="Calibri"/>
                <w:b/>
                <w:bCs/>
                <w:i/>
                <w:iCs/>
                <w:kern w:val="0"/>
                <w:sz w:val="24"/>
                <w:szCs w:val="24"/>
                <w:lang w:val="fr-CA" w:eastAsia="en-CA"/>
              </w:rPr>
              <w:br/>
            </w:r>
            <w:r w:rsidR="009438DA">
              <w:rPr>
                <w:rFonts w:eastAsia="Calibri"/>
                <w:b/>
                <w:bCs/>
                <w:i/>
                <w:iCs/>
                <w:kern w:val="0"/>
                <w:sz w:val="24"/>
                <w:szCs w:val="24"/>
                <w:lang w:val="fr-CA" w:eastAsia="en-CA"/>
              </w:rPr>
              <w:t xml:space="preserve">Études de cas </w:t>
            </w:r>
            <w:r w:rsidR="006D1BB1">
              <w:rPr>
                <w:rFonts w:eastAsia="Calibri"/>
                <w:b/>
                <w:bCs/>
                <w:i/>
                <w:iCs/>
                <w:kern w:val="0"/>
                <w:sz w:val="24"/>
                <w:szCs w:val="24"/>
                <w:lang w:val="fr-CA" w:eastAsia="en-CA"/>
              </w:rPr>
              <w:t>du projet</w:t>
            </w:r>
          </w:p>
        </w:tc>
      </w:tr>
    </w:tbl>
    <w:p w14:paraId="3381A6C0" w14:textId="17DA8362" w:rsidR="003012E0" w:rsidRPr="006D1BB1" w:rsidRDefault="00C62E0C" w:rsidP="003012E0">
      <w:pPr>
        <w:rPr>
          <w:rFonts w:ascii="Calibri" w:eastAsia="Calibri" w:hAnsi="Calibri" w:cs="Calibri"/>
          <w:lang w:val="fr-CA" w:eastAsia="en-CA"/>
        </w:rPr>
      </w:pPr>
      <w:r>
        <w:rPr>
          <w:rFonts w:ascii="Calibri" w:eastAsia="Calibri" w:hAnsi="Calibri" w:cs="Calibri"/>
          <w:lang w:val="fr-CA" w:eastAsia="en-CA"/>
        </w:rPr>
        <w:t xml:space="preserve">Vous pouvez consulter les documents en ligne au : </w:t>
      </w:r>
      <w:hyperlink r:id="rId25" w:history="1">
        <w:r w:rsidR="003B653D" w:rsidRPr="0098295E">
          <w:rPr>
            <w:rStyle w:val="Hyperlink"/>
            <w:rFonts w:ascii="Calibri" w:eastAsia="Calibri" w:hAnsi="Calibri" w:cs="Calibri"/>
            <w:lang w:val="fr-CA" w:eastAsia="en-CA"/>
          </w:rPr>
          <w:t>www.lco-cdo.org/fr/nos-projets-en-cours/lia-dans-le-systeme-de-justice-penale</w:t>
        </w:r>
      </w:hyperlink>
    </w:p>
    <w:p w14:paraId="79DE01A3" w14:textId="77777777" w:rsidR="00225A92" w:rsidRPr="006D1BB1" w:rsidRDefault="00225A92" w:rsidP="005E0126">
      <w:pPr>
        <w:spacing w:after="0"/>
        <w:rPr>
          <w:rFonts w:ascii="Calibri" w:eastAsia="Calibri" w:hAnsi="Calibri" w:cs="Calibri"/>
          <w:b/>
          <w:lang w:val="fr-CA" w:eastAsia="en-CA"/>
        </w:rPr>
      </w:pPr>
    </w:p>
    <w:p w14:paraId="6D23E7B1" w14:textId="243F5055" w:rsidR="003E2307" w:rsidRPr="00A317D7" w:rsidRDefault="006D1BB1" w:rsidP="005E0126">
      <w:pPr>
        <w:spacing w:after="0"/>
        <w:rPr>
          <w:rFonts w:ascii="Calibri" w:eastAsia="Calibri" w:hAnsi="Calibri" w:cs="Calibri"/>
          <w:b/>
          <w:lang w:val="fr-CA" w:eastAsia="en-CA"/>
        </w:rPr>
      </w:pPr>
      <w:r>
        <w:rPr>
          <w:rFonts w:ascii="Calibri" w:eastAsia="Calibri" w:hAnsi="Calibri" w:cs="Calibri"/>
          <w:b/>
          <w:lang w:val="fr-CA" w:eastAsia="en-CA"/>
        </w:rPr>
        <w:t xml:space="preserve">RÉDACTEURS EN CHEF </w:t>
      </w:r>
    </w:p>
    <w:p w14:paraId="3AC4D059" w14:textId="77777777" w:rsidR="005E0126" w:rsidRPr="00A317D7" w:rsidRDefault="005E0126" w:rsidP="005E0126">
      <w:pPr>
        <w:spacing w:after="0"/>
        <w:rPr>
          <w:rFonts w:ascii="Calibri" w:eastAsia="Calibri" w:hAnsi="Calibri" w:cs="Calibri"/>
          <w:lang w:val="fr-CA" w:eastAsia="en-CA"/>
        </w:rPr>
      </w:pPr>
    </w:p>
    <w:p w14:paraId="75E8A206" w14:textId="08FAFCC4" w:rsidR="005E0126" w:rsidRPr="00A317D7" w:rsidRDefault="003E2307" w:rsidP="005E0126">
      <w:pPr>
        <w:spacing w:after="0"/>
        <w:rPr>
          <w:rFonts w:ascii="Calibri" w:eastAsia="Calibri" w:hAnsi="Calibri" w:cs="Calibri"/>
          <w:b/>
          <w:lang w:val="fr-CA" w:eastAsia="en-CA"/>
        </w:rPr>
      </w:pPr>
      <w:r w:rsidRPr="00A317D7">
        <w:rPr>
          <w:rFonts w:ascii="Calibri" w:eastAsia="Calibri" w:hAnsi="Calibri" w:cs="Calibri"/>
          <w:lang w:val="fr-CA" w:eastAsia="en-CA"/>
        </w:rPr>
        <w:t xml:space="preserve">Nye Thomas, </w:t>
      </w:r>
      <w:r w:rsidR="006D1BB1">
        <w:rPr>
          <w:rFonts w:ascii="Calibri" w:eastAsia="Calibri" w:hAnsi="Calibri" w:cs="Calibri"/>
          <w:lang w:val="fr-CA" w:eastAsia="en-CA"/>
        </w:rPr>
        <w:t>directeur général</w:t>
      </w:r>
      <w:r w:rsidRPr="00A317D7">
        <w:rPr>
          <w:rFonts w:ascii="Calibri" w:eastAsia="Calibri" w:hAnsi="Calibri" w:cs="Calibri"/>
          <w:lang w:val="fr-CA" w:eastAsia="en-CA"/>
        </w:rPr>
        <w:t xml:space="preserve">, </w:t>
      </w:r>
      <w:r w:rsidR="00DF11B0">
        <w:rPr>
          <w:rFonts w:ascii="Calibri" w:eastAsia="Calibri" w:hAnsi="Calibri" w:cs="Calibri"/>
          <w:lang w:val="fr-CA" w:eastAsia="en-CA"/>
        </w:rPr>
        <w:t>CDO</w:t>
      </w:r>
      <w:r w:rsidRPr="00A317D7">
        <w:rPr>
          <w:rFonts w:ascii="Calibri" w:eastAsia="Calibri" w:hAnsi="Calibri" w:cs="Calibri"/>
          <w:lang w:val="fr-CA" w:eastAsia="en-CA"/>
        </w:rPr>
        <w:br/>
        <w:t xml:space="preserve">Ryan Fritsch, </w:t>
      </w:r>
      <w:r w:rsidR="006D1BB1">
        <w:rPr>
          <w:rFonts w:ascii="Calibri" w:eastAsia="Calibri" w:hAnsi="Calibri" w:cs="Calibri"/>
          <w:lang w:val="fr-CA" w:eastAsia="en-CA"/>
        </w:rPr>
        <w:t>avocat</w:t>
      </w:r>
      <w:r w:rsidRPr="00A317D7">
        <w:rPr>
          <w:rFonts w:ascii="Calibri" w:eastAsia="Calibri" w:hAnsi="Calibri" w:cs="Calibri"/>
          <w:lang w:val="fr-CA" w:eastAsia="en-CA"/>
        </w:rPr>
        <w:t xml:space="preserve">, </w:t>
      </w:r>
      <w:r w:rsidR="00DF11B0">
        <w:rPr>
          <w:rFonts w:ascii="Calibri" w:eastAsia="Calibri" w:hAnsi="Calibri" w:cs="Calibri"/>
          <w:lang w:val="fr-CA" w:eastAsia="en-CA"/>
        </w:rPr>
        <w:t>CDO</w:t>
      </w:r>
      <w:r w:rsidRPr="00A317D7">
        <w:rPr>
          <w:rFonts w:ascii="Calibri" w:eastAsia="Calibri" w:hAnsi="Calibri" w:cs="Calibri"/>
          <w:lang w:val="fr-CA" w:eastAsia="en-CA"/>
        </w:rPr>
        <w:br/>
      </w:r>
    </w:p>
    <w:p w14:paraId="279D5DE5" w14:textId="06F99E17" w:rsidR="003012E0" w:rsidRPr="00A317D7" w:rsidRDefault="006D1BB1" w:rsidP="005E0126">
      <w:pPr>
        <w:spacing w:after="0"/>
        <w:rPr>
          <w:rFonts w:ascii="Calibri" w:eastAsia="Calibri" w:hAnsi="Calibri" w:cs="Calibri"/>
          <w:b/>
          <w:lang w:val="fr-CA" w:eastAsia="en-CA"/>
        </w:rPr>
      </w:pPr>
      <w:r>
        <w:rPr>
          <w:rFonts w:ascii="Calibri" w:eastAsia="Calibri" w:hAnsi="Calibri" w:cs="Calibri"/>
          <w:b/>
          <w:lang w:val="fr-CA" w:eastAsia="en-CA"/>
        </w:rPr>
        <w:t xml:space="preserve">CHERCHEURS ÉTUDIANTS </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3012E0" w:rsidRPr="00A317D7" w14:paraId="5789B115" w14:textId="77777777" w:rsidTr="00A317D7">
        <w:tc>
          <w:tcPr>
            <w:tcW w:w="3186" w:type="dxa"/>
          </w:tcPr>
          <w:p w14:paraId="68CC36F8" w14:textId="77777777" w:rsidR="005E0126" w:rsidRPr="00A317D7" w:rsidRDefault="005E0126" w:rsidP="005E0126">
            <w:pPr>
              <w:spacing w:after="0"/>
              <w:rPr>
                <w:rFonts w:ascii="Calibri" w:eastAsia="Calibri" w:hAnsi="Calibri" w:cs="Calibri"/>
                <w:lang w:val="fr-CA" w:eastAsia="en-CA"/>
              </w:rPr>
            </w:pPr>
          </w:p>
          <w:p w14:paraId="5B27D6F5" w14:textId="10214E79" w:rsidR="003012E0" w:rsidRPr="00A317D7" w:rsidRDefault="003012E0" w:rsidP="005E0126">
            <w:pPr>
              <w:spacing w:after="0"/>
              <w:rPr>
                <w:rFonts w:ascii="Calibri" w:eastAsia="Calibri" w:hAnsi="Calibri" w:cs="Calibri"/>
                <w:lang w:val="fr-CA" w:eastAsia="en-CA"/>
              </w:rPr>
            </w:pPr>
            <w:r w:rsidRPr="00A317D7">
              <w:rPr>
                <w:rFonts w:ascii="Calibri" w:eastAsia="Calibri" w:hAnsi="Calibri" w:cs="Calibri"/>
                <w:lang w:val="fr-CA" w:eastAsia="en-CA"/>
              </w:rPr>
              <w:t xml:space="preserve">Thurka Brabaharan </w:t>
            </w:r>
          </w:p>
        </w:tc>
        <w:tc>
          <w:tcPr>
            <w:tcW w:w="3117" w:type="dxa"/>
          </w:tcPr>
          <w:p w14:paraId="43604D30" w14:textId="77777777" w:rsidR="005E0126" w:rsidRPr="00A317D7" w:rsidRDefault="005E0126" w:rsidP="005E0126">
            <w:pPr>
              <w:spacing w:after="0"/>
              <w:rPr>
                <w:rFonts w:ascii="Calibri" w:eastAsia="Calibri" w:hAnsi="Calibri" w:cs="Calibri"/>
                <w:lang w:val="fr-CA" w:eastAsia="en-CA"/>
              </w:rPr>
            </w:pPr>
          </w:p>
          <w:p w14:paraId="226E5AC2" w14:textId="7D65BF14" w:rsidR="003012E0" w:rsidRPr="00A317D7" w:rsidRDefault="003012E0" w:rsidP="005E0126">
            <w:pPr>
              <w:spacing w:after="0"/>
              <w:rPr>
                <w:rFonts w:ascii="Calibri" w:eastAsia="Calibri" w:hAnsi="Calibri" w:cs="Calibri"/>
                <w:highlight w:val="yellow"/>
                <w:lang w:val="fr-CA" w:eastAsia="en-CA"/>
              </w:rPr>
            </w:pPr>
            <w:r w:rsidRPr="00A317D7">
              <w:rPr>
                <w:rFonts w:ascii="Calibri" w:eastAsia="Calibri" w:hAnsi="Calibri" w:cs="Calibri"/>
                <w:lang w:val="fr-CA" w:eastAsia="en-CA"/>
              </w:rPr>
              <w:t>Shahmurad Lodhi</w:t>
            </w:r>
          </w:p>
        </w:tc>
        <w:tc>
          <w:tcPr>
            <w:tcW w:w="3117" w:type="dxa"/>
          </w:tcPr>
          <w:p w14:paraId="5EA1DC03" w14:textId="77777777" w:rsidR="005E0126" w:rsidRPr="00A317D7" w:rsidRDefault="005E0126" w:rsidP="005E0126">
            <w:pPr>
              <w:spacing w:after="0"/>
              <w:rPr>
                <w:rFonts w:ascii="Calibri" w:eastAsia="Calibri" w:hAnsi="Calibri" w:cs="Calibri"/>
                <w:lang w:val="fr-CA" w:eastAsia="en-CA"/>
              </w:rPr>
            </w:pPr>
          </w:p>
          <w:p w14:paraId="7E9C9193" w14:textId="607E0C11" w:rsidR="003012E0" w:rsidRPr="00A317D7" w:rsidRDefault="003012E0" w:rsidP="005E0126">
            <w:pPr>
              <w:spacing w:after="0"/>
              <w:rPr>
                <w:rFonts w:ascii="Calibri" w:eastAsia="Calibri" w:hAnsi="Calibri" w:cs="Calibri"/>
                <w:lang w:val="fr-CA" w:eastAsia="en-CA"/>
              </w:rPr>
            </w:pPr>
            <w:r w:rsidRPr="00A317D7">
              <w:rPr>
                <w:rFonts w:ascii="Calibri" w:eastAsia="Calibri" w:hAnsi="Calibri" w:cs="Calibri"/>
                <w:lang w:val="fr-CA" w:eastAsia="en-CA"/>
              </w:rPr>
              <w:t>John Nyman</w:t>
            </w:r>
          </w:p>
        </w:tc>
      </w:tr>
      <w:tr w:rsidR="003012E0" w:rsidRPr="00A317D7" w14:paraId="5A0DB3E6" w14:textId="77777777" w:rsidTr="00A317D7">
        <w:tc>
          <w:tcPr>
            <w:tcW w:w="3186" w:type="dxa"/>
          </w:tcPr>
          <w:p w14:paraId="585B560F" w14:textId="77777777" w:rsidR="003012E0" w:rsidRPr="00A317D7" w:rsidRDefault="003012E0" w:rsidP="005E0126">
            <w:pPr>
              <w:spacing w:after="0"/>
              <w:rPr>
                <w:rFonts w:ascii="Calibri" w:eastAsia="Calibri" w:hAnsi="Calibri" w:cs="Calibri"/>
                <w:lang w:val="fr-CA" w:eastAsia="en-CA"/>
              </w:rPr>
            </w:pPr>
            <w:r w:rsidRPr="00A317D7">
              <w:rPr>
                <w:rFonts w:ascii="Calibri" w:eastAsia="Calibri" w:hAnsi="Calibri" w:cs="Calibri"/>
                <w:lang w:val="fr-CA" w:eastAsia="en-CA"/>
              </w:rPr>
              <w:t>Dixon Emanuel</w:t>
            </w:r>
          </w:p>
          <w:p w14:paraId="430158B6" w14:textId="77777777" w:rsidR="003012E0" w:rsidRPr="00A317D7" w:rsidRDefault="003012E0" w:rsidP="005E0126">
            <w:pPr>
              <w:spacing w:after="0"/>
              <w:rPr>
                <w:rFonts w:ascii="Calibri" w:eastAsia="Calibri" w:hAnsi="Calibri" w:cs="Calibri"/>
                <w:lang w:val="fr-CA" w:eastAsia="en-CA"/>
              </w:rPr>
            </w:pPr>
            <w:r w:rsidRPr="00A317D7">
              <w:rPr>
                <w:rFonts w:ascii="Calibri" w:eastAsia="Calibri" w:hAnsi="Calibri" w:cs="Calibri"/>
                <w:lang w:val="fr-CA" w:eastAsia="en-CA"/>
              </w:rPr>
              <w:t xml:space="preserve">Nouran Hamzeh </w:t>
            </w:r>
          </w:p>
        </w:tc>
        <w:tc>
          <w:tcPr>
            <w:tcW w:w="3117" w:type="dxa"/>
          </w:tcPr>
          <w:p w14:paraId="25B52119" w14:textId="77777777" w:rsidR="003012E0" w:rsidRPr="00A317D7" w:rsidRDefault="003012E0" w:rsidP="005E0126">
            <w:pPr>
              <w:spacing w:after="0"/>
              <w:rPr>
                <w:rFonts w:ascii="Calibri" w:eastAsia="Calibri" w:hAnsi="Calibri" w:cs="Calibri"/>
                <w:highlight w:val="yellow"/>
                <w:lang w:val="fr-CA" w:eastAsia="en-CA"/>
              </w:rPr>
            </w:pPr>
            <w:r w:rsidRPr="00A317D7">
              <w:rPr>
                <w:rFonts w:ascii="Calibri" w:eastAsia="Calibri" w:hAnsi="Calibri" w:cs="Calibri"/>
                <w:lang w:val="fr-CA" w:eastAsia="en-CA"/>
              </w:rPr>
              <w:t>Masha Michouris</w:t>
            </w:r>
          </w:p>
        </w:tc>
        <w:tc>
          <w:tcPr>
            <w:tcW w:w="3117" w:type="dxa"/>
          </w:tcPr>
          <w:p w14:paraId="30C393E6" w14:textId="77777777" w:rsidR="003012E0" w:rsidRPr="00A317D7" w:rsidRDefault="003012E0" w:rsidP="005E0126">
            <w:pPr>
              <w:spacing w:after="0"/>
              <w:rPr>
                <w:rFonts w:ascii="Calibri" w:eastAsia="Calibri" w:hAnsi="Calibri" w:cs="Calibri"/>
                <w:lang w:val="fr-CA" w:eastAsia="en-CA"/>
              </w:rPr>
            </w:pPr>
            <w:r w:rsidRPr="00A317D7">
              <w:rPr>
                <w:rFonts w:ascii="Calibri" w:eastAsia="Calibri" w:hAnsi="Calibri" w:cs="Calibri"/>
                <w:lang w:val="fr-CA" w:eastAsia="en-CA"/>
              </w:rPr>
              <w:t>Ani Semanjaku</w:t>
            </w:r>
          </w:p>
        </w:tc>
      </w:tr>
    </w:tbl>
    <w:p w14:paraId="5F9713BC" w14:textId="1547F9F7" w:rsidR="003012E0" w:rsidRPr="00A317D7" w:rsidRDefault="006D1BB1" w:rsidP="003012E0">
      <w:pPr>
        <w:rPr>
          <w:rFonts w:ascii="Calibri" w:eastAsia="Calibri" w:hAnsi="Calibri" w:cs="Calibri"/>
          <w:b/>
          <w:bCs/>
          <w:lang w:val="fr-CA" w:eastAsia="en-CA"/>
        </w:rPr>
      </w:pPr>
      <w:r>
        <w:rPr>
          <w:rFonts w:ascii="Calibri" w:eastAsia="Calibri" w:hAnsi="Calibri" w:cs="Calibri"/>
          <w:b/>
          <w:bCs/>
          <w:lang w:val="fr-CA" w:eastAsia="en-CA"/>
        </w:rPr>
        <w:lastRenderedPageBreak/>
        <w:t>COMITÉ CONSULTATIF EXTERNE</w:t>
      </w:r>
    </w:p>
    <w:tbl>
      <w:tblPr>
        <w:tblStyle w:val="TableGrid13"/>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301EA7" w:rsidRPr="00A610A1" w14:paraId="274F7626" w14:textId="77777777" w:rsidTr="00A317D7">
        <w:tc>
          <w:tcPr>
            <w:tcW w:w="4932" w:type="dxa"/>
          </w:tcPr>
          <w:p w14:paraId="22AE38BB" w14:textId="2169F6A2" w:rsidR="00301EA7" w:rsidRPr="00A317D7" w:rsidRDefault="00301EA7" w:rsidP="00301EA7">
            <w:pPr>
              <w:rPr>
                <w:rFonts w:cs="Calibri"/>
                <w:sz w:val="24"/>
                <w:szCs w:val="24"/>
                <w:lang w:val="fr-CA"/>
              </w:rPr>
            </w:pPr>
            <w:r w:rsidRPr="00A610A1">
              <w:rPr>
                <w:rFonts w:cs="Calibri"/>
                <w:b/>
                <w:sz w:val="24"/>
                <w:szCs w:val="24"/>
                <w:lang w:val="fr-CA"/>
              </w:rPr>
              <w:t>Alpha Chan</w:t>
            </w:r>
            <w:r w:rsidRPr="00A317D7">
              <w:rPr>
                <w:rFonts w:cs="Calibri"/>
                <w:sz w:val="24"/>
                <w:szCs w:val="24"/>
                <w:lang w:val="fr-CA"/>
              </w:rPr>
              <w:t xml:space="preserve">, </w:t>
            </w:r>
            <w:r w:rsidR="000A076C" w:rsidRPr="000A076C">
              <w:rPr>
                <w:rFonts w:cs="Calibri"/>
                <w:sz w:val="24"/>
                <w:szCs w:val="24"/>
                <w:lang w:val="fr-CA"/>
              </w:rPr>
              <w:t>responsable de la sécurité de l’information, Service de police de Toronto</w:t>
            </w:r>
          </w:p>
          <w:p w14:paraId="10C325CB" w14:textId="77777777" w:rsidR="00301EA7" w:rsidRPr="00A317D7" w:rsidRDefault="00301EA7" w:rsidP="00301EA7">
            <w:pPr>
              <w:rPr>
                <w:rFonts w:cs="Calibri"/>
                <w:sz w:val="24"/>
                <w:szCs w:val="24"/>
                <w:lang w:val="fr-CA"/>
              </w:rPr>
            </w:pPr>
          </w:p>
          <w:p w14:paraId="298D97A4" w14:textId="5671C6AA" w:rsidR="00301EA7" w:rsidRPr="00A317D7" w:rsidRDefault="00301EA7" w:rsidP="00301EA7">
            <w:pPr>
              <w:rPr>
                <w:rFonts w:cs="Calibri"/>
                <w:sz w:val="24"/>
                <w:szCs w:val="24"/>
                <w:lang w:val="fr-CA"/>
              </w:rPr>
            </w:pPr>
            <w:r w:rsidRPr="00A610A1">
              <w:rPr>
                <w:rFonts w:cs="Calibri"/>
                <w:b/>
                <w:sz w:val="24"/>
                <w:szCs w:val="24"/>
                <w:lang w:val="fr-CA"/>
              </w:rPr>
              <w:t>Marco Galluzzo</w:t>
            </w:r>
            <w:r w:rsidRPr="00A317D7">
              <w:rPr>
                <w:rFonts w:cs="Calibri"/>
                <w:sz w:val="24"/>
                <w:szCs w:val="24"/>
                <w:lang w:val="fr-CA"/>
              </w:rPr>
              <w:t>,</w:t>
            </w:r>
            <w:r w:rsidR="006D1BB1">
              <w:rPr>
                <w:rFonts w:cs="Calibri"/>
                <w:sz w:val="24"/>
                <w:szCs w:val="24"/>
                <w:lang w:val="fr-CA"/>
              </w:rPr>
              <w:t xml:space="preserve"> c</w:t>
            </w:r>
            <w:r w:rsidR="006D1BB1" w:rsidRPr="006D1BB1">
              <w:rPr>
                <w:rFonts w:cs="Calibri"/>
                <w:sz w:val="24"/>
                <w:szCs w:val="24"/>
                <w:lang w:val="fr-CA"/>
              </w:rPr>
              <w:t>abinet du juge en chef</w:t>
            </w:r>
            <w:r w:rsidRPr="00A317D7">
              <w:rPr>
                <w:rFonts w:cs="Calibri"/>
                <w:sz w:val="24"/>
                <w:szCs w:val="24"/>
                <w:lang w:val="fr-CA"/>
              </w:rPr>
              <w:t xml:space="preserve">, </w:t>
            </w:r>
            <w:r w:rsidR="006D1BB1">
              <w:rPr>
                <w:rFonts w:cs="Calibri"/>
                <w:sz w:val="24"/>
                <w:szCs w:val="24"/>
                <w:lang w:val="fr-CA"/>
              </w:rPr>
              <w:t xml:space="preserve">Cour supérieure </w:t>
            </w:r>
            <w:r w:rsidR="002716F0">
              <w:rPr>
                <w:rFonts w:cs="Calibri"/>
                <w:sz w:val="24"/>
                <w:szCs w:val="24"/>
                <w:lang w:val="fr-CA"/>
              </w:rPr>
              <w:t xml:space="preserve">de justice </w:t>
            </w:r>
            <w:r w:rsidR="006D1BB1">
              <w:rPr>
                <w:rFonts w:cs="Calibri"/>
                <w:sz w:val="24"/>
                <w:szCs w:val="24"/>
                <w:lang w:val="fr-CA"/>
              </w:rPr>
              <w:t>de l’</w:t>
            </w:r>
            <w:r w:rsidRPr="00A317D7">
              <w:rPr>
                <w:rFonts w:cs="Calibri"/>
                <w:sz w:val="24"/>
                <w:szCs w:val="24"/>
                <w:lang w:val="fr-CA"/>
              </w:rPr>
              <w:t xml:space="preserve">Ontario </w:t>
            </w:r>
          </w:p>
          <w:p w14:paraId="37FF3F94" w14:textId="77777777" w:rsidR="00301EA7" w:rsidRPr="00A317D7" w:rsidRDefault="00301EA7" w:rsidP="00301EA7">
            <w:pPr>
              <w:rPr>
                <w:rFonts w:cs="Calibri"/>
                <w:sz w:val="24"/>
                <w:szCs w:val="24"/>
                <w:lang w:val="fr-CA"/>
              </w:rPr>
            </w:pPr>
          </w:p>
          <w:p w14:paraId="5636D1CD" w14:textId="76A9EE4D" w:rsidR="00301EA7" w:rsidRPr="006D1BB1" w:rsidRDefault="00301EA7" w:rsidP="00301EA7">
            <w:pPr>
              <w:rPr>
                <w:rFonts w:cs="Calibri"/>
                <w:sz w:val="24"/>
                <w:szCs w:val="24"/>
                <w:lang w:val="fr-CA"/>
              </w:rPr>
            </w:pPr>
            <w:r w:rsidRPr="00A610A1">
              <w:rPr>
                <w:rFonts w:cs="Calibri"/>
                <w:b/>
                <w:sz w:val="24"/>
                <w:szCs w:val="24"/>
                <w:lang w:val="fr-CA"/>
              </w:rPr>
              <w:t>Rosanna Giancristiano</w:t>
            </w:r>
            <w:r w:rsidRPr="006D1BB1">
              <w:rPr>
                <w:rFonts w:cs="Calibri"/>
                <w:sz w:val="24"/>
                <w:szCs w:val="24"/>
                <w:lang w:val="fr-CA"/>
              </w:rPr>
              <w:t xml:space="preserve">, </w:t>
            </w:r>
            <w:r w:rsidR="000A076C" w:rsidRPr="000A076C">
              <w:rPr>
                <w:rFonts w:cs="Calibri"/>
                <w:sz w:val="24"/>
                <w:szCs w:val="24"/>
                <w:lang w:val="fr-CA"/>
              </w:rPr>
              <w:t>directrice des opérations judiciaires</w:t>
            </w:r>
            <w:r w:rsidRPr="006D1BB1">
              <w:rPr>
                <w:rFonts w:cs="Calibri"/>
                <w:sz w:val="24"/>
                <w:szCs w:val="24"/>
                <w:lang w:val="fr-CA"/>
              </w:rPr>
              <w:t xml:space="preserve">, </w:t>
            </w:r>
            <w:r w:rsidR="006D1BB1" w:rsidRPr="006D1BB1">
              <w:rPr>
                <w:rFonts w:cs="Calibri"/>
                <w:sz w:val="24"/>
                <w:szCs w:val="24"/>
                <w:lang w:val="fr-CA"/>
              </w:rPr>
              <w:t>mi</w:t>
            </w:r>
            <w:r w:rsidR="006D1BB1">
              <w:rPr>
                <w:rFonts w:cs="Calibri"/>
                <w:sz w:val="24"/>
                <w:szCs w:val="24"/>
                <w:lang w:val="fr-CA"/>
              </w:rPr>
              <w:t xml:space="preserve">nistère </w:t>
            </w:r>
            <w:r w:rsidR="006D1BB1" w:rsidRPr="006D1BB1">
              <w:rPr>
                <w:rFonts w:cs="Calibri"/>
                <w:sz w:val="24"/>
                <w:szCs w:val="24"/>
                <w:lang w:val="fr-CA"/>
              </w:rPr>
              <w:t xml:space="preserve">du </w:t>
            </w:r>
            <w:r w:rsidR="006D1BB1">
              <w:rPr>
                <w:rFonts w:cs="Calibri"/>
                <w:sz w:val="24"/>
                <w:szCs w:val="24"/>
                <w:lang w:val="fr-CA"/>
              </w:rPr>
              <w:t>P</w:t>
            </w:r>
            <w:r w:rsidR="006D1BB1" w:rsidRPr="006D1BB1">
              <w:rPr>
                <w:rFonts w:cs="Calibri"/>
                <w:sz w:val="24"/>
                <w:szCs w:val="24"/>
                <w:lang w:val="fr-CA"/>
              </w:rPr>
              <w:t>rocureur général</w:t>
            </w:r>
            <w:r w:rsidRPr="006D1BB1">
              <w:rPr>
                <w:rFonts w:cs="Calibri"/>
                <w:sz w:val="24"/>
                <w:szCs w:val="24"/>
                <w:lang w:val="fr-CA"/>
              </w:rPr>
              <w:t xml:space="preserve"> </w:t>
            </w:r>
          </w:p>
          <w:p w14:paraId="101B98CA" w14:textId="77777777" w:rsidR="00301EA7" w:rsidRPr="006D1BB1" w:rsidRDefault="00301EA7" w:rsidP="00301EA7">
            <w:pPr>
              <w:rPr>
                <w:rFonts w:cs="Calibri"/>
                <w:sz w:val="24"/>
                <w:szCs w:val="24"/>
                <w:lang w:val="fr-CA"/>
              </w:rPr>
            </w:pPr>
          </w:p>
          <w:p w14:paraId="0DC145C4" w14:textId="73000A41" w:rsidR="00301EA7" w:rsidRPr="00A317D7" w:rsidRDefault="00301EA7" w:rsidP="00301EA7">
            <w:pPr>
              <w:rPr>
                <w:rFonts w:cs="Calibri"/>
                <w:sz w:val="24"/>
                <w:szCs w:val="24"/>
                <w:lang w:val="fr-CA"/>
              </w:rPr>
            </w:pPr>
            <w:r w:rsidRPr="00A610A1">
              <w:rPr>
                <w:rFonts w:cs="Calibri"/>
                <w:b/>
                <w:sz w:val="24"/>
                <w:szCs w:val="24"/>
                <w:lang w:val="fr-CA"/>
              </w:rPr>
              <w:t>Rosemarie Juginovic</w:t>
            </w:r>
            <w:r w:rsidRPr="00A317D7">
              <w:rPr>
                <w:rFonts w:cs="Calibri"/>
                <w:sz w:val="24"/>
                <w:szCs w:val="24"/>
                <w:lang w:val="fr-CA"/>
              </w:rPr>
              <w:t xml:space="preserve">, </w:t>
            </w:r>
            <w:r w:rsidR="006D1BB1">
              <w:rPr>
                <w:rFonts w:cs="Calibri"/>
                <w:sz w:val="24"/>
                <w:szCs w:val="24"/>
                <w:lang w:val="fr-CA"/>
              </w:rPr>
              <w:t>c</w:t>
            </w:r>
            <w:r w:rsidR="006D1BB1" w:rsidRPr="006D1BB1">
              <w:rPr>
                <w:rFonts w:cs="Calibri"/>
                <w:sz w:val="24"/>
                <w:szCs w:val="24"/>
                <w:lang w:val="fr-CA"/>
              </w:rPr>
              <w:t>abinet du juge en chef</w:t>
            </w:r>
            <w:r w:rsidRPr="00A317D7">
              <w:rPr>
                <w:rFonts w:cs="Calibri"/>
                <w:sz w:val="24"/>
                <w:szCs w:val="24"/>
                <w:lang w:val="fr-CA"/>
              </w:rPr>
              <w:t xml:space="preserve">, </w:t>
            </w:r>
            <w:r w:rsidR="006D1BB1">
              <w:rPr>
                <w:rFonts w:cs="Calibri"/>
                <w:sz w:val="24"/>
                <w:szCs w:val="24"/>
                <w:lang w:val="fr-CA"/>
              </w:rPr>
              <w:t xml:space="preserve">Cour supérieure </w:t>
            </w:r>
            <w:r w:rsidR="000A076C">
              <w:rPr>
                <w:rFonts w:cs="Calibri"/>
                <w:sz w:val="24"/>
                <w:szCs w:val="24"/>
                <w:lang w:val="fr-CA"/>
              </w:rPr>
              <w:t xml:space="preserve">de justice </w:t>
            </w:r>
            <w:r w:rsidR="006D1BB1">
              <w:rPr>
                <w:rFonts w:cs="Calibri"/>
                <w:sz w:val="24"/>
                <w:szCs w:val="24"/>
                <w:lang w:val="fr-CA"/>
              </w:rPr>
              <w:t>de l’</w:t>
            </w:r>
            <w:r w:rsidR="006D1BB1" w:rsidRPr="00A317D7">
              <w:rPr>
                <w:rFonts w:cs="Calibri"/>
                <w:sz w:val="24"/>
                <w:szCs w:val="24"/>
                <w:lang w:val="fr-CA"/>
              </w:rPr>
              <w:t>Ontario</w:t>
            </w:r>
          </w:p>
          <w:p w14:paraId="4A9E3583" w14:textId="77777777" w:rsidR="00301EA7" w:rsidRPr="00A317D7" w:rsidRDefault="00301EA7" w:rsidP="00301EA7">
            <w:pPr>
              <w:rPr>
                <w:rFonts w:cs="Calibri"/>
                <w:sz w:val="24"/>
                <w:szCs w:val="24"/>
                <w:lang w:val="fr-CA"/>
              </w:rPr>
            </w:pPr>
          </w:p>
          <w:p w14:paraId="3277BD1B" w14:textId="7D46D6C0" w:rsidR="00301EA7" w:rsidRPr="006D1BB1" w:rsidRDefault="00A610A1" w:rsidP="00301EA7">
            <w:pPr>
              <w:rPr>
                <w:rFonts w:cs="Calibri"/>
                <w:sz w:val="24"/>
                <w:szCs w:val="24"/>
                <w:lang w:val="fr-CA"/>
              </w:rPr>
            </w:pPr>
            <w:r w:rsidRPr="00A610A1">
              <w:rPr>
                <w:rFonts w:cs="Calibri"/>
                <w:b/>
                <w:sz w:val="24"/>
                <w:szCs w:val="24"/>
                <w:lang w:val="fr-CA"/>
              </w:rPr>
              <w:t xml:space="preserve">Professeur agrégé </w:t>
            </w:r>
            <w:r w:rsidR="00301EA7" w:rsidRPr="00A610A1">
              <w:rPr>
                <w:rFonts w:cs="Calibri"/>
                <w:b/>
                <w:sz w:val="24"/>
                <w:szCs w:val="24"/>
                <w:lang w:val="fr-CA"/>
              </w:rPr>
              <w:t>Daniel Konikoff</w:t>
            </w:r>
            <w:r w:rsidR="006D1BB1">
              <w:rPr>
                <w:rFonts w:cs="Calibri"/>
                <w:sz w:val="24"/>
                <w:szCs w:val="24"/>
                <w:lang w:val="fr-CA"/>
              </w:rPr>
              <w:t xml:space="preserve">, </w:t>
            </w:r>
            <w:r w:rsidR="006D1BB1" w:rsidRPr="006D1BB1">
              <w:rPr>
                <w:rFonts w:cs="Calibri"/>
                <w:sz w:val="24"/>
                <w:szCs w:val="24"/>
                <w:lang w:val="fr-CA"/>
              </w:rPr>
              <w:t>dép</w:t>
            </w:r>
            <w:r w:rsidR="00301EA7" w:rsidRPr="006D1BB1">
              <w:rPr>
                <w:rFonts w:cs="Calibri"/>
                <w:sz w:val="24"/>
                <w:szCs w:val="24"/>
                <w:lang w:val="fr-CA"/>
              </w:rPr>
              <w:t>art</w:t>
            </w:r>
            <w:r w:rsidR="006D1BB1" w:rsidRPr="006D1BB1">
              <w:rPr>
                <w:rFonts w:cs="Calibri"/>
                <w:sz w:val="24"/>
                <w:szCs w:val="24"/>
                <w:lang w:val="fr-CA"/>
              </w:rPr>
              <w:t>e</w:t>
            </w:r>
            <w:r w:rsidR="00301EA7" w:rsidRPr="006D1BB1">
              <w:rPr>
                <w:rFonts w:cs="Calibri"/>
                <w:sz w:val="24"/>
                <w:szCs w:val="24"/>
                <w:lang w:val="fr-CA"/>
              </w:rPr>
              <w:t xml:space="preserve">ment </w:t>
            </w:r>
            <w:r w:rsidR="006D1BB1" w:rsidRPr="006D1BB1">
              <w:rPr>
                <w:rFonts w:cs="Calibri"/>
                <w:sz w:val="24"/>
                <w:szCs w:val="24"/>
                <w:lang w:val="fr-CA"/>
              </w:rPr>
              <w:t>de s</w:t>
            </w:r>
            <w:r w:rsidR="00301EA7" w:rsidRPr="006D1BB1">
              <w:rPr>
                <w:rFonts w:cs="Calibri"/>
                <w:sz w:val="24"/>
                <w:szCs w:val="24"/>
                <w:lang w:val="fr-CA"/>
              </w:rPr>
              <w:t>ociolog</w:t>
            </w:r>
            <w:r w:rsidR="006D1BB1" w:rsidRPr="006D1BB1">
              <w:rPr>
                <w:rFonts w:cs="Calibri"/>
                <w:sz w:val="24"/>
                <w:szCs w:val="24"/>
                <w:lang w:val="fr-CA"/>
              </w:rPr>
              <w:t>ie</w:t>
            </w:r>
            <w:r w:rsidR="00301EA7" w:rsidRPr="006D1BB1">
              <w:rPr>
                <w:rFonts w:cs="Calibri"/>
                <w:sz w:val="24"/>
                <w:szCs w:val="24"/>
                <w:lang w:val="fr-CA"/>
              </w:rPr>
              <w:t>, Universit</w:t>
            </w:r>
            <w:r w:rsidR="006D1BB1">
              <w:rPr>
                <w:rFonts w:cs="Calibri"/>
                <w:sz w:val="24"/>
                <w:szCs w:val="24"/>
                <w:lang w:val="fr-CA"/>
              </w:rPr>
              <w:t>é de l’</w:t>
            </w:r>
            <w:r w:rsidR="00301EA7" w:rsidRPr="006D1BB1">
              <w:rPr>
                <w:rFonts w:cs="Calibri"/>
                <w:sz w:val="24"/>
                <w:szCs w:val="24"/>
                <w:lang w:val="fr-CA"/>
              </w:rPr>
              <w:t xml:space="preserve">Alberta </w:t>
            </w:r>
          </w:p>
          <w:p w14:paraId="369E7878" w14:textId="77777777" w:rsidR="00301EA7" w:rsidRPr="006D1BB1" w:rsidRDefault="00301EA7" w:rsidP="00301EA7">
            <w:pPr>
              <w:rPr>
                <w:rFonts w:cs="Calibri"/>
                <w:sz w:val="24"/>
                <w:szCs w:val="24"/>
                <w:lang w:val="fr-CA"/>
              </w:rPr>
            </w:pPr>
          </w:p>
          <w:p w14:paraId="78806E41" w14:textId="064083C2" w:rsidR="00301EA7" w:rsidRPr="006D1BB1" w:rsidRDefault="00301EA7" w:rsidP="00301EA7">
            <w:pPr>
              <w:rPr>
                <w:rFonts w:cs="Calibri"/>
                <w:sz w:val="24"/>
                <w:szCs w:val="24"/>
                <w:lang w:val="fr-CA"/>
              </w:rPr>
            </w:pPr>
            <w:r w:rsidRPr="00A610A1">
              <w:rPr>
                <w:rFonts w:cs="Calibri"/>
                <w:b/>
                <w:sz w:val="24"/>
                <w:szCs w:val="24"/>
                <w:lang w:val="fr-CA"/>
              </w:rPr>
              <w:t>Michelina Longo</w:t>
            </w:r>
            <w:r w:rsidRPr="006D1BB1">
              <w:rPr>
                <w:rFonts w:cs="Calibri"/>
                <w:sz w:val="24"/>
                <w:szCs w:val="24"/>
                <w:lang w:val="fr-CA"/>
              </w:rPr>
              <w:t xml:space="preserve">, </w:t>
            </w:r>
            <w:r w:rsidR="000A076C" w:rsidRPr="000A076C">
              <w:rPr>
                <w:rFonts w:cs="Calibri"/>
                <w:sz w:val="24"/>
                <w:szCs w:val="24"/>
                <w:lang w:val="fr-CA"/>
              </w:rPr>
              <w:t>directrice des relations extérieure</w:t>
            </w:r>
            <w:r w:rsidR="00C62E0C">
              <w:rPr>
                <w:rFonts w:cs="Calibri"/>
                <w:sz w:val="24"/>
                <w:szCs w:val="24"/>
                <w:lang w:val="fr-CA"/>
              </w:rPr>
              <w:t>s</w:t>
            </w:r>
            <w:r w:rsidRPr="006D1BB1">
              <w:rPr>
                <w:rFonts w:cs="Calibri"/>
                <w:sz w:val="24"/>
                <w:szCs w:val="24"/>
                <w:lang w:val="fr-CA"/>
              </w:rPr>
              <w:t xml:space="preserve">, </w:t>
            </w:r>
            <w:r w:rsidR="006D1BB1" w:rsidRPr="006D1BB1">
              <w:rPr>
                <w:rFonts w:cs="Calibri"/>
                <w:sz w:val="24"/>
                <w:szCs w:val="24"/>
                <w:lang w:val="fr-CA"/>
              </w:rPr>
              <w:t>mini</w:t>
            </w:r>
            <w:r w:rsidR="006D1BB1">
              <w:rPr>
                <w:rFonts w:cs="Calibri"/>
                <w:sz w:val="24"/>
                <w:szCs w:val="24"/>
                <w:lang w:val="fr-CA"/>
              </w:rPr>
              <w:t>s</w:t>
            </w:r>
            <w:r w:rsidR="006D1BB1" w:rsidRPr="006D1BB1">
              <w:rPr>
                <w:rFonts w:cs="Calibri"/>
                <w:sz w:val="24"/>
                <w:szCs w:val="24"/>
                <w:lang w:val="fr-CA"/>
              </w:rPr>
              <w:t>t</w:t>
            </w:r>
            <w:r w:rsidR="006D1BB1">
              <w:rPr>
                <w:rFonts w:cs="Calibri"/>
                <w:sz w:val="24"/>
                <w:szCs w:val="24"/>
                <w:lang w:val="fr-CA"/>
              </w:rPr>
              <w:t>è</w:t>
            </w:r>
            <w:r w:rsidR="006D1BB1" w:rsidRPr="006D1BB1">
              <w:rPr>
                <w:rFonts w:cs="Calibri"/>
                <w:sz w:val="24"/>
                <w:szCs w:val="24"/>
                <w:lang w:val="fr-CA"/>
              </w:rPr>
              <w:t xml:space="preserve">re du </w:t>
            </w:r>
            <w:r w:rsidR="000A076C">
              <w:rPr>
                <w:rFonts w:cs="Calibri"/>
                <w:sz w:val="24"/>
                <w:szCs w:val="24"/>
                <w:lang w:val="fr-CA"/>
              </w:rPr>
              <w:t>S</w:t>
            </w:r>
            <w:r w:rsidR="006D1BB1" w:rsidRPr="006D1BB1">
              <w:rPr>
                <w:rFonts w:cs="Calibri"/>
                <w:sz w:val="24"/>
                <w:szCs w:val="24"/>
                <w:lang w:val="fr-CA"/>
              </w:rPr>
              <w:t>olliciteur gé</w:t>
            </w:r>
            <w:r w:rsidR="006D1BB1">
              <w:rPr>
                <w:rFonts w:cs="Calibri"/>
                <w:sz w:val="24"/>
                <w:szCs w:val="24"/>
                <w:lang w:val="fr-CA"/>
              </w:rPr>
              <w:t>néral</w:t>
            </w:r>
          </w:p>
          <w:p w14:paraId="7212AB92" w14:textId="77777777" w:rsidR="00301EA7" w:rsidRPr="006D1BB1" w:rsidRDefault="00301EA7" w:rsidP="00301EA7">
            <w:pPr>
              <w:rPr>
                <w:rFonts w:cs="Calibri"/>
                <w:sz w:val="24"/>
                <w:szCs w:val="24"/>
                <w:lang w:val="fr-CA"/>
              </w:rPr>
            </w:pPr>
          </w:p>
          <w:p w14:paraId="514CF8E6" w14:textId="06703D98" w:rsidR="00301EA7" w:rsidRPr="00A317D7" w:rsidRDefault="00301EA7" w:rsidP="000A076C">
            <w:pPr>
              <w:rPr>
                <w:rFonts w:cs="Calibri"/>
                <w:sz w:val="24"/>
                <w:szCs w:val="24"/>
                <w:lang w:val="fr-CA"/>
              </w:rPr>
            </w:pPr>
            <w:r w:rsidRPr="00A610A1">
              <w:rPr>
                <w:rFonts w:cs="Calibri"/>
                <w:b/>
                <w:sz w:val="24"/>
                <w:szCs w:val="24"/>
                <w:lang w:val="fr-CA"/>
              </w:rPr>
              <w:t>Jessica Mahon</w:t>
            </w:r>
            <w:r w:rsidRPr="00A317D7">
              <w:rPr>
                <w:rFonts w:cs="Calibri"/>
                <w:sz w:val="24"/>
                <w:szCs w:val="24"/>
                <w:lang w:val="fr-CA"/>
              </w:rPr>
              <w:t xml:space="preserve">, </w:t>
            </w:r>
            <w:r w:rsidR="003A19AE" w:rsidRPr="003A19AE">
              <w:rPr>
                <w:rFonts w:cs="Calibri"/>
                <w:sz w:val="24"/>
                <w:szCs w:val="24"/>
                <w:lang w:val="fr-CA"/>
              </w:rPr>
              <w:t>Section des normes policières</w:t>
            </w:r>
            <w:r w:rsidRPr="00A317D7">
              <w:rPr>
                <w:rFonts w:cs="Calibri"/>
                <w:sz w:val="24"/>
                <w:szCs w:val="24"/>
                <w:lang w:val="fr-CA"/>
              </w:rPr>
              <w:t xml:space="preserve">, </w:t>
            </w:r>
            <w:r w:rsidR="006D1BB1" w:rsidRPr="006D1BB1">
              <w:rPr>
                <w:rFonts w:cs="Calibri"/>
                <w:sz w:val="24"/>
                <w:szCs w:val="24"/>
                <w:lang w:val="fr-CA"/>
              </w:rPr>
              <w:t>mini</w:t>
            </w:r>
            <w:r w:rsidR="006D1BB1">
              <w:rPr>
                <w:rFonts w:cs="Calibri"/>
                <w:sz w:val="24"/>
                <w:szCs w:val="24"/>
                <w:lang w:val="fr-CA"/>
              </w:rPr>
              <w:t>s</w:t>
            </w:r>
            <w:r w:rsidR="006D1BB1" w:rsidRPr="006D1BB1">
              <w:rPr>
                <w:rFonts w:cs="Calibri"/>
                <w:sz w:val="24"/>
                <w:szCs w:val="24"/>
                <w:lang w:val="fr-CA"/>
              </w:rPr>
              <w:t>t</w:t>
            </w:r>
            <w:r w:rsidR="006D1BB1">
              <w:rPr>
                <w:rFonts w:cs="Calibri"/>
                <w:sz w:val="24"/>
                <w:szCs w:val="24"/>
                <w:lang w:val="fr-CA"/>
              </w:rPr>
              <w:t>è</w:t>
            </w:r>
            <w:r w:rsidR="006D1BB1" w:rsidRPr="006D1BB1">
              <w:rPr>
                <w:rFonts w:cs="Calibri"/>
                <w:sz w:val="24"/>
                <w:szCs w:val="24"/>
                <w:lang w:val="fr-CA"/>
              </w:rPr>
              <w:t xml:space="preserve">re du </w:t>
            </w:r>
            <w:r w:rsidR="000A076C">
              <w:rPr>
                <w:rFonts w:cs="Calibri"/>
                <w:sz w:val="24"/>
                <w:szCs w:val="24"/>
                <w:lang w:val="fr-CA"/>
              </w:rPr>
              <w:t>S</w:t>
            </w:r>
            <w:r w:rsidR="006D1BB1" w:rsidRPr="006D1BB1">
              <w:rPr>
                <w:rFonts w:cs="Calibri"/>
                <w:sz w:val="24"/>
                <w:szCs w:val="24"/>
                <w:lang w:val="fr-CA"/>
              </w:rPr>
              <w:t>olliciteur gé</w:t>
            </w:r>
            <w:r w:rsidR="006D1BB1">
              <w:rPr>
                <w:rFonts w:cs="Calibri"/>
                <w:sz w:val="24"/>
                <w:szCs w:val="24"/>
                <w:lang w:val="fr-CA"/>
              </w:rPr>
              <w:t>néral</w:t>
            </w:r>
            <w:r w:rsidRPr="00A317D7">
              <w:rPr>
                <w:rFonts w:cs="Calibri"/>
                <w:sz w:val="24"/>
                <w:szCs w:val="24"/>
                <w:lang w:val="fr-CA"/>
              </w:rPr>
              <w:br/>
            </w:r>
          </w:p>
        </w:tc>
        <w:tc>
          <w:tcPr>
            <w:tcW w:w="5098" w:type="dxa"/>
          </w:tcPr>
          <w:p w14:paraId="10F568F3" w14:textId="73054DCB" w:rsidR="00301EA7" w:rsidRPr="003A19AE" w:rsidRDefault="00301EA7" w:rsidP="00301EA7">
            <w:pPr>
              <w:rPr>
                <w:rFonts w:cs="Calibri"/>
                <w:sz w:val="24"/>
                <w:szCs w:val="24"/>
                <w:lang w:val="fr-CA"/>
              </w:rPr>
            </w:pPr>
            <w:r w:rsidRPr="00A610A1">
              <w:rPr>
                <w:rFonts w:cs="Calibri"/>
                <w:b/>
                <w:sz w:val="24"/>
                <w:szCs w:val="24"/>
                <w:lang w:val="fr-CA"/>
              </w:rPr>
              <w:t>Jane Mallen</w:t>
            </w:r>
            <w:r w:rsidRPr="003A19AE">
              <w:rPr>
                <w:rFonts w:cs="Calibri"/>
                <w:sz w:val="24"/>
                <w:szCs w:val="24"/>
                <w:lang w:val="fr-CA"/>
              </w:rPr>
              <w:t xml:space="preserve">, </w:t>
            </w:r>
            <w:r w:rsidR="003A19AE" w:rsidRPr="003A19AE">
              <w:rPr>
                <w:rFonts w:cs="Calibri"/>
                <w:sz w:val="24"/>
                <w:szCs w:val="24"/>
                <w:lang w:val="fr-CA"/>
              </w:rPr>
              <w:t xml:space="preserve">ministère du Procureur général et </w:t>
            </w:r>
            <w:r w:rsidR="00C62E0C">
              <w:rPr>
                <w:rFonts w:cs="Calibri"/>
                <w:sz w:val="24"/>
                <w:szCs w:val="24"/>
                <w:lang w:val="fr-CA"/>
              </w:rPr>
              <w:t>C</w:t>
            </w:r>
            <w:r w:rsidR="003A19AE">
              <w:rPr>
                <w:rFonts w:cs="Calibri"/>
                <w:sz w:val="24"/>
                <w:szCs w:val="24"/>
                <w:lang w:val="fr-CA"/>
              </w:rPr>
              <w:t xml:space="preserve">onseil des gouverneurs de la </w:t>
            </w:r>
            <w:r w:rsidR="00DF11B0" w:rsidRPr="003A19AE">
              <w:rPr>
                <w:rFonts w:cs="Calibri"/>
                <w:sz w:val="24"/>
                <w:szCs w:val="24"/>
                <w:lang w:val="fr-CA"/>
              </w:rPr>
              <w:t>CDO</w:t>
            </w:r>
            <w:r w:rsidRPr="003A19AE">
              <w:rPr>
                <w:rFonts w:cs="Calibri"/>
                <w:sz w:val="24"/>
                <w:szCs w:val="24"/>
                <w:lang w:val="fr-CA"/>
              </w:rPr>
              <w:t xml:space="preserve"> </w:t>
            </w:r>
          </w:p>
          <w:p w14:paraId="31C7DA24" w14:textId="77777777" w:rsidR="00301EA7" w:rsidRPr="003A19AE" w:rsidRDefault="00301EA7" w:rsidP="00301EA7">
            <w:pPr>
              <w:rPr>
                <w:rFonts w:cs="Calibri"/>
                <w:sz w:val="24"/>
                <w:szCs w:val="24"/>
                <w:lang w:val="fr-CA"/>
              </w:rPr>
            </w:pPr>
          </w:p>
          <w:p w14:paraId="5B0862D4" w14:textId="6B56B550" w:rsidR="00301EA7" w:rsidRPr="00A317D7" w:rsidRDefault="00301EA7" w:rsidP="00301EA7">
            <w:pPr>
              <w:rPr>
                <w:rFonts w:cs="Calibri"/>
                <w:sz w:val="24"/>
                <w:szCs w:val="24"/>
                <w:lang w:val="fr-CA"/>
              </w:rPr>
            </w:pPr>
            <w:r w:rsidRPr="00A610A1">
              <w:rPr>
                <w:rFonts w:cs="Calibri"/>
                <w:b/>
                <w:sz w:val="24"/>
                <w:szCs w:val="24"/>
                <w:lang w:val="fr-CA"/>
              </w:rPr>
              <w:t>Elena Middelkamp</w:t>
            </w:r>
            <w:r w:rsidRPr="00A317D7">
              <w:rPr>
                <w:rFonts w:cs="Calibri"/>
                <w:sz w:val="24"/>
                <w:szCs w:val="24"/>
                <w:lang w:val="fr-CA"/>
              </w:rPr>
              <w:t xml:space="preserve">, </w:t>
            </w:r>
            <w:r w:rsidR="003A19AE" w:rsidRPr="003A19AE">
              <w:rPr>
                <w:rFonts w:cs="Calibri"/>
                <w:sz w:val="24"/>
                <w:szCs w:val="24"/>
                <w:lang w:val="fr-CA"/>
              </w:rPr>
              <w:t xml:space="preserve">Bureau des avocats de la Couronne - droit </w:t>
            </w:r>
            <w:r w:rsidR="000A076C">
              <w:rPr>
                <w:rFonts w:cs="Calibri"/>
                <w:sz w:val="24"/>
                <w:szCs w:val="24"/>
                <w:lang w:val="fr-CA"/>
              </w:rPr>
              <w:t>pénal</w:t>
            </w:r>
            <w:r w:rsidRPr="00A317D7">
              <w:rPr>
                <w:rFonts w:cs="Calibri"/>
                <w:sz w:val="24"/>
                <w:szCs w:val="24"/>
                <w:lang w:val="fr-CA"/>
              </w:rPr>
              <w:t>,</w:t>
            </w:r>
            <w:r w:rsidR="000A076C">
              <w:rPr>
                <w:rFonts w:cs="Calibri"/>
                <w:sz w:val="24"/>
                <w:szCs w:val="24"/>
                <w:lang w:val="fr-CA"/>
              </w:rPr>
              <w:t xml:space="preserve"> </w:t>
            </w:r>
            <w:r w:rsidR="006D1BB1" w:rsidRPr="006D1BB1">
              <w:rPr>
                <w:rFonts w:cs="Calibri"/>
                <w:sz w:val="24"/>
                <w:szCs w:val="24"/>
                <w:lang w:val="fr-CA"/>
              </w:rPr>
              <w:t>mi</w:t>
            </w:r>
            <w:r w:rsidR="006D1BB1">
              <w:rPr>
                <w:rFonts w:cs="Calibri"/>
                <w:sz w:val="24"/>
                <w:szCs w:val="24"/>
                <w:lang w:val="fr-CA"/>
              </w:rPr>
              <w:t xml:space="preserve">nistère </w:t>
            </w:r>
            <w:r w:rsidR="006D1BB1" w:rsidRPr="006D1BB1">
              <w:rPr>
                <w:rFonts w:cs="Calibri"/>
                <w:sz w:val="24"/>
                <w:szCs w:val="24"/>
                <w:lang w:val="fr-CA"/>
              </w:rPr>
              <w:t xml:space="preserve">du </w:t>
            </w:r>
            <w:r w:rsidR="006D1BB1">
              <w:rPr>
                <w:rFonts w:cs="Calibri"/>
                <w:sz w:val="24"/>
                <w:szCs w:val="24"/>
                <w:lang w:val="fr-CA"/>
              </w:rPr>
              <w:t>P</w:t>
            </w:r>
            <w:r w:rsidR="006D1BB1" w:rsidRPr="006D1BB1">
              <w:rPr>
                <w:rFonts w:cs="Calibri"/>
                <w:sz w:val="24"/>
                <w:szCs w:val="24"/>
                <w:lang w:val="fr-CA"/>
              </w:rPr>
              <w:t>rocureur général</w:t>
            </w:r>
          </w:p>
          <w:p w14:paraId="6BC4515B" w14:textId="77777777" w:rsidR="00301EA7" w:rsidRPr="00A317D7" w:rsidRDefault="00301EA7" w:rsidP="00301EA7">
            <w:pPr>
              <w:rPr>
                <w:rFonts w:cs="Calibri"/>
                <w:sz w:val="24"/>
                <w:szCs w:val="24"/>
                <w:lang w:val="fr-CA"/>
              </w:rPr>
            </w:pPr>
          </w:p>
          <w:p w14:paraId="6571F0F0" w14:textId="7A4C380A" w:rsidR="00301EA7" w:rsidRPr="00A317D7" w:rsidRDefault="00301EA7" w:rsidP="00301EA7">
            <w:pPr>
              <w:rPr>
                <w:rFonts w:cs="Calibri"/>
                <w:sz w:val="24"/>
                <w:szCs w:val="24"/>
                <w:lang w:val="fr-CA"/>
              </w:rPr>
            </w:pPr>
            <w:r w:rsidRPr="00A610A1">
              <w:rPr>
                <w:rFonts w:cs="Calibri"/>
                <w:b/>
                <w:sz w:val="24"/>
                <w:szCs w:val="24"/>
                <w:lang w:val="fr-CA"/>
              </w:rPr>
              <w:t>Savio Pereira</w:t>
            </w:r>
            <w:r w:rsidRPr="00A317D7">
              <w:rPr>
                <w:rFonts w:cs="Calibri"/>
                <w:sz w:val="24"/>
                <w:szCs w:val="24"/>
                <w:lang w:val="fr-CA"/>
              </w:rPr>
              <w:t xml:space="preserve">, </w:t>
            </w:r>
            <w:r w:rsidR="003A19AE" w:rsidRPr="003A19AE">
              <w:rPr>
                <w:rFonts w:cs="Calibri"/>
                <w:sz w:val="24"/>
                <w:szCs w:val="24"/>
                <w:lang w:val="fr-CA"/>
              </w:rPr>
              <w:t>Section des normes policières</w:t>
            </w:r>
            <w:r w:rsidRPr="00A317D7">
              <w:rPr>
                <w:rFonts w:cs="Calibri"/>
                <w:sz w:val="24"/>
                <w:szCs w:val="24"/>
                <w:lang w:val="fr-CA"/>
              </w:rPr>
              <w:t xml:space="preserve">, </w:t>
            </w:r>
            <w:r w:rsidR="006D1BB1" w:rsidRPr="006D1BB1">
              <w:rPr>
                <w:rFonts w:cs="Calibri"/>
                <w:sz w:val="24"/>
                <w:szCs w:val="24"/>
                <w:lang w:val="fr-CA"/>
              </w:rPr>
              <w:t>mini</w:t>
            </w:r>
            <w:r w:rsidR="006D1BB1">
              <w:rPr>
                <w:rFonts w:cs="Calibri"/>
                <w:sz w:val="24"/>
                <w:szCs w:val="24"/>
                <w:lang w:val="fr-CA"/>
              </w:rPr>
              <w:t>s</w:t>
            </w:r>
            <w:r w:rsidR="006D1BB1" w:rsidRPr="006D1BB1">
              <w:rPr>
                <w:rFonts w:cs="Calibri"/>
                <w:sz w:val="24"/>
                <w:szCs w:val="24"/>
                <w:lang w:val="fr-CA"/>
              </w:rPr>
              <w:t>t</w:t>
            </w:r>
            <w:r w:rsidR="006D1BB1">
              <w:rPr>
                <w:rFonts w:cs="Calibri"/>
                <w:sz w:val="24"/>
                <w:szCs w:val="24"/>
                <w:lang w:val="fr-CA"/>
              </w:rPr>
              <w:t>è</w:t>
            </w:r>
            <w:r w:rsidR="006D1BB1" w:rsidRPr="006D1BB1">
              <w:rPr>
                <w:rFonts w:cs="Calibri"/>
                <w:sz w:val="24"/>
                <w:szCs w:val="24"/>
                <w:lang w:val="fr-CA"/>
              </w:rPr>
              <w:t xml:space="preserve">re du </w:t>
            </w:r>
            <w:r w:rsidR="000A076C">
              <w:rPr>
                <w:rFonts w:cs="Calibri"/>
                <w:sz w:val="24"/>
                <w:szCs w:val="24"/>
                <w:lang w:val="fr-CA"/>
              </w:rPr>
              <w:t>S</w:t>
            </w:r>
            <w:r w:rsidR="006D1BB1" w:rsidRPr="006D1BB1">
              <w:rPr>
                <w:rFonts w:cs="Calibri"/>
                <w:sz w:val="24"/>
                <w:szCs w:val="24"/>
                <w:lang w:val="fr-CA"/>
              </w:rPr>
              <w:t>olliciteur gé</w:t>
            </w:r>
            <w:r w:rsidR="006D1BB1">
              <w:rPr>
                <w:rFonts w:cs="Calibri"/>
                <w:sz w:val="24"/>
                <w:szCs w:val="24"/>
                <w:lang w:val="fr-CA"/>
              </w:rPr>
              <w:t>néral</w:t>
            </w:r>
          </w:p>
          <w:p w14:paraId="5F352225" w14:textId="77777777" w:rsidR="00301EA7" w:rsidRPr="00A317D7" w:rsidRDefault="00301EA7" w:rsidP="00301EA7">
            <w:pPr>
              <w:rPr>
                <w:rFonts w:cs="Calibri"/>
                <w:sz w:val="24"/>
                <w:szCs w:val="24"/>
                <w:lang w:val="fr-CA"/>
              </w:rPr>
            </w:pPr>
          </w:p>
          <w:p w14:paraId="146BC20E" w14:textId="673B31B1" w:rsidR="00301EA7" w:rsidRPr="003A19AE" w:rsidRDefault="00301EA7" w:rsidP="00301EA7">
            <w:pPr>
              <w:rPr>
                <w:rFonts w:cs="Calibri"/>
                <w:sz w:val="24"/>
                <w:szCs w:val="24"/>
                <w:lang w:val="fr-CA"/>
              </w:rPr>
            </w:pPr>
            <w:r w:rsidRPr="00A610A1">
              <w:rPr>
                <w:rFonts w:cs="Calibri"/>
                <w:b/>
                <w:sz w:val="24"/>
                <w:szCs w:val="24"/>
                <w:lang w:val="fr-CA"/>
              </w:rPr>
              <w:t>Profess</w:t>
            </w:r>
            <w:r w:rsidR="003A19AE" w:rsidRPr="00A610A1">
              <w:rPr>
                <w:rFonts w:cs="Calibri"/>
                <w:b/>
                <w:sz w:val="24"/>
                <w:szCs w:val="24"/>
                <w:lang w:val="fr-CA"/>
              </w:rPr>
              <w:t>eu</w:t>
            </w:r>
            <w:r w:rsidRPr="00A610A1">
              <w:rPr>
                <w:rFonts w:cs="Calibri"/>
                <w:b/>
                <w:sz w:val="24"/>
                <w:szCs w:val="24"/>
                <w:lang w:val="fr-CA"/>
              </w:rPr>
              <w:t>r Ben Perrin</w:t>
            </w:r>
            <w:r w:rsidRPr="003A19AE">
              <w:rPr>
                <w:rFonts w:cs="Calibri"/>
                <w:sz w:val="24"/>
                <w:szCs w:val="24"/>
                <w:lang w:val="fr-CA"/>
              </w:rPr>
              <w:t xml:space="preserve">, </w:t>
            </w:r>
            <w:r w:rsidR="003A19AE" w:rsidRPr="003A19AE">
              <w:rPr>
                <w:rFonts w:cs="Calibri"/>
                <w:sz w:val="24"/>
                <w:szCs w:val="24"/>
                <w:lang w:val="fr-CA"/>
              </w:rPr>
              <w:t>f</w:t>
            </w:r>
            <w:r w:rsidRPr="003A19AE">
              <w:rPr>
                <w:rFonts w:cs="Calibri"/>
                <w:sz w:val="24"/>
                <w:szCs w:val="24"/>
                <w:lang w:val="fr-CA"/>
              </w:rPr>
              <w:t>acult</w:t>
            </w:r>
            <w:r w:rsidR="003A19AE" w:rsidRPr="003A19AE">
              <w:rPr>
                <w:rFonts w:cs="Calibri"/>
                <w:sz w:val="24"/>
                <w:szCs w:val="24"/>
                <w:lang w:val="fr-CA"/>
              </w:rPr>
              <w:t>é de droit</w:t>
            </w:r>
            <w:r w:rsidRPr="003A19AE">
              <w:rPr>
                <w:rFonts w:cs="Calibri"/>
                <w:sz w:val="24"/>
                <w:szCs w:val="24"/>
                <w:lang w:val="fr-CA"/>
              </w:rPr>
              <w:t>, Universit</w:t>
            </w:r>
            <w:r w:rsidR="003A19AE" w:rsidRPr="003A19AE">
              <w:rPr>
                <w:rFonts w:cs="Calibri"/>
                <w:sz w:val="24"/>
                <w:szCs w:val="24"/>
                <w:lang w:val="fr-CA"/>
              </w:rPr>
              <w:t xml:space="preserve">é </w:t>
            </w:r>
            <w:r w:rsidR="003A19AE">
              <w:rPr>
                <w:rFonts w:cs="Calibri"/>
                <w:sz w:val="24"/>
                <w:szCs w:val="24"/>
                <w:lang w:val="fr-CA"/>
              </w:rPr>
              <w:t>de la Colombie-Britannique</w:t>
            </w:r>
          </w:p>
          <w:p w14:paraId="05005A0C" w14:textId="77777777" w:rsidR="00301EA7" w:rsidRPr="003A19AE" w:rsidRDefault="00301EA7" w:rsidP="00301EA7">
            <w:pPr>
              <w:rPr>
                <w:rFonts w:cs="Calibri"/>
                <w:sz w:val="24"/>
                <w:szCs w:val="24"/>
                <w:lang w:val="fr-CA"/>
              </w:rPr>
            </w:pPr>
          </w:p>
          <w:p w14:paraId="798B325B" w14:textId="30A844FC" w:rsidR="00301EA7" w:rsidRPr="00A317D7" w:rsidRDefault="00301EA7" w:rsidP="00301EA7">
            <w:pPr>
              <w:rPr>
                <w:rFonts w:cs="Calibri"/>
                <w:sz w:val="24"/>
                <w:szCs w:val="24"/>
                <w:lang w:val="fr-CA"/>
              </w:rPr>
            </w:pPr>
            <w:r w:rsidRPr="00A610A1">
              <w:rPr>
                <w:rFonts w:cs="Calibri"/>
                <w:b/>
                <w:sz w:val="24"/>
                <w:szCs w:val="24"/>
                <w:lang w:val="fr-CA"/>
              </w:rPr>
              <w:t>Michael Swinburne</w:t>
            </w:r>
            <w:r w:rsidRPr="00A317D7">
              <w:rPr>
                <w:rFonts w:cs="Calibri"/>
                <w:sz w:val="24"/>
                <w:szCs w:val="24"/>
                <w:lang w:val="fr-CA"/>
              </w:rPr>
              <w:t xml:space="preserve">, </w:t>
            </w:r>
            <w:r w:rsidR="000A076C">
              <w:rPr>
                <w:rFonts w:cs="Calibri"/>
                <w:sz w:val="24"/>
                <w:szCs w:val="24"/>
                <w:lang w:val="fr-CA"/>
              </w:rPr>
              <w:t>c</w:t>
            </w:r>
            <w:r w:rsidR="003A19AE" w:rsidRPr="003A19AE">
              <w:rPr>
                <w:rFonts w:cs="Calibri"/>
                <w:sz w:val="24"/>
                <w:szCs w:val="24"/>
                <w:lang w:val="fr-CA"/>
              </w:rPr>
              <w:t xml:space="preserve">onseiller </w:t>
            </w:r>
            <w:r w:rsidR="000A076C" w:rsidRPr="000A076C">
              <w:rPr>
                <w:rFonts w:cs="Calibri"/>
                <w:sz w:val="24"/>
                <w:szCs w:val="24"/>
                <w:lang w:val="fr-CA"/>
              </w:rPr>
              <w:t>principal en politiques</w:t>
            </w:r>
            <w:r w:rsidRPr="00A317D7">
              <w:rPr>
                <w:rFonts w:cs="Calibri"/>
                <w:sz w:val="24"/>
                <w:szCs w:val="24"/>
                <w:lang w:val="fr-CA"/>
              </w:rPr>
              <w:t xml:space="preserve">, </w:t>
            </w:r>
            <w:r w:rsidR="003A19AE" w:rsidRPr="003A19AE">
              <w:rPr>
                <w:rFonts w:cs="Calibri"/>
                <w:sz w:val="24"/>
                <w:szCs w:val="24"/>
                <w:lang w:val="fr-CA"/>
              </w:rPr>
              <w:t>Commission canadienne des droits de la personne</w:t>
            </w:r>
          </w:p>
          <w:p w14:paraId="6C17CF82" w14:textId="77777777" w:rsidR="00301EA7" w:rsidRPr="00A317D7" w:rsidRDefault="00301EA7" w:rsidP="00301EA7">
            <w:pPr>
              <w:rPr>
                <w:rFonts w:cs="Calibri"/>
                <w:sz w:val="24"/>
                <w:szCs w:val="24"/>
                <w:lang w:val="fr-CA"/>
              </w:rPr>
            </w:pPr>
          </w:p>
          <w:p w14:paraId="68809134" w14:textId="74C88688" w:rsidR="00301EA7" w:rsidRPr="003A19AE" w:rsidRDefault="00301EA7" w:rsidP="003A19AE">
            <w:pPr>
              <w:rPr>
                <w:rFonts w:cs="Calibri"/>
                <w:sz w:val="24"/>
                <w:szCs w:val="24"/>
                <w:lang w:val="fr-CA"/>
              </w:rPr>
            </w:pPr>
            <w:r w:rsidRPr="00A610A1">
              <w:rPr>
                <w:rFonts w:cs="Calibri"/>
                <w:b/>
                <w:sz w:val="24"/>
                <w:szCs w:val="24"/>
                <w:lang w:val="fr-CA"/>
              </w:rPr>
              <w:t>Profess</w:t>
            </w:r>
            <w:r w:rsidR="003A19AE" w:rsidRPr="00A610A1">
              <w:rPr>
                <w:rFonts w:cs="Calibri"/>
                <w:b/>
                <w:sz w:val="24"/>
                <w:szCs w:val="24"/>
                <w:lang w:val="fr-CA"/>
              </w:rPr>
              <w:t>eu</w:t>
            </w:r>
            <w:r w:rsidRPr="00A610A1">
              <w:rPr>
                <w:rFonts w:cs="Calibri"/>
                <w:b/>
                <w:sz w:val="24"/>
                <w:szCs w:val="24"/>
                <w:lang w:val="fr-CA"/>
              </w:rPr>
              <w:t>r David Murakami Wood</w:t>
            </w:r>
            <w:r w:rsidRPr="003A19AE">
              <w:rPr>
                <w:rFonts w:cs="Calibri"/>
                <w:sz w:val="24"/>
                <w:szCs w:val="24"/>
                <w:lang w:val="fr-CA"/>
              </w:rPr>
              <w:t xml:space="preserve">, </w:t>
            </w:r>
            <w:r w:rsidR="003A19AE" w:rsidRPr="003A19AE">
              <w:rPr>
                <w:rFonts w:cs="Calibri"/>
                <w:sz w:val="24"/>
                <w:szCs w:val="24"/>
                <w:lang w:val="fr-CA"/>
              </w:rPr>
              <w:t>département de</w:t>
            </w:r>
            <w:r w:rsidRPr="003A19AE">
              <w:rPr>
                <w:rFonts w:cs="Calibri"/>
                <w:sz w:val="24"/>
                <w:szCs w:val="24"/>
                <w:lang w:val="fr-CA"/>
              </w:rPr>
              <w:t xml:space="preserve"> </w:t>
            </w:r>
            <w:r w:rsidR="003A19AE" w:rsidRPr="003A19AE">
              <w:rPr>
                <w:rFonts w:cs="Calibri"/>
                <w:sz w:val="24"/>
                <w:szCs w:val="24"/>
                <w:lang w:val="fr-CA"/>
              </w:rPr>
              <w:t>c</w:t>
            </w:r>
            <w:r w:rsidRPr="003A19AE">
              <w:rPr>
                <w:rFonts w:cs="Calibri"/>
                <w:sz w:val="24"/>
                <w:szCs w:val="24"/>
                <w:lang w:val="fr-CA"/>
              </w:rPr>
              <w:t>riminolog</w:t>
            </w:r>
            <w:r w:rsidR="003A19AE" w:rsidRPr="003A19AE">
              <w:rPr>
                <w:rFonts w:cs="Calibri"/>
                <w:sz w:val="24"/>
                <w:szCs w:val="24"/>
                <w:lang w:val="fr-CA"/>
              </w:rPr>
              <w:t>ie</w:t>
            </w:r>
            <w:r w:rsidRPr="003A19AE">
              <w:rPr>
                <w:rFonts w:cs="Calibri"/>
                <w:sz w:val="24"/>
                <w:szCs w:val="24"/>
                <w:lang w:val="fr-CA"/>
              </w:rPr>
              <w:t>, Universit</w:t>
            </w:r>
            <w:r w:rsidR="003A19AE" w:rsidRPr="003A19AE">
              <w:rPr>
                <w:rFonts w:cs="Calibri"/>
                <w:sz w:val="24"/>
                <w:szCs w:val="24"/>
                <w:lang w:val="fr-CA"/>
              </w:rPr>
              <w:t xml:space="preserve">é </w:t>
            </w:r>
            <w:r w:rsidR="003A19AE">
              <w:rPr>
                <w:rFonts w:cs="Calibri"/>
                <w:sz w:val="24"/>
                <w:szCs w:val="24"/>
                <w:lang w:val="fr-CA"/>
              </w:rPr>
              <w:t>d’</w:t>
            </w:r>
            <w:r w:rsidRPr="003A19AE">
              <w:rPr>
                <w:rFonts w:cs="Calibri"/>
                <w:sz w:val="24"/>
                <w:szCs w:val="24"/>
                <w:lang w:val="fr-CA"/>
              </w:rPr>
              <w:t>Ottawa</w:t>
            </w:r>
          </w:p>
        </w:tc>
      </w:tr>
    </w:tbl>
    <w:p w14:paraId="24FA4919" w14:textId="77777777" w:rsidR="00301EA7" w:rsidRPr="003A19AE" w:rsidRDefault="00301EA7" w:rsidP="003012E0">
      <w:pPr>
        <w:rPr>
          <w:rFonts w:ascii="Calibri" w:eastAsia="Calibri" w:hAnsi="Calibri" w:cs="Calibri"/>
          <w:b/>
          <w:bCs/>
          <w:lang w:val="fr-CA" w:eastAsia="en-CA"/>
        </w:rPr>
      </w:pPr>
    </w:p>
    <w:p w14:paraId="68ABF565" w14:textId="3F338A2C" w:rsidR="003012E0" w:rsidRPr="00A317D7" w:rsidRDefault="00526A41" w:rsidP="003012E0">
      <w:pPr>
        <w:rPr>
          <w:rFonts w:ascii="Calibri" w:eastAsia="Calibri" w:hAnsi="Calibri" w:cs="Calibri"/>
          <w:b/>
          <w:bCs/>
          <w:lang w:val="fr-CA" w:eastAsia="en-CA"/>
        </w:rPr>
      </w:pPr>
      <w:r>
        <w:rPr>
          <w:rFonts w:ascii="Calibri" w:eastAsia="Calibri" w:hAnsi="Calibri" w:cs="Calibri"/>
          <w:b/>
          <w:bCs/>
          <w:lang w:val="fr-CA" w:eastAsia="en-CA"/>
        </w:rPr>
        <w:t>NON-RESPONSABILITÉ</w:t>
      </w:r>
    </w:p>
    <w:p w14:paraId="0BE281B3" w14:textId="08D17AED" w:rsidR="003012E0" w:rsidRPr="00B44FA2" w:rsidRDefault="00B44FA2" w:rsidP="003012E0">
      <w:pPr>
        <w:rPr>
          <w:rFonts w:eastAsia="Calibri"/>
          <w:lang w:val="fr-CA" w:eastAsia="en-CA"/>
        </w:rPr>
      </w:pPr>
      <w:r w:rsidRPr="00B44FA2">
        <w:rPr>
          <w:rFonts w:eastAsia="Calibri"/>
          <w:lang w:val="fr-CA" w:eastAsia="en-CA"/>
        </w:rPr>
        <w:t>L</w:t>
      </w:r>
      <w:r w:rsidR="00C62E0C">
        <w:rPr>
          <w:rFonts w:eastAsia="Calibri"/>
          <w:lang w:val="fr-CA" w:eastAsia="en-CA"/>
        </w:rPr>
        <w:t>’</w:t>
      </w:r>
      <w:r w:rsidRPr="00B44FA2">
        <w:rPr>
          <w:rFonts w:eastAsia="Calibri"/>
          <w:lang w:val="fr-CA" w:eastAsia="en-CA"/>
        </w:rPr>
        <w:t xml:space="preserve">analyse, les conclusions et les recommandations </w:t>
      </w:r>
      <w:r w:rsidR="00526A41">
        <w:rPr>
          <w:rFonts w:eastAsia="Calibri"/>
          <w:lang w:val="fr-CA" w:eastAsia="en-CA"/>
        </w:rPr>
        <w:t xml:space="preserve">présentées </w:t>
      </w:r>
      <w:r w:rsidRPr="00B44FA2">
        <w:rPr>
          <w:rFonts w:eastAsia="Calibri"/>
          <w:lang w:val="fr-CA" w:eastAsia="en-CA"/>
        </w:rPr>
        <w:t xml:space="preserve">dans le présent document ne reflètent pas nécessairement les opinions des bailleurs de fonds, des contributeurs, des membres du comité consultatif ou des auteurs des </w:t>
      </w:r>
      <w:r w:rsidR="008D728C" w:rsidRPr="008D728C">
        <w:rPr>
          <w:rFonts w:eastAsia="Calibri"/>
          <w:lang w:val="fr-CA" w:eastAsia="en-CA"/>
        </w:rPr>
        <w:t>document</w:t>
      </w:r>
      <w:r w:rsidR="008D728C">
        <w:rPr>
          <w:rFonts w:eastAsia="Calibri"/>
          <w:lang w:val="fr-CA" w:eastAsia="en-CA"/>
        </w:rPr>
        <w:t>s</w:t>
      </w:r>
      <w:r w:rsidR="008D728C" w:rsidRPr="008D728C">
        <w:rPr>
          <w:rFonts w:eastAsia="Calibri"/>
          <w:lang w:val="fr-CA" w:eastAsia="en-CA"/>
        </w:rPr>
        <w:t xml:space="preserve"> thématique</w:t>
      </w:r>
      <w:r w:rsidR="008D728C">
        <w:rPr>
          <w:rFonts w:eastAsia="Calibri"/>
          <w:lang w:val="fr-CA" w:eastAsia="en-CA"/>
        </w:rPr>
        <w:t>s</w:t>
      </w:r>
      <w:r w:rsidR="008D728C" w:rsidRPr="008D728C">
        <w:rPr>
          <w:rFonts w:eastAsia="Calibri"/>
          <w:lang w:val="fr-CA" w:eastAsia="en-CA"/>
        </w:rPr>
        <w:t xml:space="preserve"> </w:t>
      </w:r>
      <w:r w:rsidRPr="00B44FA2">
        <w:rPr>
          <w:rFonts w:eastAsia="Calibri"/>
          <w:lang w:val="fr-CA" w:eastAsia="en-CA"/>
        </w:rPr>
        <w:t>de la CDO</w:t>
      </w:r>
      <w:r w:rsidR="003012E0" w:rsidRPr="00B44FA2">
        <w:rPr>
          <w:rFonts w:eastAsia="Calibri"/>
          <w:lang w:val="fr-CA" w:eastAsia="en-CA"/>
        </w:rPr>
        <w:t xml:space="preserve">. </w:t>
      </w:r>
    </w:p>
    <w:p w14:paraId="23E1589F" w14:textId="487527F8" w:rsidR="003012E0" w:rsidRPr="00B44FA2" w:rsidRDefault="00B44FA2" w:rsidP="003012E0">
      <w:pPr>
        <w:rPr>
          <w:rFonts w:eastAsia="Calibri"/>
          <w:lang w:val="fr-CA" w:eastAsia="en-CA"/>
        </w:rPr>
      </w:pPr>
      <w:r w:rsidRPr="00B44FA2">
        <w:rPr>
          <w:rFonts w:eastAsia="Calibri"/>
          <w:lang w:val="fr-CA" w:eastAsia="en-CA"/>
        </w:rPr>
        <w:t>L</w:t>
      </w:r>
      <w:r w:rsidR="00C62E0C">
        <w:rPr>
          <w:rFonts w:eastAsia="Calibri"/>
          <w:lang w:val="fr-CA" w:eastAsia="en-CA"/>
        </w:rPr>
        <w:t>’</w:t>
      </w:r>
      <w:r w:rsidRPr="00B44FA2">
        <w:rPr>
          <w:rFonts w:eastAsia="Calibri"/>
          <w:lang w:val="fr-CA" w:eastAsia="en-CA"/>
        </w:rPr>
        <w:t xml:space="preserve">analyse, les conclusions et les recommandations </w:t>
      </w:r>
      <w:r w:rsidR="00526A41">
        <w:rPr>
          <w:rFonts w:eastAsia="Calibri"/>
          <w:lang w:val="fr-CA" w:eastAsia="en-CA"/>
        </w:rPr>
        <w:t xml:space="preserve">présentées </w:t>
      </w:r>
      <w:r w:rsidRPr="00B44FA2">
        <w:rPr>
          <w:rFonts w:eastAsia="Calibri"/>
          <w:lang w:val="fr-CA" w:eastAsia="en-CA"/>
        </w:rPr>
        <w:t xml:space="preserve">dans les </w:t>
      </w:r>
      <w:r w:rsidR="008D728C" w:rsidRPr="008D728C">
        <w:rPr>
          <w:rFonts w:eastAsia="Calibri"/>
          <w:lang w:val="fr-CA" w:eastAsia="en-CA"/>
        </w:rPr>
        <w:t>document</w:t>
      </w:r>
      <w:r w:rsidR="008D728C">
        <w:rPr>
          <w:rFonts w:eastAsia="Calibri"/>
          <w:lang w:val="fr-CA" w:eastAsia="en-CA"/>
        </w:rPr>
        <w:t>s</w:t>
      </w:r>
      <w:r w:rsidR="008D728C" w:rsidRPr="008D728C">
        <w:rPr>
          <w:rFonts w:eastAsia="Calibri"/>
          <w:lang w:val="fr-CA" w:eastAsia="en-CA"/>
        </w:rPr>
        <w:t xml:space="preserve"> thématique</w:t>
      </w:r>
      <w:r w:rsidR="008D728C">
        <w:rPr>
          <w:rFonts w:eastAsia="Calibri"/>
          <w:lang w:val="fr-CA" w:eastAsia="en-CA"/>
        </w:rPr>
        <w:t>s</w:t>
      </w:r>
      <w:r w:rsidR="008D728C" w:rsidRPr="008D728C">
        <w:rPr>
          <w:rFonts w:eastAsia="Calibri"/>
          <w:lang w:val="fr-CA" w:eastAsia="en-CA"/>
        </w:rPr>
        <w:t xml:space="preserve"> </w:t>
      </w:r>
      <w:r w:rsidRPr="00B44FA2">
        <w:rPr>
          <w:rFonts w:eastAsia="Calibri"/>
          <w:lang w:val="fr-CA" w:eastAsia="en-CA"/>
        </w:rPr>
        <w:t>du p</w:t>
      </w:r>
      <w:r>
        <w:rPr>
          <w:rFonts w:eastAsia="Calibri"/>
          <w:lang w:val="fr-CA" w:eastAsia="en-CA"/>
        </w:rPr>
        <w:t xml:space="preserve">rojet </w:t>
      </w:r>
      <w:r w:rsidRPr="00B44FA2">
        <w:rPr>
          <w:rFonts w:eastAsia="Calibri"/>
          <w:lang w:val="fr-CA" w:eastAsia="en-CA"/>
        </w:rPr>
        <w:t xml:space="preserve">ne reflètent pas nécessairement les opinions </w:t>
      </w:r>
      <w:r>
        <w:rPr>
          <w:rFonts w:eastAsia="Calibri"/>
          <w:lang w:val="fr-CA" w:eastAsia="en-CA"/>
        </w:rPr>
        <w:t xml:space="preserve">de la </w:t>
      </w:r>
      <w:r w:rsidR="00DF11B0" w:rsidRPr="00B44FA2">
        <w:rPr>
          <w:rFonts w:eastAsia="Calibri"/>
          <w:lang w:val="fr-CA" w:eastAsia="en-CA"/>
        </w:rPr>
        <w:t>CDO</w:t>
      </w:r>
      <w:r w:rsidR="003012E0" w:rsidRPr="00B44FA2">
        <w:rPr>
          <w:rFonts w:eastAsia="Calibri"/>
          <w:lang w:val="fr-CA" w:eastAsia="en-CA"/>
        </w:rPr>
        <w:t xml:space="preserve">, </w:t>
      </w:r>
      <w:r>
        <w:rPr>
          <w:rFonts w:eastAsia="Calibri"/>
          <w:lang w:val="fr-CA" w:eastAsia="en-CA"/>
        </w:rPr>
        <w:t>de ses bailleurs de fonds</w:t>
      </w:r>
      <w:r w:rsidR="003012E0" w:rsidRPr="00B44FA2">
        <w:rPr>
          <w:rFonts w:eastAsia="Calibri"/>
          <w:lang w:val="fr-CA" w:eastAsia="en-CA"/>
        </w:rPr>
        <w:t xml:space="preserve">, </w:t>
      </w:r>
      <w:r w:rsidR="003B653D">
        <w:rPr>
          <w:rFonts w:eastAsia="Calibri"/>
          <w:lang w:val="fr-CA" w:eastAsia="en-CA"/>
        </w:rPr>
        <w:t xml:space="preserve">de ses </w:t>
      </w:r>
      <w:r w:rsidRPr="00B44FA2">
        <w:rPr>
          <w:rFonts w:eastAsia="Calibri"/>
          <w:lang w:val="fr-CA" w:eastAsia="en-CA"/>
        </w:rPr>
        <w:t>contributeurs</w:t>
      </w:r>
      <w:r>
        <w:rPr>
          <w:rFonts w:eastAsia="Calibri"/>
          <w:lang w:val="fr-CA" w:eastAsia="en-CA"/>
        </w:rPr>
        <w:t xml:space="preserve"> ou </w:t>
      </w:r>
      <w:r w:rsidR="003B653D">
        <w:rPr>
          <w:rFonts w:eastAsia="Calibri"/>
          <w:lang w:val="fr-CA" w:eastAsia="en-CA"/>
        </w:rPr>
        <w:t xml:space="preserve">des </w:t>
      </w:r>
      <w:r w:rsidRPr="00B44FA2">
        <w:rPr>
          <w:rFonts w:eastAsia="Calibri"/>
          <w:lang w:val="fr-CA" w:eastAsia="en-CA"/>
        </w:rPr>
        <w:t>membres du comité consultatif</w:t>
      </w:r>
      <w:r w:rsidR="003012E0" w:rsidRPr="00B44FA2">
        <w:rPr>
          <w:rFonts w:eastAsia="Calibri"/>
          <w:lang w:val="fr-CA" w:eastAsia="en-CA"/>
        </w:rPr>
        <w:t>.</w:t>
      </w:r>
    </w:p>
    <w:p w14:paraId="5D805E13" w14:textId="77777777" w:rsidR="005E0126" w:rsidRPr="00B44FA2" w:rsidRDefault="005E0126" w:rsidP="003012E0">
      <w:pPr>
        <w:rPr>
          <w:rFonts w:ascii="Calibri" w:eastAsia="Calibri" w:hAnsi="Calibri" w:cs="Calibri"/>
          <w:b/>
          <w:bCs/>
          <w:lang w:val="fr-CA" w:eastAsia="en-CA"/>
        </w:rPr>
      </w:pPr>
    </w:p>
    <w:p w14:paraId="1A80DCD4" w14:textId="03E4E6BE" w:rsidR="003012E0" w:rsidRPr="00A317D7" w:rsidRDefault="00225A92" w:rsidP="003012E0">
      <w:pPr>
        <w:rPr>
          <w:rFonts w:ascii="Calibri" w:eastAsia="Calibri" w:hAnsi="Calibri" w:cs="Calibri"/>
          <w:b/>
          <w:bCs/>
          <w:lang w:val="fr-CA" w:eastAsia="en-CA"/>
        </w:rPr>
      </w:pPr>
      <w:r>
        <w:rPr>
          <w:rFonts w:ascii="Calibri" w:eastAsia="Calibri" w:hAnsi="Calibri" w:cs="Calibri"/>
          <w:b/>
          <w:bCs/>
          <w:lang w:val="fr-CA" w:eastAsia="en-CA"/>
        </w:rPr>
        <w:t>RÉFÉRENCE</w:t>
      </w:r>
    </w:p>
    <w:p w14:paraId="5CA46A09" w14:textId="4A4F1876" w:rsidR="003012E0" w:rsidRPr="00225A92" w:rsidRDefault="003012E0" w:rsidP="003012E0">
      <w:pPr>
        <w:rPr>
          <w:rFonts w:ascii="Calibri" w:eastAsia="Calibri" w:hAnsi="Calibri" w:cs="Calibri"/>
          <w:lang w:val="fr-CA" w:eastAsia="en-CA"/>
        </w:rPr>
      </w:pPr>
      <w:r w:rsidRPr="00225A92">
        <w:rPr>
          <w:rFonts w:ascii="Calibri" w:eastAsia="Calibri" w:hAnsi="Calibri" w:cs="Calibri"/>
          <w:lang w:val="fr-CA" w:eastAsia="en-CA"/>
        </w:rPr>
        <w:t xml:space="preserve">Commission </w:t>
      </w:r>
      <w:r w:rsidR="00225A92" w:rsidRPr="00225A92">
        <w:rPr>
          <w:rFonts w:ascii="Calibri" w:eastAsia="Calibri" w:hAnsi="Calibri" w:cs="Calibri"/>
          <w:lang w:val="fr-CA" w:eastAsia="en-CA"/>
        </w:rPr>
        <w:t>du droit de l’</w:t>
      </w:r>
      <w:r w:rsidRPr="00225A92">
        <w:rPr>
          <w:rFonts w:ascii="Calibri" w:eastAsia="Calibri" w:hAnsi="Calibri" w:cs="Calibri"/>
          <w:lang w:val="fr-CA" w:eastAsia="en-CA"/>
        </w:rPr>
        <w:t xml:space="preserve">Ontario, </w:t>
      </w:r>
      <w:r w:rsidR="00225A92" w:rsidRPr="00A610A1">
        <w:rPr>
          <w:rFonts w:ascii="Calibri" w:eastAsia="Calibri" w:hAnsi="Calibri" w:cs="Calibri"/>
          <w:b/>
          <w:i/>
          <w:lang w:val="fr-CA" w:eastAsia="en-CA"/>
        </w:rPr>
        <w:t>Sommaire et liste des questions de consultation</w:t>
      </w:r>
      <w:r w:rsidR="00C62E0C" w:rsidRPr="00A610A1">
        <w:rPr>
          <w:rFonts w:ascii="Calibri" w:eastAsia="Calibri" w:hAnsi="Calibri" w:cs="Calibri"/>
          <w:b/>
          <w:i/>
          <w:lang w:val="fr-CA" w:eastAsia="en-CA"/>
        </w:rPr>
        <w:t> </w:t>
      </w:r>
      <w:r w:rsidR="00225A92" w:rsidRPr="00A610A1">
        <w:rPr>
          <w:rFonts w:ascii="Calibri" w:eastAsia="Calibri" w:hAnsi="Calibri" w:cs="Calibri"/>
          <w:b/>
          <w:i/>
          <w:lang w:val="fr-CA" w:eastAsia="en-CA"/>
        </w:rPr>
        <w:t>: projet sur l’IA dans le système de justice pénale</w:t>
      </w:r>
      <w:r w:rsidR="00225A92" w:rsidRPr="00225A92">
        <w:rPr>
          <w:rFonts w:ascii="Calibri" w:eastAsia="Calibri" w:hAnsi="Calibri" w:cs="Calibri"/>
          <w:lang w:val="fr-CA" w:eastAsia="en-CA"/>
        </w:rPr>
        <w:t xml:space="preserve"> </w:t>
      </w:r>
      <w:r w:rsidR="003E2307" w:rsidRPr="00225A92">
        <w:rPr>
          <w:rFonts w:ascii="Calibri" w:eastAsia="Calibri" w:hAnsi="Calibri" w:cs="Calibri"/>
          <w:lang w:val="fr-CA" w:eastAsia="en-CA"/>
        </w:rPr>
        <w:t>(</w:t>
      </w:r>
      <w:r w:rsidR="00225A92">
        <w:rPr>
          <w:rFonts w:ascii="Calibri" w:eastAsia="Calibri" w:hAnsi="Calibri" w:cs="Calibri"/>
          <w:lang w:val="fr-CA" w:eastAsia="en-CA"/>
        </w:rPr>
        <w:t>av</w:t>
      </w:r>
      <w:r w:rsidRPr="00225A92">
        <w:rPr>
          <w:rFonts w:ascii="Calibri" w:eastAsia="Calibri" w:hAnsi="Calibri" w:cs="Calibri"/>
          <w:lang w:val="fr-CA" w:eastAsia="en-CA"/>
        </w:rPr>
        <w:t>ril 2025).</w:t>
      </w:r>
    </w:p>
    <w:p w14:paraId="472C2E4A" w14:textId="04F8B8B5" w:rsidR="00BE16D0" w:rsidRPr="00225A92" w:rsidRDefault="00BE16D0">
      <w:pPr>
        <w:rPr>
          <w:rFonts w:ascii="Calibri" w:eastAsia="Calibri" w:hAnsi="Calibri" w:cs="Calibri"/>
          <w:lang w:val="fr-CA" w:eastAsia="en-CA"/>
        </w:rPr>
      </w:pPr>
      <w:r w:rsidRPr="00225A92">
        <w:rPr>
          <w:rFonts w:ascii="Calibri" w:eastAsia="Calibri" w:hAnsi="Calibri" w:cs="Calibri"/>
          <w:lang w:val="fr-CA" w:eastAsia="en-CA"/>
        </w:rPr>
        <w:br w:type="page"/>
      </w:r>
    </w:p>
    <w:sdt>
      <w:sdtPr>
        <w:rPr>
          <w:rFonts w:asciiTheme="minorHAnsi" w:eastAsiaTheme="minorHAnsi" w:hAnsiTheme="minorHAnsi" w:cstheme="minorBidi"/>
          <w:color w:val="auto"/>
          <w:kern w:val="2"/>
          <w:sz w:val="22"/>
          <w:szCs w:val="22"/>
          <w:lang w:val="en-CA"/>
          <w14:ligatures w14:val="standardContextual"/>
        </w:rPr>
        <w:id w:val="-1675565296"/>
        <w:docPartObj>
          <w:docPartGallery w:val="Table of Contents"/>
          <w:docPartUnique/>
        </w:docPartObj>
      </w:sdtPr>
      <w:sdtEndPr>
        <w:rPr>
          <w:b/>
          <w:bCs/>
          <w:noProof/>
        </w:rPr>
      </w:sdtEndPr>
      <w:sdtContent>
        <w:p w14:paraId="0A369D14" w14:textId="24D85FFD" w:rsidR="00E80A65" w:rsidRDefault="00FD5219" w:rsidP="00E80A65">
          <w:pPr>
            <w:pStyle w:val="TOCHeading"/>
          </w:pPr>
          <w:r>
            <w:t xml:space="preserve">Table des </w:t>
          </w:r>
          <w:r w:rsidRPr="00D15669">
            <w:rPr>
              <w:lang w:val="fr-CA"/>
            </w:rPr>
            <w:t>matières</w:t>
          </w:r>
        </w:p>
        <w:p w14:paraId="02B1854B" w14:textId="77777777" w:rsidR="00240E9F" w:rsidRPr="00240E9F" w:rsidRDefault="00E80A65">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r w:rsidRPr="0030253A">
            <w:rPr>
              <w:b w:val="0"/>
              <w:bCs w:val="0"/>
              <w:i w:val="0"/>
              <w:iCs w:val="0"/>
            </w:rPr>
            <w:fldChar w:fldCharType="begin"/>
          </w:r>
          <w:r w:rsidRPr="0030253A">
            <w:rPr>
              <w:b w:val="0"/>
              <w:bCs w:val="0"/>
              <w:i w:val="0"/>
              <w:iCs w:val="0"/>
            </w:rPr>
            <w:instrText xml:space="preserve"> TOC \o "1-3" \h \z \u </w:instrText>
          </w:r>
          <w:r w:rsidRPr="0030253A">
            <w:rPr>
              <w:b w:val="0"/>
              <w:bCs w:val="0"/>
              <w:i w:val="0"/>
              <w:iCs w:val="0"/>
            </w:rPr>
            <w:fldChar w:fldCharType="separate"/>
          </w:r>
          <w:hyperlink w:anchor="_Toc197599880" w:history="1">
            <w:r w:rsidR="00240E9F" w:rsidRPr="00240E9F">
              <w:rPr>
                <w:rStyle w:val="Hyperlink"/>
                <w:b w:val="0"/>
                <w:i w:val="0"/>
                <w:noProof/>
                <w:lang w:val="fr-CA"/>
              </w:rPr>
              <w:t>1.</w:t>
            </w:r>
            <w:r w:rsidR="00240E9F" w:rsidRPr="00240E9F">
              <w:rPr>
                <w:rFonts w:eastAsiaTheme="minorEastAsia" w:cstheme="minorBidi"/>
                <w:b w:val="0"/>
                <w:bCs w:val="0"/>
                <w:i w:val="0"/>
                <w:iCs w:val="0"/>
                <w:noProof/>
                <w:kern w:val="0"/>
                <w:sz w:val="22"/>
                <w:szCs w:val="22"/>
                <w:lang w:val="en-US"/>
                <w14:ligatures w14:val="none"/>
              </w:rPr>
              <w:tab/>
            </w:r>
            <w:r w:rsidR="00240E9F" w:rsidRPr="00240E9F">
              <w:rPr>
                <w:rStyle w:val="Hyperlink"/>
                <w:b w:val="0"/>
                <w:i w:val="0"/>
                <w:noProof/>
                <w:lang w:val="fr-CA"/>
              </w:rPr>
              <w:t>Projet de la CDO sur l’IA dans le système de justice pénale</w:t>
            </w:r>
            <w:r w:rsidR="00240E9F" w:rsidRPr="00240E9F">
              <w:rPr>
                <w:b w:val="0"/>
                <w:i w:val="0"/>
                <w:noProof/>
                <w:webHidden/>
              </w:rPr>
              <w:tab/>
            </w:r>
            <w:r w:rsidR="00240E9F" w:rsidRPr="00240E9F">
              <w:rPr>
                <w:b w:val="0"/>
                <w:i w:val="0"/>
                <w:noProof/>
                <w:webHidden/>
              </w:rPr>
              <w:fldChar w:fldCharType="begin"/>
            </w:r>
            <w:r w:rsidR="00240E9F" w:rsidRPr="00240E9F">
              <w:rPr>
                <w:b w:val="0"/>
                <w:i w:val="0"/>
                <w:noProof/>
                <w:webHidden/>
              </w:rPr>
              <w:instrText xml:space="preserve"> PAGEREF _Toc197599880 \h </w:instrText>
            </w:r>
            <w:r w:rsidR="00240E9F" w:rsidRPr="00240E9F">
              <w:rPr>
                <w:b w:val="0"/>
                <w:i w:val="0"/>
                <w:noProof/>
                <w:webHidden/>
              </w:rPr>
            </w:r>
            <w:r w:rsidR="00240E9F" w:rsidRPr="00240E9F">
              <w:rPr>
                <w:b w:val="0"/>
                <w:i w:val="0"/>
                <w:noProof/>
                <w:webHidden/>
              </w:rPr>
              <w:fldChar w:fldCharType="separate"/>
            </w:r>
            <w:r w:rsidR="00240E9F" w:rsidRPr="00240E9F">
              <w:rPr>
                <w:b w:val="0"/>
                <w:i w:val="0"/>
                <w:noProof/>
                <w:webHidden/>
              </w:rPr>
              <w:t>6</w:t>
            </w:r>
            <w:r w:rsidR="00240E9F" w:rsidRPr="00240E9F">
              <w:rPr>
                <w:b w:val="0"/>
                <w:i w:val="0"/>
                <w:noProof/>
                <w:webHidden/>
              </w:rPr>
              <w:fldChar w:fldCharType="end"/>
            </w:r>
          </w:hyperlink>
        </w:p>
        <w:p w14:paraId="6F534E3B"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1" w:history="1">
            <w:r w:rsidRPr="00240E9F">
              <w:rPr>
                <w:rStyle w:val="Hyperlink"/>
                <w:b w:val="0"/>
                <w:i w:val="0"/>
                <w:noProof/>
                <w:lang w:val="fr-CA"/>
              </w:rPr>
              <w:t>2.</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À propos de la CDO</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_Toc197599881 \h </w:instrText>
            </w:r>
            <w:r w:rsidRPr="00240E9F">
              <w:rPr>
                <w:b w:val="0"/>
                <w:i w:val="0"/>
                <w:noProof/>
                <w:webHidden/>
              </w:rPr>
            </w:r>
            <w:r w:rsidRPr="00240E9F">
              <w:rPr>
                <w:b w:val="0"/>
                <w:i w:val="0"/>
                <w:noProof/>
                <w:webHidden/>
              </w:rPr>
              <w:fldChar w:fldCharType="separate"/>
            </w:r>
            <w:r w:rsidRPr="00240E9F">
              <w:rPr>
                <w:b w:val="0"/>
                <w:i w:val="0"/>
                <w:noProof/>
                <w:webHidden/>
              </w:rPr>
              <w:t>7</w:t>
            </w:r>
            <w:r w:rsidRPr="00240E9F">
              <w:rPr>
                <w:b w:val="0"/>
                <w:i w:val="0"/>
                <w:noProof/>
                <w:webHidden/>
              </w:rPr>
              <w:fldChar w:fldCharType="end"/>
            </w:r>
          </w:hyperlink>
        </w:p>
        <w:p w14:paraId="69ED3248"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2" w:history="1">
            <w:r w:rsidRPr="00240E9F">
              <w:rPr>
                <w:rStyle w:val="Hyperlink"/>
                <w:rFonts w:eastAsia="Times New Roman"/>
                <w:b w:val="0"/>
                <w:i w:val="0"/>
                <w:noProof/>
                <w:lang w:val="fr-CA" w:eastAsia="en-CA"/>
              </w:rPr>
              <w:t>3.</w:t>
            </w:r>
            <w:r w:rsidRPr="00240E9F">
              <w:rPr>
                <w:rFonts w:eastAsiaTheme="minorEastAsia" w:cstheme="minorBidi"/>
                <w:b w:val="0"/>
                <w:bCs w:val="0"/>
                <w:i w:val="0"/>
                <w:iCs w:val="0"/>
                <w:noProof/>
                <w:kern w:val="0"/>
                <w:sz w:val="22"/>
                <w:szCs w:val="22"/>
                <w:lang w:val="en-US"/>
                <w14:ligatures w14:val="none"/>
              </w:rPr>
              <w:tab/>
            </w:r>
            <w:r w:rsidRPr="00240E9F">
              <w:rPr>
                <w:rStyle w:val="Hyperlink"/>
                <w:rFonts w:eastAsia="Times New Roman"/>
                <w:b w:val="0"/>
                <w:i w:val="0"/>
                <w:noProof/>
                <w:lang w:val="fr-CA" w:eastAsia="en-CA"/>
              </w:rPr>
              <w:t>L’IA dans le système de justice pénale : usages et avantages</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_Toc197599882 \h </w:instrText>
            </w:r>
            <w:r w:rsidRPr="00240E9F">
              <w:rPr>
                <w:b w:val="0"/>
                <w:i w:val="0"/>
                <w:noProof/>
                <w:webHidden/>
              </w:rPr>
            </w:r>
            <w:r w:rsidRPr="00240E9F">
              <w:rPr>
                <w:b w:val="0"/>
                <w:i w:val="0"/>
                <w:noProof/>
                <w:webHidden/>
              </w:rPr>
              <w:fldChar w:fldCharType="separate"/>
            </w:r>
            <w:r w:rsidRPr="00240E9F">
              <w:rPr>
                <w:b w:val="0"/>
                <w:i w:val="0"/>
                <w:noProof/>
                <w:webHidden/>
              </w:rPr>
              <w:t>7</w:t>
            </w:r>
            <w:r w:rsidRPr="00240E9F">
              <w:rPr>
                <w:b w:val="0"/>
                <w:i w:val="0"/>
                <w:noProof/>
                <w:webHidden/>
              </w:rPr>
              <w:fldChar w:fldCharType="end"/>
            </w:r>
          </w:hyperlink>
        </w:p>
        <w:p w14:paraId="4BAEE6DF"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3" w:history="1">
            <w:r w:rsidRPr="00240E9F">
              <w:rPr>
                <w:rStyle w:val="Hyperlink"/>
                <w:b w:val="0"/>
                <w:i w:val="0"/>
                <w:noProof/>
                <w:lang w:val="fr-CA"/>
              </w:rPr>
              <w:t>4.</w:t>
            </w:r>
            <w:r w:rsidRPr="00240E9F">
              <w:rPr>
                <w:rFonts w:eastAsiaTheme="minorEastAsia" w:cstheme="minorBidi"/>
                <w:b w:val="0"/>
                <w:bCs w:val="0"/>
                <w:i w:val="0"/>
                <w:iCs w:val="0"/>
                <w:noProof/>
                <w:kern w:val="0"/>
                <w:sz w:val="22"/>
                <w:szCs w:val="22"/>
                <w:lang w:val="en-US"/>
                <w14:ligatures w14:val="none"/>
              </w:rPr>
              <w:tab/>
            </w:r>
            <w:r w:rsidRPr="00240E9F">
              <w:rPr>
                <w:rStyle w:val="Hyperlink"/>
                <w:rFonts w:eastAsia="Times New Roman"/>
                <w:b w:val="0"/>
                <w:i w:val="0"/>
                <w:noProof/>
                <w:lang w:val="fr-CA" w:eastAsia="en-CA"/>
              </w:rPr>
              <w:t>L’IA dans le système de justice pénale </w:t>
            </w:r>
            <w:r w:rsidRPr="00240E9F">
              <w:rPr>
                <w:rStyle w:val="Hyperlink"/>
                <w:b w:val="0"/>
                <w:i w:val="0"/>
                <w:noProof/>
                <w:lang w:val="fr-CA"/>
              </w:rPr>
              <w:t>: risques et problèmes</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_Toc197599883 \h </w:instrText>
            </w:r>
            <w:r w:rsidRPr="00240E9F">
              <w:rPr>
                <w:b w:val="0"/>
                <w:i w:val="0"/>
                <w:noProof/>
                <w:webHidden/>
              </w:rPr>
            </w:r>
            <w:r w:rsidRPr="00240E9F">
              <w:rPr>
                <w:b w:val="0"/>
                <w:i w:val="0"/>
                <w:noProof/>
                <w:webHidden/>
              </w:rPr>
              <w:fldChar w:fldCharType="separate"/>
            </w:r>
            <w:r w:rsidRPr="00240E9F">
              <w:rPr>
                <w:b w:val="0"/>
                <w:i w:val="0"/>
                <w:noProof/>
                <w:webHidden/>
              </w:rPr>
              <w:t>10</w:t>
            </w:r>
            <w:r w:rsidRPr="00240E9F">
              <w:rPr>
                <w:b w:val="0"/>
                <w:i w:val="0"/>
                <w:noProof/>
                <w:webHidden/>
              </w:rPr>
              <w:fldChar w:fldCharType="end"/>
            </w:r>
          </w:hyperlink>
        </w:p>
        <w:p w14:paraId="0FDBD660"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4" w:history="1">
            <w:r w:rsidRPr="00240E9F">
              <w:rPr>
                <w:rStyle w:val="Hyperlink"/>
                <w:b w:val="0"/>
                <w:i w:val="0"/>
                <w:noProof/>
                <w:lang w:val="fr-CA"/>
              </w:rPr>
              <w:t>5.</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Les avantages et les risques de l’IA en contexte</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_Toc197599884 \h </w:instrText>
            </w:r>
            <w:r w:rsidRPr="00240E9F">
              <w:rPr>
                <w:b w:val="0"/>
                <w:i w:val="0"/>
                <w:noProof/>
                <w:webHidden/>
              </w:rPr>
            </w:r>
            <w:r w:rsidRPr="00240E9F">
              <w:rPr>
                <w:b w:val="0"/>
                <w:i w:val="0"/>
                <w:noProof/>
                <w:webHidden/>
              </w:rPr>
              <w:fldChar w:fldCharType="separate"/>
            </w:r>
            <w:r w:rsidRPr="00240E9F">
              <w:rPr>
                <w:b w:val="0"/>
                <w:i w:val="0"/>
                <w:noProof/>
                <w:webHidden/>
              </w:rPr>
              <w:t>12</w:t>
            </w:r>
            <w:r w:rsidRPr="00240E9F">
              <w:rPr>
                <w:b w:val="0"/>
                <w:i w:val="0"/>
                <w:noProof/>
                <w:webHidden/>
              </w:rPr>
              <w:fldChar w:fldCharType="end"/>
            </w:r>
          </w:hyperlink>
        </w:p>
        <w:p w14:paraId="7FBBE0C9"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5" w:history="1">
            <w:r w:rsidRPr="00240E9F">
              <w:rPr>
                <w:rStyle w:val="Hyperlink"/>
                <w:b w:val="0"/>
                <w:i w:val="0"/>
                <w:noProof/>
                <w:lang w:val="fr-CA"/>
              </w:rPr>
              <w:t>6.</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Aperçu des documents thématiques du projet sur l’IA dans le système de justice pénale</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_Toc197599885 \h </w:instrText>
            </w:r>
            <w:r w:rsidRPr="00240E9F">
              <w:rPr>
                <w:b w:val="0"/>
                <w:i w:val="0"/>
                <w:noProof/>
                <w:webHidden/>
              </w:rPr>
            </w:r>
            <w:r w:rsidRPr="00240E9F">
              <w:rPr>
                <w:b w:val="0"/>
                <w:i w:val="0"/>
                <w:noProof/>
                <w:webHidden/>
              </w:rPr>
              <w:fldChar w:fldCharType="separate"/>
            </w:r>
            <w:r w:rsidRPr="00240E9F">
              <w:rPr>
                <w:b w:val="0"/>
                <w:i w:val="0"/>
                <w:noProof/>
                <w:webHidden/>
              </w:rPr>
              <w:t>12</w:t>
            </w:r>
            <w:r w:rsidRPr="00240E9F">
              <w:rPr>
                <w:b w:val="0"/>
                <w:i w:val="0"/>
                <w:noProof/>
                <w:webHidden/>
              </w:rPr>
              <w:fldChar w:fldCharType="end"/>
            </w:r>
          </w:hyperlink>
        </w:p>
        <w:p w14:paraId="65AB7CE6"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6" w:history="1">
            <w:r w:rsidRPr="00240E9F">
              <w:rPr>
                <w:rStyle w:val="Hyperlink"/>
                <w:b w:val="0"/>
                <w:i w:val="0"/>
                <w:noProof/>
                <w:lang w:val="fr-CA"/>
              </w:rPr>
              <w:t>7.</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Une IA fiable dans le système de justice pénale</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_Toc197599886 \h </w:instrText>
            </w:r>
            <w:r w:rsidRPr="00240E9F">
              <w:rPr>
                <w:b w:val="0"/>
                <w:i w:val="0"/>
                <w:noProof/>
                <w:webHidden/>
              </w:rPr>
            </w:r>
            <w:r w:rsidRPr="00240E9F">
              <w:rPr>
                <w:b w:val="0"/>
                <w:i w:val="0"/>
                <w:noProof/>
                <w:webHidden/>
              </w:rPr>
              <w:fldChar w:fldCharType="separate"/>
            </w:r>
            <w:r w:rsidRPr="00240E9F">
              <w:rPr>
                <w:b w:val="0"/>
                <w:i w:val="0"/>
                <w:noProof/>
                <w:webHidden/>
              </w:rPr>
              <w:t>14</w:t>
            </w:r>
            <w:r w:rsidRPr="00240E9F">
              <w:rPr>
                <w:b w:val="0"/>
                <w:i w:val="0"/>
                <w:noProof/>
                <w:webHidden/>
              </w:rPr>
              <w:fldChar w:fldCharType="end"/>
            </w:r>
          </w:hyperlink>
        </w:p>
        <w:p w14:paraId="7EE36362"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87" w:history="1">
            <w:r w:rsidRPr="00240E9F">
              <w:rPr>
                <w:rStyle w:val="Hyperlink"/>
                <w:b w:val="0"/>
                <w:i w:val="0"/>
                <w:noProof/>
                <w:lang w:val="fr-CA"/>
              </w:rPr>
              <w:t>8.</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Une IA fiable dans le système de justice pénale canadien</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_Toc197599887 \h </w:instrText>
            </w:r>
            <w:r w:rsidRPr="00240E9F">
              <w:rPr>
                <w:b w:val="0"/>
                <w:i w:val="0"/>
                <w:noProof/>
                <w:webHidden/>
              </w:rPr>
            </w:r>
            <w:r w:rsidRPr="00240E9F">
              <w:rPr>
                <w:b w:val="0"/>
                <w:i w:val="0"/>
                <w:noProof/>
                <w:webHidden/>
              </w:rPr>
              <w:fldChar w:fldCharType="separate"/>
            </w:r>
            <w:r w:rsidRPr="00240E9F">
              <w:rPr>
                <w:b w:val="0"/>
                <w:i w:val="0"/>
                <w:noProof/>
                <w:webHidden/>
              </w:rPr>
              <w:t>15</w:t>
            </w:r>
            <w:r w:rsidRPr="00240E9F">
              <w:rPr>
                <w:b w:val="0"/>
                <w:i w:val="0"/>
                <w:noProof/>
                <w:webHidden/>
              </w:rPr>
              <w:fldChar w:fldCharType="end"/>
            </w:r>
          </w:hyperlink>
        </w:p>
        <w:p w14:paraId="7468B304" w14:textId="77777777" w:rsidR="00240E9F" w:rsidRPr="00240E9F" w:rsidRDefault="00240E9F">
          <w:pPr>
            <w:pStyle w:val="TOC2"/>
            <w:tabs>
              <w:tab w:val="right" w:leader="dot" w:pos="9465"/>
            </w:tabs>
            <w:rPr>
              <w:rFonts w:eastAsiaTheme="minorEastAsia" w:cstheme="minorBidi"/>
              <w:b w:val="0"/>
              <w:bCs w:val="0"/>
              <w:noProof/>
              <w:kern w:val="0"/>
              <w:lang w:val="en-US"/>
              <w14:ligatures w14:val="none"/>
            </w:rPr>
          </w:pPr>
          <w:hyperlink w:anchor="_Toc197599888" w:history="1">
            <w:r w:rsidRPr="00240E9F">
              <w:rPr>
                <w:rStyle w:val="Hyperlink"/>
                <w:b w:val="0"/>
                <w:noProof/>
                <w:lang w:val="fr-CA"/>
              </w:rPr>
              <w:t>Lois et politiques existantes</w:t>
            </w:r>
            <w:r w:rsidRPr="00240E9F">
              <w:rPr>
                <w:b w:val="0"/>
                <w:noProof/>
                <w:webHidden/>
              </w:rPr>
              <w:tab/>
            </w:r>
            <w:r w:rsidRPr="00240E9F">
              <w:rPr>
                <w:b w:val="0"/>
                <w:noProof/>
                <w:webHidden/>
              </w:rPr>
              <w:fldChar w:fldCharType="begin"/>
            </w:r>
            <w:r w:rsidRPr="00240E9F">
              <w:rPr>
                <w:b w:val="0"/>
                <w:noProof/>
                <w:webHidden/>
              </w:rPr>
              <w:instrText xml:space="preserve"> PAGEREF _Toc197599888 \h </w:instrText>
            </w:r>
            <w:r w:rsidRPr="00240E9F">
              <w:rPr>
                <w:b w:val="0"/>
                <w:noProof/>
                <w:webHidden/>
              </w:rPr>
            </w:r>
            <w:r w:rsidRPr="00240E9F">
              <w:rPr>
                <w:b w:val="0"/>
                <w:noProof/>
                <w:webHidden/>
              </w:rPr>
              <w:fldChar w:fldCharType="separate"/>
            </w:r>
            <w:r w:rsidRPr="00240E9F">
              <w:rPr>
                <w:b w:val="0"/>
                <w:noProof/>
                <w:webHidden/>
              </w:rPr>
              <w:t>15</w:t>
            </w:r>
            <w:r w:rsidRPr="00240E9F">
              <w:rPr>
                <w:b w:val="0"/>
                <w:noProof/>
                <w:webHidden/>
              </w:rPr>
              <w:fldChar w:fldCharType="end"/>
            </w:r>
          </w:hyperlink>
        </w:p>
        <w:p w14:paraId="6FA88993" w14:textId="77777777" w:rsidR="00240E9F" w:rsidRPr="00240E9F" w:rsidRDefault="00240E9F">
          <w:pPr>
            <w:pStyle w:val="TOC2"/>
            <w:tabs>
              <w:tab w:val="right" w:leader="dot" w:pos="9465"/>
            </w:tabs>
            <w:rPr>
              <w:rFonts w:eastAsiaTheme="minorEastAsia" w:cstheme="minorBidi"/>
              <w:b w:val="0"/>
              <w:bCs w:val="0"/>
              <w:noProof/>
              <w:kern w:val="0"/>
              <w:lang w:val="en-US"/>
              <w14:ligatures w14:val="none"/>
            </w:rPr>
          </w:pPr>
          <w:hyperlink w:anchor="_Toc197599889" w:history="1">
            <w:r w:rsidRPr="00240E9F">
              <w:rPr>
                <w:rStyle w:val="Hyperlink"/>
                <w:b w:val="0"/>
                <w:noProof/>
                <w:lang w:val="fr-CA"/>
              </w:rPr>
              <w:t>Législation fédérale sur l’IA, directives et politiques gouvernementales</w:t>
            </w:r>
            <w:r w:rsidRPr="00240E9F">
              <w:rPr>
                <w:b w:val="0"/>
                <w:noProof/>
                <w:webHidden/>
              </w:rPr>
              <w:tab/>
            </w:r>
            <w:r w:rsidRPr="00240E9F">
              <w:rPr>
                <w:b w:val="0"/>
                <w:noProof/>
                <w:webHidden/>
              </w:rPr>
              <w:fldChar w:fldCharType="begin"/>
            </w:r>
            <w:r w:rsidRPr="00240E9F">
              <w:rPr>
                <w:b w:val="0"/>
                <w:noProof/>
                <w:webHidden/>
              </w:rPr>
              <w:instrText xml:space="preserve"> PAGEREF _Toc197599889 \h </w:instrText>
            </w:r>
            <w:r w:rsidRPr="00240E9F">
              <w:rPr>
                <w:b w:val="0"/>
                <w:noProof/>
                <w:webHidden/>
              </w:rPr>
            </w:r>
            <w:r w:rsidRPr="00240E9F">
              <w:rPr>
                <w:b w:val="0"/>
                <w:noProof/>
                <w:webHidden/>
              </w:rPr>
              <w:fldChar w:fldCharType="separate"/>
            </w:r>
            <w:r w:rsidRPr="00240E9F">
              <w:rPr>
                <w:b w:val="0"/>
                <w:noProof/>
                <w:webHidden/>
              </w:rPr>
              <w:t>16</w:t>
            </w:r>
            <w:r w:rsidRPr="00240E9F">
              <w:rPr>
                <w:b w:val="0"/>
                <w:noProof/>
                <w:webHidden/>
              </w:rPr>
              <w:fldChar w:fldCharType="end"/>
            </w:r>
          </w:hyperlink>
        </w:p>
        <w:p w14:paraId="2FB2C69D" w14:textId="77777777" w:rsidR="00240E9F" w:rsidRPr="00240E9F" w:rsidRDefault="00240E9F">
          <w:pPr>
            <w:pStyle w:val="TOC2"/>
            <w:tabs>
              <w:tab w:val="right" w:leader="dot" w:pos="9465"/>
            </w:tabs>
            <w:rPr>
              <w:rFonts w:eastAsiaTheme="minorEastAsia" w:cstheme="minorBidi"/>
              <w:b w:val="0"/>
              <w:bCs w:val="0"/>
              <w:noProof/>
              <w:kern w:val="0"/>
              <w:lang w:val="en-US"/>
              <w14:ligatures w14:val="none"/>
            </w:rPr>
          </w:pPr>
          <w:hyperlink w:anchor="_Toc197599890" w:history="1">
            <w:r w:rsidRPr="00240E9F">
              <w:rPr>
                <w:rStyle w:val="Hyperlink"/>
                <w:b w:val="0"/>
                <w:noProof/>
                <w:lang w:val="fr-CA"/>
              </w:rPr>
              <w:t>Législation, directives gouvernementales et politiques en matière d’IA en Ontario</w:t>
            </w:r>
            <w:r w:rsidRPr="00240E9F">
              <w:rPr>
                <w:b w:val="0"/>
                <w:noProof/>
                <w:webHidden/>
              </w:rPr>
              <w:tab/>
            </w:r>
            <w:r w:rsidRPr="00240E9F">
              <w:rPr>
                <w:b w:val="0"/>
                <w:noProof/>
                <w:webHidden/>
              </w:rPr>
              <w:fldChar w:fldCharType="begin"/>
            </w:r>
            <w:r w:rsidRPr="00240E9F">
              <w:rPr>
                <w:b w:val="0"/>
                <w:noProof/>
                <w:webHidden/>
              </w:rPr>
              <w:instrText xml:space="preserve"> PAGEREF _Toc197599890 \h </w:instrText>
            </w:r>
            <w:r w:rsidRPr="00240E9F">
              <w:rPr>
                <w:b w:val="0"/>
                <w:noProof/>
                <w:webHidden/>
              </w:rPr>
            </w:r>
            <w:r w:rsidRPr="00240E9F">
              <w:rPr>
                <w:b w:val="0"/>
                <w:noProof/>
                <w:webHidden/>
              </w:rPr>
              <w:fldChar w:fldCharType="separate"/>
            </w:r>
            <w:r w:rsidRPr="00240E9F">
              <w:rPr>
                <w:b w:val="0"/>
                <w:noProof/>
                <w:webHidden/>
              </w:rPr>
              <w:t>18</w:t>
            </w:r>
            <w:r w:rsidRPr="00240E9F">
              <w:rPr>
                <w:b w:val="0"/>
                <w:noProof/>
                <w:webHidden/>
              </w:rPr>
              <w:fldChar w:fldCharType="end"/>
            </w:r>
          </w:hyperlink>
        </w:p>
        <w:p w14:paraId="787A3266" w14:textId="77777777" w:rsidR="00240E9F" w:rsidRPr="00240E9F" w:rsidRDefault="00240E9F">
          <w:pPr>
            <w:pStyle w:val="TOC2"/>
            <w:tabs>
              <w:tab w:val="right" w:leader="dot" w:pos="9465"/>
            </w:tabs>
            <w:rPr>
              <w:rFonts w:eastAsiaTheme="minorEastAsia" w:cstheme="minorBidi"/>
              <w:b w:val="0"/>
              <w:bCs w:val="0"/>
              <w:noProof/>
              <w:kern w:val="0"/>
              <w:lang w:val="en-US"/>
              <w14:ligatures w14:val="none"/>
            </w:rPr>
          </w:pPr>
          <w:hyperlink w:anchor="_Toc197599891" w:history="1">
            <w:r w:rsidRPr="00240E9F">
              <w:rPr>
                <w:rStyle w:val="Hyperlink"/>
                <w:b w:val="0"/>
                <w:noProof/>
                <w:lang w:val="fr-CA"/>
              </w:rPr>
              <w:t>Directives des commissaires à la protection de la vie privée et des tribunaux canadiens</w:t>
            </w:r>
            <w:r w:rsidRPr="00240E9F">
              <w:rPr>
                <w:b w:val="0"/>
                <w:noProof/>
                <w:webHidden/>
              </w:rPr>
              <w:tab/>
            </w:r>
            <w:r w:rsidRPr="00240E9F">
              <w:rPr>
                <w:b w:val="0"/>
                <w:noProof/>
                <w:webHidden/>
              </w:rPr>
              <w:fldChar w:fldCharType="begin"/>
            </w:r>
            <w:r w:rsidRPr="00240E9F">
              <w:rPr>
                <w:b w:val="0"/>
                <w:noProof/>
                <w:webHidden/>
              </w:rPr>
              <w:instrText xml:space="preserve"> PAGEREF _Toc197599891 \h </w:instrText>
            </w:r>
            <w:r w:rsidRPr="00240E9F">
              <w:rPr>
                <w:b w:val="0"/>
                <w:noProof/>
                <w:webHidden/>
              </w:rPr>
            </w:r>
            <w:r w:rsidRPr="00240E9F">
              <w:rPr>
                <w:b w:val="0"/>
                <w:noProof/>
                <w:webHidden/>
              </w:rPr>
              <w:fldChar w:fldCharType="separate"/>
            </w:r>
            <w:r w:rsidRPr="00240E9F">
              <w:rPr>
                <w:b w:val="0"/>
                <w:noProof/>
                <w:webHidden/>
              </w:rPr>
              <w:t>21</w:t>
            </w:r>
            <w:r w:rsidRPr="00240E9F">
              <w:rPr>
                <w:b w:val="0"/>
                <w:noProof/>
                <w:webHidden/>
              </w:rPr>
              <w:fldChar w:fldCharType="end"/>
            </w:r>
          </w:hyperlink>
        </w:p>
        <w:p w14:paraId="02EC6A32" w14:textId="77777777" w:rsidR="00240E9F" w:rsidRPr="00240E9F" w:rsidRDefault="00240E9F">
          <w:pPr>
            <w:pStyle w:val="TOC1"/>
            <w:tabs>
              <w:tab w:val="left" w:pos="440"/>
              <w:tab w:val="right" w:leader="dot" w:pos="9465"/>
            </w:tabs>
            <w:rPr>
              <w:rFonts w:eastAsiaTheme="minorEastAsia" w:cstheme="minorBidi"/>
              <w:b w:val="0"/>
              <w:bCs w:val="0"/>
              <w:i w:val="0"/>
              <w:iCs w:val="0"/>
              <w:noProof/>
              <w:kern w:val="0"/>
              <w:sz w:val="22"/>
              <w:szCs w:val="22"/>
              <w:lang w:val="en-US"/>
              <w14:ligatures w14:val="none"/>
            </w:rPr>
          </w:pPr>
          <w:hyperlink w:anchor="_Toc197599892" w:history="1">
            <w:r w:rsidRPr="00240E9F">
              <w:rPr>
                <w:rStyle w:val="Hyperlink"/>
                <w:b w:val="0"/>
                <w:i w:val="0"/>
                <w:noProof/>
                <w:lang w:val="fr-CA"/>
              </w:rPr>
              <w:t>9.</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rPr>
              <w:t>Conclusion</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_Toc197599892 \h </w:instrText>
            </w:r>
            <w:r w:rsidRPr="00240E9F">
              <w:rPr>
                <w:b w:val="0"/>
                <w:i w:val="0"/>
                <w:noProof/>
                <w:webHidden/>
              </w:rPr>
            </w:r>
            <w:r w:rsidRPr="00240E9F">
              <w:rPr>
                <w:b w:val="0"/>
                <w:i w:val="0"/>
                <w:noProof/>
                <w:webHidden/>
              </w:rPr>
              <w:fldChar w:fldCharType="separate"/>
            </w:r>
            <w:r w:rsidRPr="00240E9F">
              <w:rPr>
                <w:b w:val="0"/>
                <w:i w:val="0"/>
                <w:noProof/>
                <w:webHidden/>
              </w:rPr>
              <w:t>22</w:t>
            </w:r>
            <w:r w:rsidRPr="00240E9F">
              <w:rPr>
                <w:b w:val="0"/>
                <w:i w:val="0"/>
                <w:noProof/>
                <w:webHidden/>
              </w:rPr>
              <w:fldChar w:fldCharType="end"/>
            </w:r>
          </w:hyperlink>
        </w:p>
        <w:p w14:paraId="42B2AC72" w14:textId="77777777" w:rsidR="00240E9F" w:rsidRPr="00240E9F" w:rsidRDefault="00240E9F">
          <w:pPr>
            <w:pStyle w:val="TOC1"/>
            <w:tabs>
              <w:tab w:val="left" w:pos="660"/>
              <w:tab w:val="right" w:leader="dot" w:pos="9465"/>
            </w:tabs>
            <w:rPr>
              <w:rFonts w:eastAsiaTheme="minorEastAsia" w:cstheme="minorBidi"/>
              <w:b w:val="0"/>
              <w:bCs w:val="0"/>
              <w:i w:val="0"/>
              <w:iCs w:val="0"/>
              <w:noProof/>
              <w:kern w:val="0"/>
              <w:sz w:val="22"/>
              <w:szCs w:val="22"/>
              <w:lang w:val="en-US"/>
              <w14:ligatures w14:val="none"/>
            </w:rPr>
          </w:pPr>
          <w:hyperlink w:anchor="_Toc197599893" w:history="1">
            <w:r w:rsidRPr="00240E9F">
              <w:rPr>
                <w:rStyle w:val="Hyperlink"/>
                <w:b w:val="0"/>
                <w:i w:val="0"/>
                <w:noProof/>
                <w:lang w:val="fr-CA" w:eastAsia="en-CA"/>
              </w:rPr>
              <w:t>10.</w:t>
            </w:r>
            <w:r w:rsidRPr="00240E9F">
              <w:rPr>
                <w:rFonts w:eastAsiaTheme="minorEastAsia" w:cstheme="minorBidi"/>
                <w:b w:val="0"/>
                <w:bCs w:val="0"/>
                <w:i w:val="0"/>
                <w:iCs w:val="0"/>
                <w:noProof/>
                <w:kern w:val="0"/>
                <w:sz w:val="22"/>
                <w:szCs w:val="22"/>
                <w:lang w:val="en-US"/>
                <w14:ligatures w14:val="none"/>
              </w:rPr>
              <w:tab/>
            </w:r>
            <w:r w:rsidRPr="00240E9F">
              <w:rPr>
                <w:rStyle w:val="Hyperlink"/>
                <w:b w:val="0"/>
                <w:i w:val="0"/>
                <w:noProof/>
                <w:lang w:val="fr-CA" w:eastAsia="en-CA"/>
              </w:rPr>
              <w:t>Prochaines étapes et coordonnées</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_Toc197599893 \h </w:instrText>
            </w:r>
            <w:r w:rsidRPr="00240E9F">
              <w:rPr>
                <w:b w:val="0"/>
                <w:i w:val="0"/>
                <w:noProof/>
                <w:webHidden/>
              </w:rPr>
            </w:r>
            <w:r w:rsidRPr="00240E9F">
              <w:rPr>
                <w:b w:val="0"/>
                <w:i w:val="0"/>
                <w:noProof/>
                <w:webHidden/>
              </w:rPr>
              <w:fldChar w:fldCharType="separate"/>
            </w:r>
            <w:r w:rsidRPr="00240E9F">
              <w:rPr>
                <w:b w:val="0"/>
                <w:i w:val="0"/>
                <w:noProof/>
                <w:webHidden/>
              </w:rPr>
              <w:t>23</w:t>
            </w:r>
            <w:r w:rsidRPr="00240E9F">
              <w:rPr>
                <w:b w:val="0"/>
                <w:i w:val="0"/>
                <w:noProof/>
                <w:webHidden/>
              </w:rPr>
              <w:fldChar w:fldCharType="end"/>
            </w:r>
          </w:hyperlink>
        </w:p>
        <w:p w14:paraId="5B8E78AB" w14:textId="77777777" w:rsidR="00240E9F" w:rsidRPr="00240E9F" w:rsidRDefault="00240E9F">
          <w:pPr>
            <w:pStyle w:val="TOC1"/>
            <w:tabs>
              <w:tab w:val="right" w:leader="dot" w:pos="9465"/>
            </w:tabs>
            <w:rPr>
              <w:rFonts w:eastAsiaTheme="minorEastAsia" w:cstheme="minorBidi"/>
              <w:b w:val="0"/>
              <w:bCs w:val="0"/>
              <w:i w:val="0"/>
              <w:iCs w:val="0"/>
              <w:noProof/>
              <w:kern w:val="0"/>
              <w:sz w:val="22"/>
              <w:szCs w:val="22"/>
              <w:lang w:val="en-US"/>
              <w14:ligatures w14:val="none"/>
            </w:rPr>
          </w:pPr>
          <w:hyperlink w:anchor="_Toc197599894" w:history="1">
            <w:r w:rsidRPr="00240E9F">
              <w:rPr>
                <w:rStyle w:val="Hyperlink"/>
                <w:b w:val="0"/>
                <w:i w:val="0"/>
                <w:noProof/>
                <w:lang w:val="fr-CA" w:eastAsia="en-CA"/>
              </w:rPr>
              <w:t>Annexe A – Questions de consultation consolidées</w:t>
            </w:r>
            <w:r w:rsidRPr="00240E9F">
              <w:rPr>
                <w:b w:val="0"/>
                <w:i w:val="0"/>
                <w:noProof/>
                <w:webHidden/>
              </w:rPr>
              <w:tab/>
            </w:r>
            <w:r w:rsidRPr="00240E9F">
              <w:rPr>
                <w:b w:val="0"/>
                <w:i w:val="0"/>
                <w:noProof/>
                <w:webHidden/>
              </w:rPr>
              <w:fldChar w:fldCharType="begin"/>
            </w:r>
            <w:r w:rsidRPr="00240E9F">
              <w:rPr>
                <w:b w:val="0"/>
                <w:i w:val="0"/>
                <w:noProof/>
                <w:webHidden/>
              </w:rPr>
              <w:instrText xml:space="preserve"> PAGEREF _Toc197599894 \h </w:instrText>
            </w:r>
            <w:r w:rsidRPr="00240E9F">
              <w:rPr>
                <w:b w:val="0"/>
                <w:i w:val="0"/>
                <w:noProof/>
                <w:webHidden/>
              </w:rPr>
            </w:r>
            <w:r w:rsidRPr="00240E9F">
              <w:rPr>
                <w:b w:val="0"/>
                <w:i w:val="0"/>
                <w:noProof/>
                <w:webHidden/>
              </w:rPr>
              <w:fldChar w:fldCharType="separate"/>
            </w:r>
            <w:r w:rsidRPr="00240E9F">
              <w:rPr>
                <w:b w:val="0"/>
                <w:i w:val="0"/>
                <w:noProof/>
                <w:webHidden/>
              </w:rPr>
              <w:t>25</w:t>
            </w:r>
            <w:r w:rsidRPr="00240E9F">
              <w:rPr>
                <w:b w:val="0"/>
                <w:i w:val="0"/>
                <w:noProof/>
                <w:webHidden/>
              </w:rPr>
              <w:fldChar w:fldCharType="end"/>
            </w:r>
          </w:hyperlink>
        </w:p>
        <w:p w14:paraId="03B80E25"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895" w:history="1">
            <w:r w:rsidRPr="00240E9F">
              <w:rPr>
                <w:rStyle w:val="Hyperlink"/>
                <w:rFonts w:eastAsia="Aptos"/>
                <w:b w:val="0"/>
                <w:noProof/>
                <w:lang w:val="fr-CA"/>
              </w:rPr>
              <w:t>1.</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Normes provinciales</w:t>
            </w:r>
            <w:r w:rsidRPr="00240E9F">
              <w:rPr>
                <w:b w:val="0"/>
                <w:noProof/>
                <w:webHidden/>
              </w:rPr>
              <w:tab/>
            </w:r>
            <w:r w:rsidRPr="00240E9F">
              <w:rPr>
                <w:b w:val="0"/>
                <w:noProof/>
                <w:webHidden/>
              </w:rPr>
              <w:fldChar w:fldCharType="begin"/>
            </w:r>
            <w:r w:rsidRPr="00240E9F">
              <w:rPr>
                <w:b w:val="0"/>
                <w:noProof/>
                <w:webHidden/>
              </w:rPr>
              <w:instrText xml:space="preserve"> PAGEREF _Toc197599895 \h </w:instrText>
            </w:r>
            <w:r w:rsidRPr="00240E9F">
              <w:rPr>
                <w:b w:val="0"/>
                <w:noProof/>
                <w:webHidden/>
              </w:rPr>
            </w:r>
            <w:r w:rsidRPr="00240E9F">
              <w:rPr>
                <w:b w:val="0"/>
                <w:noProof/>
                <w:webHidden/>
              </w:rPr>
              <w:fldChar w:fldCharType="separate"/>
            </w:r>
            <w:r w:rsidRPr="00240E9F">
              <w:rPr>
                <w:b w:val="0"/>
                <w:noProof/>
                <w:webHidden/>
              </w:rPr>
              <w:t>25</w:t>
            </w:r>
            <w:r w:rsidRPr="00240E9F">
              <w:rPr>
                <w:b w:val="0"/>
                <w:noProof/>
                <w:webHidden/>
              </w:rPr>
              <w:fldChar w:fldCharType="end"/>
            </w:r>
          </w:hyperlink>
        </w:p>
        <w:p w14:paraId="470342A2"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896" w:history="1">
            <w:r w:rsidRPr="00240E9F">
              <w:rPr>
                <w:rStyle w:val="Hyperlink"/>
                <w:rFonts w:eastAsia="Aptos"/>
                <w:b w:val="0"/>
                <w:noProof/>
                <w:lang w:val="fr-CA"/>
              </w:rPr>
              <w:t>2.</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Utilisations interdites et critères de risque</w:t>
            </w:r>
            <w:r w:rsidRPr="00240E9F">
              <w:rPr>
                <w:b w:val="0"/>
                <w:noProof/>
                <w:webHidden/>
              </w:rPr>
              <w:tab/>
            </w:r>
            <w:r w:rsidRPr="00240E9F">
              <w:rPr>
                <w:b w:val="0"/>
                <w:noProof/>
                <w:webHidden/>
              </w:rPr>
              <w:fldChar w:fldCharType="begin"/>
            </w:r>
            <w:r w:rsidRPr="00240E9F">
              <w:rPr>
                <w:b w:val="0"/>
                <w:noProof/>
                <w:webHidden/>
              </w:rPr>
              <w:instrText xml:space="preserve"> PAGEREF _Toc197599896 \h </w:instrText>
            </w:r>
            <w:r w:rsidRPr="00240E9F">
              <w:rPr>
                <w:b w:val="0"/>
                <w:noProof/>
                <w:webHidden/>
              </w:rPr>
            </w:r>
            <w:r w:rsidRPr="00240E9F">
              <w:rPr>
                <w:b w:val="0"/>
                <w:noProof/>
                <w:webHidden/>
              </w:rPr>
              <w:fldChar w:fldCharType="separate"/>
            </w:r>
            <w:r w:rsidRPr="00240E9F">
              <w:rPr>
                <w:b w:val="0"/>
                <w:noProof/>
                <w:webHidden/>
              </w:rPr>
              <w:t>25</w:t>
            </w:r>
            <w:r w:rsidRPr="00240E9F">
              <w:rPr>
                <w:b w:val="0"/>
                <w:noProof/>
                <w:webHidden/>
              </w:rPr>
              <w:fldChar w:fldCharType="end"/>
            </w:r>
          </w:hyperlink>
        </w:p>
        <w:p w14:paraId="63202C99"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897" w:history="1">
            <w:r w:rsidRPr="00240E9F">
              <w:rPr>
                <w:rStyle w:val="Hyperlink"/>
                <w:b w:val="0"/>
                <w:noProof/>
                <w:lang w:val="fr-CA"/>
              </w:rPr>
              <w:t>3.</w:t>
            </w:r>
            <w:r w:rsidRPr="00240E9F">
              <w:rPr>
                <w:rFonts w:eastAsiaTheme="minorEastAsia" w:cstheme="minorBidi"/>
                <w:b w:val="0"/>
                <w:bCs w:val="0"/>
                <w:noProof/>
                <w:kern w:val="0"/>
                <w:lang w:val="en-US"/>
                <w14:ligatures w14:val="none"/>
              </w:rPr>
              <w:tab/>
            </w:r>
            <w:r w:rsidRPr="00240E9F">
              <w:rPr>
                <w:rStyle w:val="Hyperlink"/>
                <w:b w:val="0"/>
                <w:noProof/>
                <w:lang w:val="fr-CA"/>
              </w:rPr>
              <w:t>Partialité, confidentialité et équité procédurale</w:t>
            </w:r>
            <w:r w:rsidRPr="00240E9F">
              <w:rPr>
                <w:b w:val="0"/>
                <w:noProof/>
                <w:webHidden/>
              </w:rPr>
              <w:tab/>
            </w:r>
            <w:r w:rsidRPr="00240E9F">
              <w:rPr>
                <w:b w:val="0"/>
                <w:noProof/>
                <w:webHidden/>
              </w:rPr>
              <w:fldChar w:fldCharType="begin"/>
            </w:r>
            <w:r w:rsidRPr="00240E9F">
              <w:rPr>
                <w:b w:val="0"/>
                <w:noProof/>
                <w:webHidden/>
              </w:rPr>
              <w:instrText xml:space="preserve"> PAGEREF _Toc197599897 \h </w:instrText>
            </w:r>
            <w:r w:rsidRPr="00240E9F">
              <w:rPr>
                <w:b w:val="0"/>
                <w:noProof/>
                <w:webHidden/>
              </w:rPr>
            </w:r>
            <w:r w:rsidRPr="00240E9F">
              <w:rPr>
                <w:b w:val="0"/>
                <w:noProof/>
                <w:webHidden/>
              </w:rPr>
              <w:fldChar w:fldCharType="separate"/>
            </w:r>
            <w:r w:rsidRPr="00240E9F">
              <w:rPr>
                <w:b w:val="0"/>
                <w:noProof/>
                <w:webHidden/>
              </w:rPr>
              <w:t>26</w:t>
            </w:r>
            <w:r w:rsidRPr="00240E9F">
              <w:rPr>
                <w:b w:val="0"/>
                <w:noProof/>
                <w:webHidden/>
              </w:rPr>
              <w:fldChar w:fldCharType="end"/>
            </w:r>
          </w:hyperlink>
        </w:p>
        <w:p w14:paraId="645BCB10"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898" w:history="1">
            <w:r w:rsidRPr="00240E9F">
              <w:rPr>
                <w:rStyle w:val="Hyperlink"/>
                <w:rFonts w:eastAsia="Aptos"/>
                <w:b w:val="0"/>
                <w:noProof/>
                <w:lang w:val="fr-CA"/>
              </w:rPr>
              <w:t>4.</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Divulgation</w:t>
            </w:r>
            <w:r w:rsidRPr="00240E9F">
              <w:rPr>
                <w:b w:val="0"/>
                <w:noProof/>
                <w:webHidden/>
              </w:rPr>
              <w:tab/>
            </w:r>
            <w:r w:rsidRPr="00240E9F">
              <w:rPr>
                <w:b w:val="0"/>
                <w:noProof/>
                <w:webHidden/>
              </w:rPr>
              <w:fldChar w:fldCharType="begin"/>
            </w:r>
            <w:r w:rsidRPr="00240E9F">
              <w:rPr>
                <w:b w:val="0"/>
                <w:noProof/>
                <w:webHidden/>
              </w:rPr>
              <w:instrText xml:space="preserve"> PAGEREF _Toc197599898 \h </w:instrText>
            </w:r>
            <w:r w:rsidRPr="00240E9F">
              <w:rPr>
                <w:b w:val="0"/>
                <w:noProof/>
                <w:webHidden/>
              </w:rPr>
            </w:r>
            <w:r w:rsidRPr="00240E9F">
              <w:rPr>
                <w:b w:val="0"/>
                <w:noProof/>
                <w:webHidden/>
              </w:rPr>
              <w:fldChar w:fldCharType="separate"/>
            </w:r>
            <w:r w:rsidRPr="00240E9F">
              <w:rPr>
                <w:b w:val="0"/>
                <w:noProof/>
                <w:webHidden/>
              </w:rPr>
              <w:t>26</w:t>
            </w:r>
            <w:r w:rsidRPr="00240E9F">
              <w:rPr>
                <w:b w:val="0"/>
                <w:noProof/>
                <w:webHidden/>
              </w:rPr>
              <w:fldChar w:fldCharType="end"/>
            </w:r>
          </w:hyperlink>
        </w:p>
        <w:p w14:paraId="308A0AB7"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899" w:history="1">
            <w:r w:rsidRPr="00240E9F">
              <w:rPr>
                <w:rStyle w:val="Hyperlink"/>
                <w:b w:val="0"/>
                <w:noProof/>
                <w:lang w:val="fr-CA"/>
              </w:rPr>
              <w:t>5.</w:t>
            </w:r>
            <w:r w:rsidRPr="00240E9F">
              <w:rPr>
                <w:rFonts w:eastAsiaTheme="minorEastAsia" w:cstheme="minorBidi"/>
                <w:b w:val="0"/>
                <w:bCs w:val="0"/>
                <w:noProof/>
                <w:kern w:val="0"/>
                <w:lang w:val="en-US"/>
                <w14:ligatures w14:val="none"/>
              </w:rPr>
              <w:tab/>
            </w:r>
            <w:r w:rsidRPr="00240E9F">
              <w:rPr>
                <w:rStyle w:val="Hyperlink"/>
                <w:b w:val="0"/>
                <w:noProof/>
                <w:lang w:val="fr-CA"/>
              </w:rPr>
              <w:t>Évaluations de l’incidence</w:t>
            </w:r>
            <w:r w:rsidRPr="00240E9F">
              <w:rPr>
                <w:b w:val="0"/>
                <w:noProof/>
                <w:webHidden/>
              </w:rPr>
              <w:tab/>
            </w:r>
            <w:r w:rsidRPr="00240E9F">
              <w:rPr>
                <w:b w:val="0"/>
                <w:noProof/>
                <w:webHidden/>
              </w:rPr>
              <w:fldChar w:fldCharType="begin"/>
            </w:r>
            <w:r w:rsidRPr="00240E9F">
              <w:rPr>
                <w:b w:val="0"/>
                <w:noProof/>
                <w:webHidden/>
              </w:rPr>
              <w:instrText xml:space="preserve"> PAGEREF _Toc197599899 \h </w:instrText>
            </w:r>
            <w:r w:rsidRPr="00240E9F">
              <w:rPr>
                <w:b w:val="0"/>
                <w:noProof/>
                <w:webHidden/>
              </w:rPr>
            </w:r>
            <w:r w:rsidRPr="00240E9F">
              <w:rPr>
                <w:b w:val="0"/>
                <w:noProof/>
                <w:webHidden/>
              </w:rPr>
              <w:fldChar w:fldCharType="separate"/>
            </w:r>
            <w:r w:rsidRPr="00240E9F">
              <w:rPr>
                <w:b w:val="0"/>
                <w:noProof/>
                <w:webHidden/>
              </w:rPr>
              <w:t>27</w:t>
            </w:r>
            <w:r w:rsidRPr="00240E9F">
              <w:rPr>
                <w:b w:val="0"/>
                <w:noProof/>
                <w:webHidden/>
              </w:rPr>
              <w:fldChar w:fldCharType="end"/>
            </w:r>
          </w:hyperlink>
        </w:p>
        <w:p w14:paraId="3AC9E985"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900" w:history="1">
            <w:r w:rsidRPr="00240E9F">
              <w:rPr>
                <w:rStyle w:val="Hyperlink"/>
                <w:b w:val="0"/>
                <w:noProof/>
                <w:lang w:val="fr-CA"/>
              </w:rPr>
              <w:t>6.</w:t>
            </w:r>
            <w:r w:rsidRPr="00240E9F">
              <w:rPr>
                <w:rFonts w:eastAsiaTheme="minorEastAsia" w:cstheme="minorBidi"/>
                <w:b w:val="0"/>
                <w:bCs w:val="0"/>
                <w:noProof/>
                <w:kern w:val="0"/>
                <w:lang w:val="en-US"/>
                <w14:ligatures w14:val="none"/>
              </w:rPr>
              <w:tab/>
            </w:r>
            <w:r w:rsidRPr="00240E9F">
              <w:rPr>
                <w:rStyle w:val="Hyperlink"/>
                <w:b w:val="0"/>
                <w:noProof/>
                <w:lang w:val="fr-CA"/>
              </w:rPr>
              <w:t>Évaluation des risques liés à la mise en liberté sous caution et à la détermination des peines</w:t>
            </w:r>
            <w:r w:rsidRPr="00240E9F">
              <w:rPr>
                <w:b w:val="0"/>
                <w:noProof/>
                <w:webHidden/>
              </w:rPr>
              <w:tab/>
            </w:r>
            <w:r w:rsidRPr="00240E9F">
              <w:rPr>
                <w:b w:val="0"/>
                <w:noProof/>
                <w:webHidden/>
              </w:rPr>
              <w:fldChar w:fldCharType="begin"/>
            </w:r>
            <w:r w:rsidRPr="00240E9F">
              <w:rPr>
                <w:b w:val="0"/>
                <w:noProof/>
                <w:webHidden/>
              </w:rPr>
              <w:instrText xml:space="preserve"> PAGEREF _Toc197599900 \h </w:instrText>
            </w:r>
            <w:r w:rsidRPr="00240E9F">
              <w:rPr>
                <w:b w:val="0"/>
                <w:noProof/>
                <w:webHidden/>
              </w:rPr>
            </w:r>
            <w:r w:rsidRPr="00240E9F">
              <w:rPr>
                <w:b w:val="0"/>
                <w:noProof/>
                <w:webHidden/>
              </w:rPr>
              <w:fldChar w:fldCharType="separate"/>
            </w:r>
            <w:r w:rsidRPr="00240E9F">
              <w:rPr>
                <w:b w:val="0"/>
                <w:noProof/>
                <w:webHidden/>
              </w:rPr>
              <w:t>27</w:t>
            </w:r>
            <w:r w:rsidRPr="00240E9F">
              <w:rPr>
                <w:b w:val="0"/>
                <w:noProof/>
                <w:webHidden/>
              </w:rPr>
              <w:fldChar w:fldCharType="end"/>
            </w:r>
          </w:hyperlink>
        </w:p>
        <w:p w14:paraId="6F106164"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901" w:history="1">
            <w:r w:rsidRPr="00240E9F">
              <w:rPr>
                <w:rStyle w:val="Hyperlink"/>
                <w:b w:val="0"/>
                <w:noProof/>
                <w:lang w:val="fr-CA"/>
              </w:rPr>
              <w:t>7.</w:t>
            </w:r>
            <w:r w:rsidRPr="00240E9F">
              <w:rPr>
                <w:rFonts w:eastAsiaTheme="minorEastAsia" w:cstheme="minorBidi"/>
                <w:b w:val="0"/>
                <w:bCs w:val="0"/>
                <w:noProof/>
                <w:kern w:val="0"/>
                <w:lang w:val="en-US"/>
                <w14:ligatures w14:val="none"/>
              </w:rPr>
              <w:tab/>
            </w:r>
            <w:r w:rsidRPr="00240E9F">
              <w:rPr>
                <w:rStyle w:val="Hyperlink"/>
                <w:b w:val="0"/>
                <w:noProof/>
                <w:lang w:val="fr-CA"/>
              </w:rPr>
              <w:t>Litiges liés à l’IA</w:t>
            </w:r>
            <w:r w:rsidRPr="00240E9F">
              <w:rPr>
                <w:b w:val="0"/>
                <w:noProof/>
                <w:webHidden/>
              </w:rPr>
              <w:tab/>
            </w:r>
            <w:r w:rsidRPr="00240E9F">
              <w:rPr>
                <w:b w:val="0"/>
                <w:noProof/>
                <w:webHidden/>
              </w:rPr>
              <w:fldChar w:fldCharType="begin"/>
            </w:r>
            <w:r w:rsidRPr="00240E9F">
              <w:rPr>
                <w:b w:val="0"/>
                <w:noProof/>
                <w:webHidden/>
              </w:rPr>
              <w:instrText xml:space="preserve"> PAGEREF _Toc197599901 \h </w:instrText>
            </w:r>
            <w:r w:rsidRPr="00240E9F">
              <w:rPr>
                <w:b w:val="0"/>
                <w:noProof/>
                <w:webHidden/>
              </w:rPr>
            </w:r>
            <w:r w:rsidRPr="00240E9F">
              <w:rPr>
                <w:b w:val="0"/>
                <w:noProof/>
                <w:webHidden/>
              </w:rPr>
              <w:fldChar w:fldCharType="separate"/>
            </w:r>
            <w:r w:rsidRPr="00240E9F">
              <w:rPr>
                <w:b w:val="0"/>
                <w:noProof/>
                <w:webHidden/>
              </w:rPr>
              <w:t>28</w:t>
            </w:r>
            <w:r w:rsidRPr="00240E9F">
              <w:rPr>
                <w:b w:val="0"/>
                <w:noProof/>
                <w:webHidden/>
              </w:rPr>
              <w:fldChar w:fldCharType="end"/>
            </w:r>
          </w:hyperlink>
        </w:p>
        <w:p w14:paraId="62751D81"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902" w:history="1">
            <w:r w:rsidRPr="00240E9F">
              <w:rPr>
                <w:rStyle w:val="Hyperlink"/>
                <w:rFonts w:eastAsia="Aptos"/>
                <w:b w:val="0"/>
                <w:noProof/>
                <w:lang w:val="fr-CA"/>
              </w:rPr>
              <w:t>8.</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Engagement public</w:t>
            </w:r>
            <w:r w:rsidRPr="00240E9F">
              <w:rPr>
                <w:b w:val="0"/>
                <w:noProof/>
                <w:webHidden/>
              </w:rPr>
              <w:tab/>
            </w:r>
            <w:r w:rsidRPr="00240E9F">
              <w:rPr>
                <w:b w:val="0"/>
                <w:noProof/>
                <w:webHidden/>
              </w:rPr>
              <w:fldChar w:fldCharType="begin"/>
            </w:r>
            <w:r w:rsidRPr="00240E9F">
              <w:rPr>
                <w:b w:val="0"/>
                <w:noProof/>
                <w:webHidden/>
              </w:rPr>
              <w:instrText xml:space="preserve"> PAGEREF _Toc197599902 \h </w:instrText>
            </w:r>
            <w:r w:rsidRPr="00240E9F">
              <w:rPr>
                <w:b w:val="0"/>
                <w:noProof/>
                <w:webHidden/>
              </w:rPr>
            </w:r>
            <w:r w:rsidRPr="00240E9F">
              <w:rPr>
                <w:b w:val="0"/>
                <w:noProof/>
                <w:webHidden/>
              </w:rPr>
              <w:fldChar w:fldCharType="separate"/>
            </w:r>
            <w:r w:rsidRPr="00240E9F">
              <w:rPr>
                <w:b w:val="0"/>
                <w:noProof/>
                <w:webHidden/>
              </w:rPr>
              <w:t>28</w:t>
            </w:r>
            <w:r w:rsidRPr="00240E9F">
              <w:rPr>
                <w:b w:val="0"/>
                <w:noProof/>
                <w:webHidden/>
              </w:rPr>
              <w:fldChar w:fldCharType="end"/>
            </w:r>
          </w:hyperlink>
        </w:p>
        <w:p w14:paraId="41F9D885" w14:textId="77777777" w:rsidR="00240E9F" w:rsidRPr="00240E9F" w:rsidRDefault="00240E9F">
          <w:pPr>
            <w:pStyle w:val="TOC2"/>
            <w:tabs>
              <w:tab w:val="left" w:pos="660"/>
              <w:tab w:val="right" w:leader="dot" w:pos="9465"/>
            </w:tabs>
            <w:rPr>
              <w:rFonts w:eastAsiaTheme="minorEastAsia" w:cstheme="minorBidi"/>
              <w:b w:val="0"/>
              <w:bCs w:val="0"/>
              <w:noProof/>
              <w:kern w:val="0"/>
              <w:lang w:val="en-US"/>
              <w14:ligatures w14:val="none"/>
            </w:rPr>
          </w:pPr>
          <w:hyperlink w:anchor="_Toc197599903" w:history="1">
            <w:r w:rsidRPr="00240E9F">
              <w:rPr>
                <w:rStyle w:val="Hyperlink"/>
                <w:rFonts w:eastAsia="Aptos"/>
                <w:b w:val="0"/>
                <w:noProof/>
                <w:lang w:val="fr-CA"/>
              </w:rPr>
              <w:t>9.</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Accès à la justice</w:t>
            </w:r>
            <w:r w:rsidRPr="00240E9F">
              <w:rPr>
                <w:b w:val="0"/>
                <w:noProof/>
                <w:webHidden/>
              </w:rPr>
              <w:tab/>
            </w:r>
            <w:r w:rsidRPr="00240E9F">
              <w:rPr>
                <w:b w:val="0"/>
                <w:noProof/>
                <w:webHidden/>
              </w:rPr>
              <w:fldChar w:fldCharType="begin"/>
            </w:r>
            <w:r w:rsidRPr="00240E9F">
              <w:rPr>
                <w:b w:val="0"/>
                <w:noProof/>
                <w:webHidden/>
              </w:rPr>
              <w:instrText xml:space="preserve"> PAGEREF _Toc197599903 \h </w:instrText>
            </w:r>
            <w:r w:rsidRPr="00240E9F">
              <w:rPr>
                <w:b w:val="0"/>
                <w:noProof/>
                <w:webHidden/>
              </w:rPr>
            </w:r>
            <w:r w:rsidRPr="00240E9F">
              <w:rPr>
                <w:b w:val="0"/>
                <w:noProof/>
                <w:webHidden/>
              </w:rPr>
              <w:fldChar w:fldCharType="separate"/>
            </w:r>
            <w:r w:rsidRPr="00240E9F">
              <w:rPr>
                <w:b w:val="0"/>
                <w:noProof/>
                <w:webHidden/>
              </w:rPr>
              <w:t>28</w:t>
            </w:r>
            <w:r w:rsidRPr="00240E9F">
              <w:rPr>
                <w:b w:val="0"/>
                <w:noProof/>
                <w:webHidden/>
              </w:rPr>
              <w:fldChar w:fldCharType="end"/>
            </w:r>
          </w:hyperlink>
        </w:p>
        <w:p w14:paraId="28F44D6B" w14:textId="77777777" w:rsidR="00240E9F" w:rsidRPr="00240E9F" w:rsidRDefault="00240E9F">
          <w:pPr>
            <w:pStyle w:val="TOC2"/>
            <w:tabs>
              <w:tab w:val="left" w:pos="880"/>
              <w:tab w:val="right" w:leader="dot" w:pos="9465"/>
            </w:tabs>
            <w:rPr>
              <w:rFonts w:eastAsiaTheme="minorEastAsia" w:cstheme="minorBidi"/>
              <w:b w:val="0"/>
              <w:bCs w:val="0"/>
              <w:noProof/>
              <w:kern w:val="0"/>
              <w:lang w:val="en-US"/>
              <w14:ligatures w14:val="none"/>
            </w:rPr>
          </w:pPr>
          <w:hyperlink w:anchor="_Toc197599904" w:history="1">
            <w:r w:rsidRPr="00240E9F">
              <w:rPr>
                <w:rStyle w:val="Hyperlink"/>
                <w:rFonts w:eastAsia="Aptos"/>
                <w:b w:val="0"/>
                <w:noProof/>
                <w:lang w:val="fr-CA"/>
              </w:rPr>
              <w:t>10.</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Capacité institutionnelle</w:t>
            </w:r>
            <w:r w:rsidRPr="00240E9F">
              <w:rPr>
                <w:b w:val="0"/>
                <w:noProof/>
                <w:webHidden/>
              </w:rPr>
              <w:tab/>
            </w:r>
            <w:r w:rsidRPr="00240E9F">
              <w:rPr>
                <w:b w:val="0"/>
                <w:noProof/>
                <w:webHidden/>
              </w:rPr>
              <w:fldChar w:fldCharType="begin"/>
            </w:r>
            <w:r w:rsidRPr="00240E9F">
              <w:rPr>
                <w:b w:val="0"/>
                <w:noProof/>
                <w:webHidden/>
              </w:rPr>
              <w:instrText xml:space="preserve"> PAGEREF _Toc197599904 \h </w:instrText>
            </w:r>
            <w:r w:rsidRPr="00240E9F">
              <w:rPr>
                <w:b w:val="0"/>
                <w:noProof/>
                <w:webHidden/>
              </w:rPr>
            </w:r>
            <w:r w:rsidRPr="00240E9F">
              <w:rPr>
                <w:b w:val="0"/>
                <w:noProof/>
                <w:webHidden/>
              </w:rPr>
              <w:fldChar w:fldCharType="separate"/>
            </w:r>
            <w:r w:rsidRPr="00240E9F">
              <w:rPr>
                <w:b w:val="0"/>
                <w:noProof/>
                <w:webHidden/>
              </w:rPr>
              <w:t>29</w:t>
            </w:r>
            <w:r w:rsidRPr="00240E9F">
              <w:rPr>
                <w:b w:val="0"/>
                <w:noProof/>
                <w:webHidden/>
              </w:rPr>
              <w:fldChar w:fldCharType="end"/>
            </w:r>
          </w:hyperlink>
        </w:p>
        <w:p w14:paraId="3F4AD950" w14:textId="77777777" w:rsidR="00240E9F" w:rsidRDefault="00240E9F">
          <w:pPr>
            <w:pStyle w:val="TOC2"/>
            <w:tabs>
              <w:tab w:val="left" w:pos="880"/>
              <w:tab w:val="right" w:leader="dot" w:pos="9465"/>
            </w:tabs>
            <w:rPr>
              <w:rFonts w:eastAsiaTheme="minorEastAsia" w:cstheme="minorBidi"/>
              <w:b w:val="0"/>
              <w:bCs w:val="0"/>
              <w:noProof/>
              <w:kern w:val="0"/>
              <w:lang w:val="en-US"/>
              <w14:ligatures w14:val="none"/>
            </w:rPr>
          </w:pPr>
          <w:hyperlink w:anchor="_Toc197599905" w:history="1">
            <w:r w:rsidRPr="00240E9F">
              <w:rPr>
                <w:rStyle w:val="Hyperlink"/>
                <w:rFonts w:eastAsia="Aptos"/>
                <w:b w:val="0"/>
                <w:noProof/>
                <w:lang w:val="fr-CA"/>
              </w:rPr>
              <w:t>11.</w:t>
            </w:r>
            <w:r w:rsidRPr="00240E9F">
              <w:rPr>
                <w:rFonts w:eastAsiaTheme="minorEastAsia" w:cstheme="minorBidi"/>
                <w:b w:val="0"/>
                <w:bCs w:val="0"/>
                <w:noProof/>
                <w:kern w:val="0"/>
                <w:lang w:val="en-US"/>
                <w14:ligatures w14:val="none"/>
              </w:rPr>
              <w:tab/>
            </w:r>
            <w:r w:rsidRPr="00240E9F">
              <w:rPr>
                <w:rStyle w:val="Hyperlink"/>
                <w:rFonts w:eastAsia="Aptos"/>
                <w:b w:val="0"/>
                <w:noProof/>
                <w:lang w:val="fr-CA"/>
              </w:rPr>
              <w:t>Surveillance systémique</w:t>
            </w:r>
            <w:r w:rsidRPr="00240E9F">
              <w:rPr>
                <w:b w:val="0"/>
                <w:noProof/>
                <w:webHidden/>
              </w:rPr>
              <w:tab/>
            </w:r>
            <w:r w:rsidRPr="00240E9F">
              <w:rPr>
                <w:b w:val="0"/>
                <w:noProof/>
                <w:webHidden/>
              </w:rPr>
              <w:fldChar w:fldCharType="begin"/>
            </w:r>
            <w:r w:rsidRPr="00240E9F">
              <w:rPr>
                <w:b w:val="0"/>
                <w:noProof/>
                <w:webHidden/>
              </w:rPr>
              <w:instrText xml:space="preserve"> PAGEREF _Toc197599905 \h </w:instrText>
            </w:r>
            <w:r w:rsidRPr="00240E9F">
              <w:rPr>
                <w:b w:val="0"/>
                <w:noProof/>
                <w:webHidden/>
              </w:rPr>
            </w:r>
            <w:r w:rsidRPr="00240E9F">
              <w:rPr>
                <w:b w:val="0"/>
                <w:noProof/>
                <w:webHidden/>
              </w:rPr>
              <w:fldChar w:fldCharType="separate"/>
            </w:r>
            <w:r w:rsidRPr="00240E9F">
              <w:rPr>
                <w:b w:val="0"/>
                <w:noProof/>
                <w:webHidden/>
              </w:rPr>
              <w:t>29</w:t>
            </w:r>
            <w:r w:rsidRPr="00240E9F">
              <w:rPr>
                <w:b w:val="0"/>
                <w:noProof/>
                <w:webHidden/>
              </w:rPr>
              <w:fldChar w:fldCharType="end"/>
            </w:r>
          </w:hyperlink>
        </w:p>
        <w:p w14:paraId="6494FCF3" w14:textId="77777777" w:rsidR="00E80A65" w:rsidRDefault="00E80A65" w:rsidP="00E80A65">
          <w:pPr>
            <w:rPr>
              <w:b/>
              <w:bCs/>
              <w:noProof/>
            </w:rPr>
          </w:pPr>
          <w:r w:rsidRPr="0030253A">
            <w:rPr>
              <w:noProof/>
            </w:rPr>
            <w:fldChar w:fldCharType="end"/>
          </w:r>
        </w:p>
      </w:sdtContent>
    </w:sdt>
    <w:p w14:paraId="54D2B9D7" w14:textId="77777777" w:rsidR="00BE16D0" w:rsidRPr="00A317D7" w:rsidRDefault="00BE16D0" w:rsidP="003012E0">
      <w:pPr>
        <w:rPr>
          <w:rFonts w:ascii="Calibri" w:eastAsia="Calibri" w:hAnsi="Calibri" w:cs="Calibri"/>
          <w:lang w:val="fr-CA" w:eastAsia="en-CA"/>
        </w:rPr>
      </w:pPr>
    </w:p>
    <w:p w14:paraId="2A84BDE0" w14:textId="77777777" w:rsidR="003012E0" w:rsidRPr="00A317D7" w:rsidRDefault="003012E0" w:rsidP="003012E0">
      <w:pPr>
        <w:rPr>
          <w:rFonts w:ascii="Calibri" w:eastAsia="Calibri" w:hAnsi="Calibri" w:cs="Calibri"/>
          <w:lang w:val="fr-CA" w:eastAsia="en-CA"/>
        </w:rPr>
      </w:pPr>
      <w:bookmarkStart w:id="2" w:name="_GoBack"/>
      <w:bookmarkEnd w:id="2"/>
    </w:p>
    <w:p w14:paraId="2101865D" w14:textId="1BCA23D3" w:rsidR="0072656B" w:rsidRPr="00D873AD" w:rsidRDefault="00D873AD" w:rsidP="00D873AD">
      <w:pPr>
        <w:pStyle w:val="Heading1"/>
        <w:numPr>
          <w:ilvl w:val="0"/>
          <w:numId w:val="21"/>
        </w:numPr>
        <w:spacing w:before="0"/>
        <w:rPr>
          <w:lang w:val="fr-CA"/>
        </w:rPr>
      </w:pPr>
      <w:bookmarkStart w:id="3" w:name="_Toc197353481"/>
      <w:bookmarkStart w:id="4" w:name="_Toc197599880"/>
      <w:r w:rsidRPr="00D873AD">
        <w:rPr>
          <w:lang w:val="fr-CA"/>
        </w:rPr>
        <w:lastRenderedPageBreak/>
        <w:t>Projet de la CDO sur l’IA dans le système de justice pénale</w:t>
      </w:r>
      <w:bookmarkEnd w:id="3"/>
      <w:bookmarkEnd w:id="4"/>
      <w:r w:rsidR="001E7EB0" w:rsidRPr="00D873AD">
        <w:rPr>
          <w:lang w:val="fr-CA"/>
        </w:rPr>
        <w:t xml:space="preserve"> </w:t>
      </w:r>
      <w:bookmarkEnd w:id="0"/>
      <w:bookmarkEnd w:id="1"/>
    </w:p>
    <w:p w14:paraId="2B3A396F" w14:textId="77777777" w:rsidR="00B06F10" w:rsidRPr="00D873AD" w:rsidRDefault="00B06F10" w:rsidP="00B06F10">
      <w:pPr>
        <w:spacing w:after="0"/>
        <w:rPr>
          <w:lang w:val="fr-CA"/>
        </w:rPr>
      </w:pPr>
    </w:p>
    <w:p w14:paraId="59671BD6" w14:textId="0A2B932F" w:rsidR="006C16DC" w:rsidRPr="00A87D45" w:rsidRDefault="008D728C" w:rsidP="006C16DC">
      <w:pPr>
        <w:spacing w:after="0"/>
        <w:rPr>
          <w:lang w:val="fr-CA"/>
        </w:rPr>
      </w:pPr>
      <w:r>
        <w:rPr>
          <w:lang w:val="fr-CA"/>
        </w:rPr>
        <w:t xml:space="preserve">Le </w:t>
      </w:r>
      <w:hyperlink r:id="rId26" w:history="1">
        <w:r>
          <w:rPr>
            <w:rStyle w:val="Hyperlink"/>
            <w:lang w:val="fr-CA"/>
          </w:rPr>
          <w:t>p</w:t>
        </w:r>
        <w:r w:rsidR="00A87D45" w:rsidRPr="00A87D45">
          <w:rPr>
            <w:rStyle w:val="Hyperlink"/>
            <w:lang w:val="fr-CA"/>
          </w:rPr>
          <w:t>rojet sur l</w:t>
        </w:r>
        <w:r w:rsidR="00C62E0C">
          <w:rPr>
            <w:rStyle w:val="Hyperlink"/>
            <w:lang w:val="fr-CA"/>
          </w:rPr>
          <w:t>’</w:t>
        </w:r>
        <w:r w:rsidR="00A87D45" w:rsidRPr="00A87D45">
          <w:rPr>
            <w:rStyle w:val="Hyperlink"/>
            <w:lang w:val="fr-CA"/>
          </w:rPr>
          <w:t>IA dans le système de justice pénale</w:t>
        </w:r>
      </w:hyperlink>
      <w:r w:rsidR="004543C1" w:rsidRPr="00A87D45">
        <w:rPr>
          <w:lang w:val="fr-CA"/>
        </w:rPr>
        <w:t xml:space="preserve"> </w:t>
      </w:r>
      <w:r w:rsidRPr="008D728C">
        <w:rPr>
          <w:lang w:val="fr-CA"/>
        </w:rPr>
        <w:t>de la Commission du droit de l</w:t>
      </w:r>
      <w:r w:rsidR="00C62E0C">
        <w:rPr>
          <w:lang w:val="fr-CA"/>
        </w:rPr>
        <w:t>’</w:t>
      </w:r>
      <w:r w:rsidRPr="008D728C">
        <w:rPr>
          <w:lang w:val="fr-CA"/>
        </w:rPr>
        <w:t>Ontario (CDO) est une étude et une analyse novatrices sur l</w:t>
      </w:r>
      <w:r w:rsidR="00C62E0C">
        <w:rPr>
          <w:lang w:val="fr-CA"/>
        </w:rPr>
        <w:t>’</w:t>
      </w:r>
      <w:r w:rsidRPr="008D728C">
        <w:rPr>
          <w:lang w:val="fr-CA"/>
        </w:rPr>
        <w:t>intelligence artificielle (IA) dans le système de justice pénale canadien</w:t>
      </w:r>
      <w:r w:rsidR="004543C1" w:rsidRPr="00A87D45">
        <w:rPr>
          <w:lang w:val="fr-CA"/>
        </w:rPr>
        <w:t>.</w:t>
      </w:r>
      <w:r w:rsidR="00582C71" w:rsidRPr="00A87D45">
        <w:rPr>
          <w:lang w:val="fr-CA"/>
        </w:rPr>
        <w:t xml:space="preserve"> </w:t>
      </w:r>
    </w:p>
    <w:p w14:paraId="1B61F5FE" w14:textId="77777777" w:rsidR="006C16DC" w:rsidRPr="00A87D45" w:rsidRDefault="006C16DC" w:rsidP="006C16DC">
      <w:pPr>
        <w:spacing w:after="0"/>
        <w:rPr>
          <w:lang w:val="fr-CA"/>
        </w:rPr>
      </w:pPr>
    </w:p>
    <w:p w14:paraId="6D91F064" w14:textId="30125711" w:rsidR="00E05BED" w:rsidRPr="00A317D7" w:rsidRDefault="008D728C" w:rsidP="006C16DC">
      <w:pPr>
        <w:spacing w:after="0"/>
        <w:rPr>
          <w:lang w:val="fr-CA"/>
        </w:rPr>
      </w:pPr>
      <w:r w:rsidRPr="008D728C">
        <w:rPr>
          <w:lang w:val="fr-CA"/>
        </w:rPr>
        <w:t>Ce projet est le fruit d</w:t>
      </w:r>
      <w:r w:rsidR="00C62E0C">
        <w:rPr>
          <w:lang w:val="fr-CA"/>
        </w:rPr>
        <w:t>’</w:t>
      </w:r>
      <w:r w:rsidRPr="008D728C">
        <w:rPr>
          <w:lang w:val="fr-CA"/>
        </w:rPr>
        <w:t xml:space="preserve">une collaboration unique entre des praticiens et des experts de premier plan de partout au Canada. Parmi les auteurs et les conseillers, on compte des représentants des gouvernements, des services de police, </w:t>
      </w:r>
      <w:r w:rsidR="00A610A1">
        <w:rPr>
          <w:lang w:val="fr-CA"/>
        </w:rPr>
        <w:t xml:space="preserve">des </w:t>
      </w:r>
      <w:r w:rsidRPr="008D728C">
        <w:rPr>
          <w:lang w:val="fr-CA"/>
        </w:rPr>
        <w:t xml:space="preserve">avocats de la Couronne, </w:t>
      </w:r>
      <w:r w:rsidR="00A610A1">
        <w:rPr>
          <w:lang w:val="fr-CA"/>
        </w:rPr>
        <w:t xml:space="preserve">des </w:t>
      </w:r>
      <w:r w:rsidRPr="008D728C">
        <w:rPr>
          <w:lang w:val="fr-CA"/>
        </w:rPr>
        <w:t>avocats de la défense, des tribunaux, des services d</w:t>
      </w:r>
      <w:r w:rsidR="00C62E0C">
        <w:rPr>
          <w:lang w:val="fr-CA"/>
        </w:rPr>
        <w:t>’</w:t>
      </w:r>
      <w:r w:rsidRPr="008D728C">
        <w:rPr>
          <w:lang w:val="fr-CA"/>
        </w:rPr>
        <w:t>aide juridique, des commissions des droits de la personne, d</w:t>
      </w:r>
      <w:r w:rsidR="00C62E0C">
        <w:rPr>
          <w:lang w:val="fr-CA"/>
        </w:rPr>
        <w:t>’</w:t>
      </w:r>
      <w:r w:rsidRPr="008D728C">
        <w:rPr>
          <w:lang w:val="fr-CA"/>
        </w:rPr>
        <w:t>organisations civiles et du milieu universitaire</w:t>
      </w:r>
      <w:r w:rsidR="00F91AE4" w:rsidRPr="00A317D7">
        <w:rPr>
          <w:lang w:val="fr-CA"/>
        </w:rPr>
        <w:t>.</w:t>
      </w:r>
    </w:p>
    <w:p w14:paraId="7EB5A3D7" w14:textId="77777777" w:rsidR="002F1814" w:rsidRPr="00A317D7" w:rsidRDefault="002F1814" w:rsidP="00F128EE">
      <w:pPr>
        <w:spacing w:after="0"/>
        <w:rPr>
          <w:lang w:val="fr-CA"/>
        </w:rPr>
      </w:pPr>
    </w:p>
    <w:p w14:paraId="08302660" w14:textId="3EAD8B93" w:rsidR="00F128EE" w:rsidRPr="00A317D7" w:rsidRDefault="00E21043" w:rsidP="00F128EE">
      <w:pPr>
        <w:spacing w:after="0"/>
        <w:rPr>
          <w:lang w:val="fr-CA"/>
        </w:rPr>
      </w:pPr>
      <w:r w:rsidRPr="00E21043">
        <w:rPr>
          <w:lang w:val="fr-CA"/>
        </w:rPr>
        <w:t>Le projet comprend une introduction et quatre documents thématiques. Chaque document thématique examine l</w:t>
      </w:r>
      <w:r w:rsidR="00C62E0C">
        <w:rPr>
          <w:lang w:val="fr-CA"/>
        </w:rPr>
        <w:t>’</w:t>
      </w:r>
      <w:r w:rsidRPr="00E21043">
        <w:rPr>
          <w:lang w:val="fr-CA"/>
        </w:rPr>
        <w:t>utilisation de l</w:t>
      </w:r>
      <w:r w:rsidR="00C62E0C">
        <w:rPr>
          <w:lang w:val="fr-CA"/>
        </w:rPr>
        <w:t>’</w:t>
      </w:r>
      <w:r w:rsidRPr="00E21043">
        <w:rPr>
          <w:lang w:val="fr-CA"/>
        </w:rPr>
        <w:t>IA dans une phase distincte du processus de justice pénale, notamment</w:t>
      </w:r>
      <w:r>
        <w:rPr>
          <w:lang w:val="fr-CA"/>
        </w:rPr>
        <w:t> </w:t>
      </w:r>
      <w:r w:rsidR="00F128EE" w:rsidRPr="00A317D7">
        <w:rPr>
          <w:lang w:val="fr-CA"/>
        </w:rPr>
        <w:t>:</w:t>
      </w:r>
    </w:p>
    <w:p w14:paraId="3A3CF5E2" w14:textId="77777777" w:rsidR="00F128EE" w:rsidRPr="00A317D7" w:rsidRDefault="00F128EE" w:rsidP="00F128EE">
      <w:pPr>
        <w:spacing w:after="0"/>
        <w:rPr>
          <w:lang w:val="fr-CA"/>
        </w:rPr>
      </w:pPr>
    </w:p>
    <w:p w14:paraId="4FB1C41B" w14:textId="4AA2E9C9" w:rsidR="00F128EE" w:rsidRPr="00A317D7" w:rsidRDefault="00A30F93" w:rsidP="00A30F93">
      <w:pPr>
        <w:pStyle w:val="ListParagraph"/>
        <w:numPr>
          <w:ilvl w:val="0"/>
          <w:numId w:val="1"/>
        </w:numPr>
        <w:jc w:val="both"/>
        <w:rPr>
          <w:rFonts w:cstheme="minorHAnsi"/>
          <w:lang w:val="fr-CA"/>
        </w:rPr>
      </w:pPr>
      <w:r w:rsidRPr="00A30F93">
        <w:rPr>
          <w:rFonts w:cstheme="minorHAnsi"/>
          <w:lang w:val="fr-CA"/>
        </w:rPr>
        <w:t>L’utilisation de l’IA par les forces de l’ordre</w:t>
      </w:r>
    </w:p>
    <w:p w14:paraId="71BD13F3" w14:textId="66EFB037" w:rsidR="00F128EE" w:rsidRPr="00A317D7" w:rsidRDefault="00A30F93" w:rsidP="00A30F93">
      <w:pPr>
        <w:pStyle w:val="ListParagraph"/>
        <w:numPr>
          <w:ilvl w:val="0"/>
          <w:numId w:val="1"/>
        </w:numPr>
        <w:jc w:val="both"/>
        <w:rPr>
          <w:rFonts w:cstheme="minorHAnsi"/>
          <w:lang w:val="fr-CA"/>
        </w:rPr>
      </w:pPr>
      <w:r w:rsidRPr="00A30F93">
        <w:rPr>
          <w:rFonts w:cstheme="minorHAnsi"/>
          <w:lang w:val="fr-CA"/>
        </w:rPr>
        <w:t>L’IA et l’évaluation du risque associé à la mise en liberté sous caution, à la détermination des peines et à la récidive</w:t>
      </w:r>
    </w:p>
    <w:p w14:paraId="7DB350CD" w14:textId="144812E9" w:rsidR="00F128EE" w:rsidRPr="00A317D7" w:rsidRDefault="00A30F93" w:rsidP="00A30F93">
      <w:pPr>
        <w:pStyle w:val="ListParagraph"/>
        <w:numPr>
          <w:ilvl w:val="0"/>
          <w:numId w:val="1"/>
        </w:numPr>
        <w:jc w:val="both"/>
        <w:rPr>
          <w:rFonts w:cstheme="minorHAnsi"/>
          <w:lang w:val="fr-CA"/>
        </w:rPr>
      </w:pPr>
      <w:r w:rsidRPr="00A30F93">
        <w:rPr>
          <w:rFonts w:cstheme="minorHAnsi"/>
          <w:lang w:val="fr-CA"/>
        </w:rPr>
        <w:t>L’IA durant le procès et en appel</w:t>
      </w:r>
    </w:p>
    <w:p w14:paraId="632FCE84" w14:textId="2C0A41D2" w:rsidR="00F128EE" w:rsidRPr="00A317D7" w:rsidRDefault="00A30F93" w:rsidP="00A30F93">
      <w:pPr>
        <w:pStyle w:val="ListParagraph"/>
        <w:numPr>
          <w:ilvl w:val="0"/>
          <w:numId w:val="1"/>
        </w:numPr>
        <w:jc w:val="both"/>
        <w:rPr>
          <w:rFonts w:cstheme="minorHAnsi"/>
          <w:i/>
          <w:iCs/>
          <w:lang w:val="fr-CA"/>
        </w:rPr>
      </w:pPr>
      <w:r w:rsidRPr="00A30F93">
        <w:rPr>
          <w:rFonts w:cstheme="minorHAnsi"/>
          <w:lang w:val="fr-CA"/>
        </w:rPr>
        <w:t>L’IA et les mécanismes de surveillance systémiques</w:t>
      </w:r>
    </w:p>
    <w:p w14:paraId="29D70B81" w14:textId="2DB5CB75" w:rsidR="00836A50" w:rsidRPr="00A317D7" w:rsidRDefault="00A30F93" w:rsidP="00836A50">
      <w:pPr>
        <w:rPr>
          <w:lang w:val="fr-CA"/>
        </w:rPr>
      </w:pPr>
      <w:r w:rsidRPr="00A30F93">
        <w:rPr>
          <w:lang w:val="fr-CA"/>
        </w:rPr>
        <w:t>Le projet s</w:t>
      </w:r>
      <w:r w:rsidR="00C62E0C">
        <w:rPr>
          <w:lang w:val="fr-CA"/>
        </w:rPr>
        <w:t>’</w:t>
      </w:r>
      <w:r w:rsidRPr="00A30F93">
        <w:rPr>
          <w:lang w:val="fr-CA"/>
        </w:rPr>
        <w:t>articule autour de quatre thèmes ou sujets clés</w:t>
      </w:r>
      <w:r>
        <w:rPr>
          <w:lang w:val="fr-CA"/>
        </w:rPr>
        <w:t> </w:t>
      </w:r>
      <w:r w:rsidR="00836A50" w:rsidRPr="00A317D7">
        <w:rPr>
          <w:lang w:val="fr-CA"/>
        </w:rPr>
        <w:t>:</w:t>
      </w:r>
    </w:p>
    <w:p w14:paraId="39E11919" w14:textId="5F946F07" w:rsidR="00836A50" w:rsidRPr="00A317D7" w:rsidRDefault="00C62E0C" w:rsidP="00836A50">
      <w:pPr>
        <w:rPr>
          <w:lang w:val="fr-CA"/>
        </w:rPr>
      </w:pPr>
      <w:r>
        <w:rPr>
          <w:lang w:val="fr-CA"/>
        </w:rPr>
        <w:t>Tout d’abord, le projet examine les importants enjeux pratiques et juridiques auxquels font face les services de police, les tribunaux, les décideurs politiques, les procureurs de la Couronne, les avocats de la défense et les criminels accusés au Canada, notamment :</w:t>
      </w:r>
    </w:p>
    <w:p w14:paraId="3E490658" w14:textId="74DF60DD" w:rsidR="00A30F93" w:rsidRPr="00A30F93" w:rsidRDefault="00A30F93" w:rsidP="00A30F93">
      <w:pPr>
        <w:pStyle w:val="ListParagraph"/>
        <w:numPr>
          <w:ilvl w:val="0"/>
          <w:numId w:val="3"/>
        </w:numPr>
        <w:spacing w:before="100" w:beforeAutospacing="1" w:after="0"/>
        <w:rPr>
          <w:lang w:val="fr-CA"/>
        </w:rPr>
      </w:pPr>
      <w:r w:rsidRPr="00A30F93">
        <w:rPr>
          <w:lang w:val="fr-CA"/>
        </w:rPr>
        <w:t xml:space="preserve">Quels outils d’IA sont utilisés, ou pourraient être utilisés, </w:t>
      </w:r>
      <w:r w:rsidR="003B653D">
        <w:rPr>
          <w:lang w:val="fr-CA"/>
        </w:rPr>
        <w:t xml:space="preserve">à chaque étape du </w:t>
      </w:r>
      <w:r w:rsidRPr="00A30F93">
        <w:rPr>
          <w:lang w:val="fr-CA"/>
        </w:rPr>
        <w:t>système de justice pénale canadien?</w:t>
      </w:r>
    </w:p>
    <w:p w14:paraId="1285206F" w14:textId="213A16FB" w:rsidR="00A30F93" w:rsidRPr="00A30F93" w:rsidRDefault="00A30F93" w:rsidP="00A30F93">
      <w:pPr>
        <w:pStyle w:val="ListParagraph"/>
        <w:numPr>
          <w:ilvl w:val="0"/>
          <w:numId w:val="3"/>
        </w:numPr>
        <w:spacing w:before="100" w:beforeAutospacing="1" w:after="0"/>
        <w:rPr>
          <w:lang w:val="fr-CA"/>
        </w:rPr>
      </w:pPr>
      <w:r w:rsidRPr="00A30F93">
        <w:rPr>
          <w:lang w:val="fr-CA"/>
        </w:rPr>
        <w:t>Quels sont les avantages et les risques associés à ces technologies?</w:t>
      </w:r>
    </w:p>
    <w:p w14:paraId="1839FA39" w14:textId="0D9EF38C" w:rsidR="00A30F93" w:rsidRPr="00A30F93" w:rsidRDefault="00A30F93" w:rsidP="005616C6">
      <w:pPr>
        <w:pStyle w:val="ListParagraph"/>
        <w:numPr>
          <w:ilvl w:val="0"/>
          <w:numId w:val="3"/>
        </w:numPr>
        <w:spacing w:before="100" w:beforeAutospacing="1" w:after="0"/>
        <w:rPr>
          <w:lang w:val="fr-CA"/>
        </w:rPr>
      </w:pPr>
      <w:r w:rsidRPr="00A30F93">
        <w:rPr>
          <w:lang w:val="fr-CA"/>
        </w:rPr>
        <w:t xml:space="preserve">Quels </w:t>
      </w:r>
      <w:r>
        <w:rPr>
          <w:lang w:val="fr-CA"/>
        </w:rPr>
        <w:t xml:space="preserve">enjeux </w:t>
      </w:r>
      <w:r w:rsidRPr="00A30F93">
        <w:rPr>
          <w:lang w:val="fr-CA"/>
        </w:rPr>
        <w:t xml:space="preserve">juridiques </w:t>
      </w:r>
      <w:r>
        <w:rPr>
          <w:lang w:val="fr-CA"/>
        </w:rPr>
        <w:t xml:space="preserve">pourraient </w:t>
      </w:r>
      <w:r w:rsidRPr="00A30F93">
        <w:rPr>
          <w:lang w:val="fr-CA"/>
        </w:rPr>
        <w:t xml:space="preserve">se poser à chaque étape, en particulier en ce qui concerne la </w:t>
      </w:r>
      <w:r w:rsidRPr="003B653D">
        <w:rPr>
          <w:i/>
          <w:lang w:val="fr-CA"/>
        </w:rPr>
        <w:t>Charte des droits et libertés</w:t>
      </w:r>
      <w:r w:rsidRPr="00A30F93">
        <w:rPr>
          <w:lang w:val="fr-CA"/>
        </w:rPr>
        <w:t>, l</w:t>
      </w:r>
      <w:r w:rsidR="00C62E0C">
        <w:rPr>
          <w:lang w:val="fr-CA"/>
        </w:rPr>
        <w:t>’</w:t>
      </w:r>
      <w:r w:rsidRPr="00A30F93">
        <w:rPr>
          <w:lang w:val="fr-CA"/>
        </w:rPr>
        <w:t>équité procédurale, le droit de la preuve et le</w:t>
      </w:r>
      <w:r w:rsidR="005616C6">
        <w:rPr>
          <w:lang w:val="fr-CA"/>
        </w:rPr>
        <w:t xml:space="preserve">s principes de </w:t>
      </w:r>
      <w:r w:rsidR="005616C6" w:rsidRPr="005616C6">
        <w:rPr>
          <w:lang w:val="fr-CA"/>
        </w:rPr>
        <w:t>common law régissant le droit criminel</w:t>
      </w:r>
      <w:r w:rsidRPr="00A30F93">
        <w:rPr>
          <w:lang w:val="fr-CA"/>
        </w:rPr>
        <w:t>?</w:t>
      </w:r>
      <w:r>
        <w:rPr>
          <w:lang w:val="fr-CA"/>
        </w:rPr>
        <w:t xml:space="preserve"> </w:t>
      </w:r>
    </w:p>
    <w:p w14:paraId="73A9985A" w14:textId="78FEBE33" w:rsidR="00836A50" w:rsidRPr="00A317D7" w:rsidRDefault="00A30F93" w:rsidP="00105D48">
      <w:pPr>
        <w:pStyle w:val="ListParagraph"/>
        <w:numPr>
          <w:ilvl w:val="0"/>
          <w:numId w:val="3"/>
        </w:numPr>
        <w:spacing w:before="100" w:beforeAutospacing="1" w:after="0"/>
        <w:contextualSpacing w:val="0"/>
        <w:rPr>
          <w:lang w:val="fr-CA"/>
        </w:rPr>
      </w:pPr>
      <w:r w:rsidRPr="00A30F93">
        <w:rPr>
          <w:lang w:val="fr-CA"/>
        </w:rPr>
        <w:t>Où en sont le droit et les procédures au Canada concernant le traitement de ces enjeux, et quelles mesures proactives doivent être prises pour harmoniser les pratiques et les normes de manière systémique?</w:t>
      </w:r>
    </w:p>
    <w:p w14:paraId="0094C92F" w14:textId="77777777" w:rsidR="00E03202" w:rsidRPr="00A317D7" w:rsidRDefault="00E03202" w:rsidP="00E03202">
      <w:pPr>
        <w:spacing w:after="0"/>
        <w:rPr>
          <w:lang w:val="fr-CA"/>
        </w:rPr>
      </w:pPr>
    </w:p>
    <w:p w14:paraId="279291EE" w14:textId="76817F90" w:rsidR="00E90131" w:rsidRPr="00A317D7" w:rsidRDefault="00A30F93" w:rsidP="00E90131">
      <w:pPr>
        <w:spacing w:after="0"/>
        <w:rPr>
          <w:lang w:val="fr-CA"/>
        </w:rPr>
      </w:pPr>
      <w:r w:rsidRPr="00A30F93">
        <w:rPr>
          <w:lang w:val="fr-CA"/>
        </w:rPr>
        <w:t>Deuxièmement, le projet cherche à déterminer qui est susceptible d</w:t>
      </w:r>
      <w:r w:rsidR="00C62E0C">
        <w:rPr>
          <w:lang w:val="fr-CA"/>
        </w:rPr>
        <w:t>’</w:t>
      </w:r>
      <w:r w:rsidRPr="00A30F93">
        <w:rPr>
          <w:lang w:val="fr-CA"/>
        </w:rPr>
        <w:t>être touché par l</w:t>
      </w:r>
      <w:r w:rsidR="00C62E0C">
        <w:rPr>
          <w:lang w:val="fr-CA"/>
        </w:rPr>
        <w:t>’</w:t>
      </w:r>
      <w:r w:rsidRPr="00A30F93">
        <w:rPr>
          <w:lang w:val="fr-CA"/>
        </w:rPr>
        <w:t>IA dans le système de justice pénale</w:t>
      </w:r>
      <w:r w:rsidR="00836A50" w:rsidRPr="00A317D7">
        <w:rPr>
          <w:lang w:val="fr-CA"/>
        </w:rPr>
        <w:t xml:space="preserve">. </w:t>
      </w:r>
    </w:p>
    <w:p w14:paraId="7423A354" w14:textId="77777777" w:rsidR="00E90131" w:rsidRPr="00A317D7" w:rsidRDefault="00E90131" w:rsidP="00E90131">
      <w:pPr>
        <w:spacing w:after="0"/>
        <w:rPr>
          <w:lang w:val="fr-CA"/>
        </w:rPr>
      </w:pPr>
    </w:p>
    <w:p w14:paraId="4F50AE0A" w14:textId="7AD0D83E" w:rsidR="00E90131" w:rsidRPr="00A317D7" w:rsidRDefault="00A30F93" w:rsidP="00E90131">
      <w:pPr>
        <w:spacing w:after="0"/>
        <w:rPr>
          <w:lang w:val="fr-CA"/>
        </w:rPr>
      </w:pPr>
      <w:r w:rsidRPr="00A30F93">
        <w:rPr>
          <w:lang w:val="fr-CA"/>
        </w:rPr>
        <w:t xml:space="preserve">Troisièmement, le projet examine et analyse les initiatives internationales et canadiennes récentes </w:t>
      </w:r>
      <w:r>
        <w:rPr>
          <w:lang w:val="fr-CA"/>
        </w:rPr>
        <w:t xml:space="preserve">pour mettre en place une </w:t>
      </w:r>
      <w:r w:rsidRPr="00A30F93">
        <w:rPr>
          <w:lang w:val="fr-CA"/>
        </w:rPr>
        <w:t>«</w:t>
      </w:r>
      <w:r w:rsidR="004E2CCD">
        <w:rPr>
          <w:lang w:val="fr-CA"/>
        </w:rPr>
        <w:t> </w:t>
      </w:r>
      <w:r w:rsidRPr="00A30F93">
        <w:rPr>
          <w:lang w:val="fr-CA"/>
        </w:rPr>
        <w:t xml:space="preserve">IA </w:t>
      </w:r>
      <w:r w:rsidR="004E2CCD">
        <w:rPr>
          <w:lang w:val="fr-CA"/>
        </w:rPr>
        <w:t xml:space="preserve">fiable </w:t>
      </w:r>
      <w:r w:rsidR="004E2CCD" w:rsidRPr="004E2CCD">
        <w:rPr>
          <w:lang w:val="fr-CA"/>
        </w:rPr>
        <w:t xml:space="preserve">dans le </w:t>
      </w:r>
      <w:r w:rsidR="00093642">
        <w:rPr>
          <w:lang w:val="fr-CA"/>
        </w:rPr>
        <w:t>système</w:t>
      </w:r>
      <w:r w:rsidR="004E2CCD" w:rsidRPr="004E2CCD">
        <w:rPr>
          <w:lang w:val="fr-CA"/>
        </w:rPr>
        <w:t xml:space="preserve"> de justice pénale</w:t>
      </w:r>
      <w:r w:rsidR="004E2CCD">
        <w:rPr>
          <w:lang w:val="fr-CA"/>
        </w:rPr>
        <w:t> </w:t>
      </w:r>
      <w:r w:rsidRPr="00A30F93">
        <w:rPr>
          <w:lang w:val="fr-CA"/>
        </w:rPr>
        <w:t>»</w:t>
      </w:r>
      <w:r w:rsidR="00836A50" w:rsidRPr="00A317D7">
        <w:rPr>
          <w:lang w:val="fr-CA"/>
        </w:rPr>
        <w:t>.</w:t>
      </w:r>
    </w:p>
    <w:p w14:paraId="3AD8356E" w14:textId="77777777" w:rsidR="00E90131" w:rsidRPr="00A317D7" w:rsidRDefault="00E90131" w:rsidP="00E90131">
      <w:pPr>
        <w:spacing w:after="0"/>
        <w:rPr>
          <w:lang w:val="fr-CA"/>
        </w:rPr>
      </w:pPr>
    </w:p>
    <w:p w14:paraId="0B1848FB" w14:textId="7EDBE2EC" w:rsidR="00836A50" w:rsidRPr="00A317D7" w:rsidRDefault="004E2CCD" w:rsidP="00E90131">
      <w:pPr>
        <w:spacing w:after="0"/>
        <w:rPr>
          <w:lang w:val="fr-CA"/>
        </w:rPr>
      </w:pPr>
      <w:r w:rsidRPr="004E2CCD">
        <w:rPr>
          <w:lang w:val="fr-CA"/>
        </w:rPr>
        <w:t>Enfin, le projet tente de prévoir ou de prédire ce qui pourrait se passer si aucune mesure n</w:t>
      </w:r>
      <w:r w:rsidR="00C62E0C">
        <w:rPr>
          <w:lang w:val="fr-CA"/>
        </w:rPr>
        <w:t>’</w:t>
      </w:r>
      <w:r w:rsidRPr="004E2CCD">
        <w:rPr>
          <w:lang w:val="fr-CA"/>
        </w:rPr>
        <w:t>est prise</w:t>
      </w:r>
      <w:r w:rsidR="00836A50" w:rsidRPr="00A317D7">
        <w:rPr>
          <w:lang w:val="fr-CA"/>
        </w:rPr>
        <w:t xml:space="preserve">. </w:t>
      </w:r>
    </w:p>
    <w:p w14:paraId="5E15687A" w14:textId="77E93212" w:rsidR="00CC7B0B" w:rsidRPr="004E2CCD" w:rsidRDefault="004E2CCD" w:rsidP="00504034">
      <w:pPr>
        <w:spacing w:after="0"/>
        <w:rPr>
          <w:rFonts w:eastAsia="Calibri" w:cstheme="minorHAnsi"/>
          <w:kern w:val="0"/>
          <w:lang w:val="fr-CA" w:eastAsia="en-CA"/>
          <w14:ligatures w14:val="none"/>
        </w:rPr>
      </w:pPr>
      <w:r w:rsidRPr="004E2CCD">
        <w:rPr>
          <w:rFonts w:eastAsia="Calibri" w:cstheme="minorHAnsi"/>
          <w:kern w:val="0"/>
          <w:lang w:val="fr-CA" w:eastAsia="en-CA"/>
          <w14:ligatures w14:val="none"/>
        </w:rPr>
        <w:lastRenderedPageBreak/>
        <w:t xml:space="preserve">Les documents thématiques sur </w:t>
      </w:r>
      <w:r w:rsidR="005616C6" w:rsidRPr="00B41373">
        <w:rPr>
          <w:rFonts w:eastAsia="Times New Roman" w:cstheme="minorHAnsi"/>
          <w:kern w:val="0"/>
          <w:lang w:val="fr-CA" w:eastAsia="en-CA"/>
          <w14:ligatures w14:val="none"/>
        </w:rPr>
        <w:t>l</w:t>
      </w:r>
      <w:r w:rsidR="005616C6">
        <w:rPr>
          <w:rFonts w:eastAsia="Times New Roman" w:cstheme="minorHAnsi"/>
          <w:kern w:val="0"/>
          <w:lang w:val="fr-CA" w:eastAsia="en-CA"/>
          <w14:ligatures w14:val="none"/>
        </w:rPr>
        <w:t>’</w:t>
      </w:r>
      <w:r w:rsidR="005616C6" w:rsidRPr="00B41373">
        <w:rPr>
          <w:rFonts w:eastAsia="Times New Roman" w:cstheme="minorHAnsi"/>
          <w:kern w:val="0"/>
          <w:lang w:val="fr-CA" w:eastAsia="en-CA"/>
          <w14:ligatures w14:val="none"/>
        </w:rPr>
        <w:t xml:space="preserve">IA </w:t>
      </w:r>
      <w:r w:rsidR="005616C6" w:rsidRPr="004E2CCD">
        <w:rPr>
          <w:lang w:val="fr-CA"/>
        </w:rPr>
        <w:t xml:space="preserve">dans le </w:t>
      </w:r>
      <w:r w:rsidR="00093642">
        <w:rPr>
          <w:lang w:val="fr-CA"/>
        </w:rPr>
        <w:t>système</w:t>
      </w:r>
      <w:r w:rsidR="00093642" w:rsidRPr="004E2CCD">
        <w:rPr>
          <w:lang w:val="fr-CA"/>
        </w:rPr>
        <w:t xml:space="preserve"> de </w:t>
      </w:r>
      <w:r w:rsidR="005616C6" w:rsidRPr="004E2CCD">
        <w:rPr>
          <w:lang w:val="fr-CA"/>
        </w:rPr>
        <w:t>justice pénale</w:t>
      </w:r>
      <w:r w:rsidR="005616C6" w:rsidRPr="00B41373">
        <w:rPr>
          <w:rFonts w:eastAsia="Times New Roman" w:cstheme="minorHAnsi"/>
          <w:kern w:val="0"/>
          <w:lang w:val="fr-CA" w:eastAsia="en-CA"/>
          <w14:ligatures w14:val="none"/>
        </w:rPr>
        <w:t xml:space="preserve"> </w:t>
      </w:r>
      <w:r w:rsidRPr="004E2CCD">
        <w:rPr>
          <w:rFonts w:eastAsia="Calibri" w:cstheme="minorHAnsi"/>
          <w:kern w:val="0"/>
          <w:lang w:val="fr-CA" w:eastAsia="en-CA"/>
          <w14:ligatures w14:val="none"/>
        </w:rPr>
        <w:t>de la CDO sont conçus pour faciliter la discussion et la consultation. Nous avons appris que la «</w:t>
      </w:r>
      <w:r w:rsidR="00C62E0C">
        <w:rPr>
          <w:rFonts w:eastAsia="Calibri" w:cstheme="minorHAnsi"/>
          <w:kern w:val="0"/>
          <w:lang w:val="fr-CA" w:eastAsia="en-CA"/>
          <w14:ligatures w14:val="none"/>
        </w:rPr>
        <w:t> </w:t>
      </w:r>
      <w:r w:rsidRPr="004E2CCD">
        <w:rPr>
          <w:rFonts w:eastAsia="Calibri" w:cstheme="minorHAnsi"/>
          <w:kern w:val="0"/>
          <w:lang w:val="fr-CA" w:eastAsia="en-CA"/>
          <w14:ligatures w14:val="none"/>
        </w:rPr>
        <w:t>fiabilité de l</w:t>
      </w:r>
      <w:r w:rsidR="00C62E0C">
        <w:rPr>
          <w:rFonts w:eastAsia="Calibri" w:cstheme="minorHAnsi"/>
          <w:kern w:val="0"/>
          <w:lang w:val="fr-CA" w:eastAsia="en-CA"/>
          <w14:ligatures w14:val="none"/>
        </w:rPr>
        <w:t>’</w:t>
      </w:r>
      <w:r w:rsidRPr="004E2CCD">
        <w:rPr>
          <w:rFonts w:eastAsia="Calibri" w:cstheme="minorHAnsi"/>
          <w:kern w:val="0"/>
          <w:lang w:val="fr-CA" w:eastAsia="en-CA"/>
          <w14:ligatures w14:val="none"/>
        </w:rPr>
        <w:t xml:space="preserve">IA </w:t>
      </w:r>
      <w:r w:rsidR="005616C6" w:rsidRPr="004E2CCD">
        <w:rPr>
          <w:lang w:val="fr-CA"/>
        </w:rPr>
        <w:t xml:space="preserve">dans le </w:t>
      </w:r>
      <w:r w:rsidR="00093642">
        <w:rPr>
          <w:lang w:val="fr-CA"/>
        </w:rPr>
        <w:t>système</w:t>
      </w:r>
      <w:r w:rsidR="00093642" w:rsidRPr="004E2CCD">
        <w:rPr>
          <w:lang w:val="fr-CA"/>
        </w:rPr>
        <w:t xml:space="preserve"> de </w:t>
      </w:r>
      <w:r w:rsidR="005616C6" w:rsidRPr="004E2CCD">
        <w:rPr>
          <w:lang w:val="fr-CA"/>
        </w:rPr>
        <w:t>justice pénale</w:t>
      </w:r>
      <w:r w:rsidR="00C62E0C">
        <w:rPr>
          <w:rFonts w:eastAsia="Calibri" w:cstheme="minorHAnsi"/>
          <w:kern w:val="0"/>
          <w:lang w:val="fr-CA" w:eastAsia="en-CA"/>
          <w14:ligatures w14:val="none"/>
        </w:rPr>
        <w:t> </w:t>
      </w:r>
      <w:r w:rsidRPr="004E2CCD">
        <w:rPr>
          <w:rFonts w:eastAsia="Calibri" w:cstheme="minorHAnsi"/>
          <w:kern w:val="0"/>
          <w:lang w:val="fr-CA" w:eastAsia="en-CA"/>
          <w14:ligatures w14:val="none"/>
        </w:rPr>
        <w:t xml:space="preserve">» </w:t>
      </w:r>
      <w:r w:rsidR="005616C6">
        <w:rPr>
          <w:rFonts w:eastAsia="Calibri" w:cstheme="minorHAnsi"/>
          <w:kern w:val="0"/>
          <w:lang w:val="fr-CA" w:eastAsia="en-CA"/>
          <w14:ligatures w14:val="none"/>
        </w:rPr>
        <w:t xml:space="preserve">repose sur des </w:t>
      </w:r>
      <w:r w:rsidRPr="004E2CCD">
        <w:rPr>
          <w:rFonts w:eastAsia="Calibri" w:cstheme="minorHAnsi"/>
          <w:kern w:val="0"/>
          <w:lang w:val="fr-CA" w:eastAsia="en-CA"/>
          <w14:ligatures w14:val="none"/>
        </w:rPr>
        <w:t>considérations juridiques, techniques et opérationnelles complexes. Nous avons également appris qu</w:t>
      </w:r>
      <w:r w:rsidR="005616C6">
        <w:rPr>
          <w:rFonts w:eastAsia="Calibri" w:cstheme="minorHAnsi"/>
          <w:kern w:val="0"/>
          <w:lang w:val="fr-CA" w:eastAsia="en-CA"/>
          <w14:ligatures w14:val="none"/>
        </w:rPr>
        <w:t xml:space="preserve">’il est essentiel de mener </w:t>
      </w:r>
      <w:r w:rsidRPr="004E2CCD">
        <w:rPr>
          <w:rFonts w:eastAsia="Calibri" w:cstheme="minorHAnsi"/>
          <w:kern w:val="0"/>
          <w:lang w:val="fr-CA" w:eastAsia="en-CA"/>
          <w14:ligatures w14:val="none"/>
        </w:rPr>
        <w:t xml:space="preserve">des collaborations et des consultations à grande échelle. Par conséquent, chaque document thématique comprend des questions destinées aux décideurs politiques et aux parties prenantes </w:t>
      </w:r>
      <w:r>
        <w:rPr>
          <w:rFonts w:eastAsia="Calibri" w:cstheme="minorHAnsi"/>
          <w:kern w:val="0"/>
          <w:lang w:val="fr-CA" w:eastAsia="en-CA"/>
          <w14:ligatures w14:val="none"/>
        </w:rPr>
        <w:t xml:space="preserve">du Canada </w:t>
      </w:r>
      <w:r w:rsidR="005616C6">
        <w:rPr>
          <w:rFonts w:eastAsia="Calibri" w:cstheme="minorHAnsi"/>
          <w:kern w:val="0"/>
          <w:lang w:val="fr-CA" w:eastAsia="en-CA"/>
          <w14:ligatures w14:val="none"/>
        </w:rPr>
        <w:t xml:space="preserve">sur </w:t>
      </w:r>
      <w:r w:rsidRPr="004E2CCD">
        <w:rPr>
          <w:rFonts w:eastAsia="Calibri" w:cstheme="minorHAnsi"/>
          <w:kern w:val="0"/>
          <w:lang w:val="fr-CA" w:eastAsia="en-CA"/>
          <w14:ligatures w14:val="none"/>
        </w:rPr>
        <w:t>l</w:t>
      </w:r>
      <w:r w:rsidR="00C62E0C">
        <w:rPr>
          <w:rFonts w:eastAsia="Calibri" w:cstheme="minorHAnsi"/>
          <w:kern w:val="0"/>
          <w:lang w:val="fr-CA" w:eastAsia="en-CA"/>
          <w14:ligatures w14:val="none"/>
        </w:rPr>
        <w:t>’</w:t>
      </w:r>
      <w:r w:rsidRPr="004E2CCD">
        <w:rPr>
          <w:rFonts w:eastAsia="Calibri" w:cstheme="minorHAnsi"/>
          <w:kern w:val="0"/>
          <w:lang w:val="fr-CA" w:eastAsia="en-CA"/>
          <w14:ligatures w14:val="none"/>
        </w:rPr>
        <w:t xml:space="preserve">IA </w:t>
      </w:r>
      <w:r w:rsidR="005616C6" w:rsidRPr="004E2CCD">
        <w:rPr>
          <w:lang w:val="fr-CA"/>
        </w:rPr>
        <w:t xml:space="preserve">dans le </w:t>
      </w:r>
      <w:r w:rsidR="00093642">
        <w:rPr>
          <w:lang w:val="fr-CA"/>
        </w:rPr>
        <w:t>système</w:t>
      </w:r>
      <w:r w:rsidR="00093642" w:rsidRPr="004E2CCD">
        <w:rPr>
          <w:lang w:val="fr-CA"/>
        </w:rPr>
        <w:t xml:space="preserve"> de </w:t>
      </w:r>
      <w:r w:rsidR="005616C6" w:rsidRPr="004E2CCD">
        <w:rPr>
          <w:lang w:val="fr-CA"/>
        </w:rPr>
        <w:t>justice pénale</w:t>
      </w:r>
      <w:r w:rsidRPr="004E2CCD">
        <w:rPr>
          <w:rFonts w:eastAsia="Calibri" w:cstheme="minorHAnsi"/>
          <w:kern w:val="0"/>
          <w:lang w:val="fr-CA" w:eastAsia="en-CA"/>
          <w14:ligatures w14:val="none"/>
        </w:rPr>
        <w:t>. Ces questions sont résumées à l</w:t>
      </w:r>
      <w:r w:rsidR="00C62E0C">
        <w:rPr>
          <w:rFonts w:eastAsia="Calibri" w:cstheme="minorHAnsi"/>
          <w:kern w:val="0"/>
          <w:lang w:val="fr-CA" w:eastAsia="en-CA"/>
          <w14:ligatures w14:val="none"/>
        </w:rPr>
        <w:t>’</w:t>
      </w:r>
      <w:r w:rsidRPr="004E2CCD">
        <w:rPr>
          <w:rFonts w:eastAsia="Calibri" w:cstheme="minorHAnsi"/>
          <w:kern w:val="0"/>
          <w:lang w:val="fr-CA" w:eastAsia="en-CA"/>
          <w14:ligatures w14:val="none"/>
        </w:rPr>
        <w:t>annexe A du présent sommaire. La CDO espère ainsi que ces documents serviront de catalyseur à un débat plus large au Canada sur ces questions importantes et d</w:t>
      </w:r>
      <w:r w:rsidR="00C62E0C">
        <w:rPr>
          <w:rFonts w:eastAsia="Calibri" w:cstheme="minorHAnsi"/>
          <w:kern w:val="0"/>
          <w:lang w:val="fr-CA" w:eastAsia="en-CA"/>
          <w14:ligatures w14:val="none"/>
        </w:rPr>
        <w:t>’</w:t>
      </w:r>
      <w:r w:rsidRPr="004E2CCD">
        <w:rPr>
          <w:rFonts w:eastAsia="Calibri" w:cstheme="minorHAnsi"/>
          <w:kern w:val="0"/>
          <w:lang w:val="fr-CA" w:eastAsia="en-CA"/>
          <w14:ligatures w14:val="none"/>
        </w:rPr>
        <w:t>actualité</w:t>
      </w:r>
      <w:r w:rsidR="00836A50" w:rsidRPr="004E2CCD">
        <w:rPr>
          <w:rFonts w:eastAsia="Calibri" w:cstheme="minorHAnsi"/>
          <w:kern w:val="0"/>
          <w:lang w:val="fr-CA" w:eastAsia="en-CA"/>
          <w14:ligatures w14:val="none"/>
        </w:rPr>
        <w:t>.</w:t>
      </w:r>
    </w:p>
    <w:p w14:paraId="72896A70" w14:textId="77777777" w:rsidR="00324EA4" w:rsidRPr="004E2CCD" w:rsidRDefault="00324EA4" w:rsidP="00504034">
      <w:pPr>
        <w:spacing w:after="0"/>
        <w:rPr>
          <w:rFonts w:eastAsia="Calibri" w:cstheme="minorHAnsi"/>
          <w:kern w:val="0"/>
          <w:lang w:val="fr-CA" w:eastAsia="en-CA"/>
          <w14:ligatures w14:val="none"/>
        </w:rPr>
      </w:pPr>
    </w:p>
    <w:p w14:paraId="5541BC52" w14:textId="0A465C4A" w:rsidR="00324EA4" w:rsidRPr="00A317D7" w:rsidRDefault="004E2CCD" w:rsidP="00504034">
      <w:pPr>
        <w:spacing w:after="0"/>
        <w:rPr>
          <w:rFonts w:eastAsia="Calibri" w:cstheme="minorHAnsi"/>
          <w:kern w:val="0"/>
          <w:lang w:val="fr-CA" w:eastAsia="en-CA"/>
          <w14:ligatures w14:val="none"/>
        </w:rPr>
      </w:pPr>
      <w:r w:rsidRPr="004E2CCD">
        <w:rPr>
          <w:rFonts w:eastAsia="Calibri" w:cstheme="minorHAnsi"/>
          <w:kern w:val="0"/>
          <w:lang w:val="fr-CA" w:eastAsia="en-CA"/>
          <w14:ligatures w14:val="none"/>
        </w:rPr>
        <w:t>La publication des documents thématiques marque le début d</w:t>
      </w:r>
      <w:r w:rsidR="00C62E0C">
        <w:rPr>
          <w:rFonts w:eastAsia="Calibri" w:cstheme="minorHAnsi"/>
          <w:kern w:val="0"/>
          <w:lang w:val="fr-CA" w:eastAsia="en-CA"/>
          <w14:ligatures w14:val="none"/>
        </w:rPr>
        <w:t>’</w:t>
      </w:r>
      <w:r w:rsidRPr="004E2CCD">
        <w:rPr>
          <w:rFonts w:eastAsia="Calibri" w:cstheme="minorHAnsi"/>
          <w:kern w:val="0"/>
          <w:lang w:val="fr-CA" w:eastAsia="en-CA"/>
          <w14:ligatures w14:val="none"/>
        </w:rPr>
        <w:t xml:space="preserve">une période de consultation des parties prenantes menée par la CDO. La CDO analysera et résumera les commentaires reçus. </w:t>
      </w:r>
      <w:r w:rsidR="005616C6">
        <w:rPr>
          <w:rFonts w:eastAsia="Calibri" w:cstheme="minorHAnsi"/>
          <w:kern w:val="0"/>
          <w:lang w:val="fr-CA" w:eastAsia="en-CA"/>
          <w14:ligatures w14:val="none"/>
        </w:rPr>
        <w:t xml:space="preserve">Elle recommandera dans un </w:t>
      </w:r>
      <w:r w:rsidRPr="004E2CCD">
        <w:rPr>
          <w:rFonts w:eastAsia="Calibri" w:cstheme="minorHAnsi"/>
          <w:kern w:val="0"/>
          <w:lang w:val="fr-CA" w:eastAsia="en-CA"/>
          <w14:ligatures w14:val="none"/>
        </w:rPr>
        <w:t>rapport final une série de réformes législatives, politiques et programmatiques</w:t>
      </w:r>
      <w:r w:rsidR="00324EA4" w:rsidRPr="00A317D7">
        <w:rPr>
          <w:rFonts w:eastAsia="Calibri" w:cstheme="minorHAnsi"/>
          <w:kern w:val="0"/>
          <w:lang w:val="fr-CA" w:eastAsia="en-CA"/>
          <w14:ligatures w14:val="none"/>
        </w:rPr>
        <w:t>.</w:t>
      </w:r>
    </w:p>
    <w:p w14:paraId="2EB7CBBE" w14:textId="77777777" w:rsidR="00B016A1" w:rsidRPr="00A317D7" w:rsidRDefault="00B016A1" w:rsidP="00504034">
      <w:pPr>
        <w:spacing w:after="0"/>
        <w:rPr>
          <w:rFonts w:eastAsia="Calibri" w:cstheme="minorHAnsi"/>
          <w:kern w:val="0"/>
          <w:lang w:val="fr-CA" w:eastAsia="en-CA"/>
          <w14:ligatures w14:val="none"/>
        </w:rPr>
      </w:pPr>
    </w:p>
    <w:p w14:paraId="6C768064" w14:textId="7C1010ED" w:rsidR="00B016A1" w:rsidRPr="004E2CCD" w:rsidRDefault="004E2CCD" w:rsidP="00182FE0">
      <w:pPr>
        <w:contextualSpacing/>
        <w:rPr>
          <w:rFonts w:ascii="Calibri" w:eastAsia="Calibri" w:hAnsi="Calibri" w:cs="Calibri"/>
          <w:lang w:val="fr-CA" w:eastAsia="en-CA"/>
        </w:rPr>
      </w:pPr>
      <w:r w:rsidRPr="004E2CCD">
        <w:rPr>
          <w:rFonts w:eastAsia="Calibri"/>
          <w:lang w:val="fr-CA" w:eastAsia="en-CA"/>
        </w:rPr>
        <w:t xml:space="preserve">Pour en savoir plus sur ce projet, consultez le site Web </w:t>
      </w:r>
      <w:r>
        <w:rPr>
          <w:rFonts w:eastAsia="Calibri"/>
          <w:lang w:val="fr-CA" w:eastAsia="en-CA"/>
        </w:rPr>
        <w:t xml:space="preserve">des projets </w:t>
      </w:r>
      <w:r w:rsidRPr="004E2CCD">
        <w:rPr>
          <w:rFonts w:eastAsia="Calibri"/>
          <w:lang w:val="fr-CA" w:eastAsia="en-CA"/>
        </w:rPr>
        <w:t>de la CDO</w:t>
      </w:r>
      <w:r>
        <w:rPr>
          <w:rFonts w:eastAsia="Calibri"/>
          <w:lang w:val="fr-CA" w:eastAsia="en-CA"/>
        </w:rPr>
        <w:t> </w:t>
      </w:r>
      <w:r w:rsidR="00B016A1" w:rsidRPr="004E2CCD">
        <w:rPr>
          <w:rFonts w:eastAsia="Calibri"/>
          <w:lang w:val="fr-CA" w:eastAsia="en-CA"/>
        </w:rPr>
        <w:t xml:space="preserve">: </w:t>
      </w:r>
      <w:r w:rsidR="00A87D45" w:rsidRPr="004E2CCD">
        <w:rPr>
          <w:rFonts w:eastAsia="Calibri"/>
          <w:color w:val="0563C1" w:themeColor="hyperlink"/>
          <w:u w:val="single"/>
          <w:lang w:val="fr-CA" w:eastAsia="en-CA"/>
        </w:rPr>
        <w:t>https://www.lco-cdo.org/fr/nos-projets-en-cours/lia-dans-le-systeme-de-justice-penale/</w:t>
      </w:r>
      <w:r w:rsidR="00B016A1" w:rsidRPr="004E2CCD">
        <w:rPr>
          <w:rFonts w:eastAsia="Calibri"/>
          <w:lang w:val="fr-CA" w:eastAsia="en-CA"/>
        </w:rPr>
        <w:t>.</w:t>
      </w:r>
    </w:p>
    <w:p w14:paraId="6E210D7D" w14:textId="77777777" w:rsidR="00B016A1" w:rsidRPr="004E2CCD" w:rsidRDefault="00B016A1" w:rsidP="00504034">
      <w:pPr>
        <w:spacing w:after="0"/>
        <w:rPr>
          <w:rFonts w:eastAsia="Calibri" w:cstheme="minorHAnsi"/>
          <w:kern w:val="0"/>
          <w:lang w:val="fr-CA" w:eastAsia="en-CA"/>
          <w14:ligatures w14:val="none"/>
        </w:rPr>
      </w:pPr>
    </w:p>
    <w:p w14:paraId="298B2D3A" w14:textId="0F9FC8DD" w:rsidR="00B06F10" w:rsidRPr="00A317D7" w:rsidRDefault="00D873AD" w:rsidP="00965500">
      <w:pPr>
        <w:pStyle w:val="Heading1"/>
        <w:numPr>
          <w:ilvl w:val="0"/>
          <w:numId w:val="21"/>
        </w:numPr>
        <w:spacing w:before="0"/>
        <w:rPr>
          <w:lang w:val="fr-CA"/>
        </w:rPr>
      </w:pPr>
      <w:bookmarkStart w:id="5" w:name="_Toc194406398"/>
      <w:bookmarkStart w:id="6" w:name="_Toc197353482"/>
      <w:bookmarkStart w:id="7" w:name="_Toc197599881"/>
      <w:r>
        <w:rPr>
          <w:lang w:val="fr-CA"/>
        </w:rPr>
        <w:t xml:space="preserve">À propos de la </w:t>
      </w:r>
      <w:r w:rsidR="00DF11B0">
        <w:rPr>
          <w:lang w:val="fr-CA"/>
        </w:rPr>
        <w:t>CDO</w:t>
      </w:r>
      <w:bookmarkEnd w:id="5"/>
      <w:bookmarkEnd w:id="6"/>
      <w:bookmarkEnd w:id="7"/>
      <w:r w:rsidR="00B06F10" w:rsidRPr="00A317D7">
        <w:rPr>
          <w:lang w:val="fr-CA"/>
        </w:rPr>
        <w:t xml:space="preserve"> </w:t>
      </w:r>
    </w:p>
    <w:p w14:paraId="645D2BD6" w14:textId="77777777" w:rsidR="00B06F10" w:rsidRPr="00A317D7" w:rsidRDefault="00B06F10" w:rsidP="00B06F10">
      <w:pPr>
        <w:spacing w:after="0"/>
        <w:rPr>
          <w:lang w:val="fr-CA"/>
        </w:rPr>
      </w:pPr>
    </w:p>
    <w:p w14:paraId="169E2B9C" w14:textId="56250955" w:rsidR="00B06F10" w:rsidRPr="00D74E89" w:rsidRDefault="00D74E89" w:rsidP="00B06F10">
      <w:pPr>
        <w:spacing w:after="0"/>
        <w:rPr>
          <w:bCs/>
          <w:lang w:val="fr-CA"/>
        </w:rPr>
      </w:pPr>
      <w:r w:rsidRPr="00A317D7">
        <w:rPr>
          <w:rFonts w:ascii="Calibri" w:eastAsia="Calibri" w:hAnsi="Calibri" w:cs="Calibri"/>
          <w:lang w:val="fr-CA" w:eastAsia="en-CA"/>
        </w:rPr>
        <w:t xml:space="preserve">La Commission du droit de l’Ontario est un organisme de premier plan en matière de réforme </w:t>
      </w:r>
      <w:r w:rsidR="00DD7D16">
        <w:rPr>
          <w:rFonts w:ascii="Calibri" w:eastAsia="Calibri" w:hAnsi="Calibri" w:cs="Calibri"/>
          <w:lang w:val="fr-CA" w:eastAsia="en-CA"/>
        </w:rPr>
        <w:t>du droit</w:t>
      </w:r>
      <w:r w:rsidRPr="00A317D7">
        <w:rPr>
          <w:rFonts w:ascii="Calibri" w:eastAsia="Calibri" w:hAnsi="Calibri" w:cs="Calibri"/>
          <w:lang w:val="fr-CA" w:eastAsia="en-CA"/>
        </w:rPr>
        <w:t xml:space="preserve"> en Ontario</w:t>
      </w:r>
      <w:r w:rsidR="00B06F10" w:rsidRPr="00A317D7">
        <w:rPr>
          <w:lang w:val="fr-CA"/>
        </w:rPr>
        <w:t xml:space="preserve">. </w:t>
      </w:r>
      <w:r w:rsidRPr="00A317D7">
        <w:rPr>
          <w:rFonts w:ascii="Calibri" w:eastAsia="Calibri" w:hAnsi="Calibri" w:cs="Calibri"/>
          <w:lang w:val="fr-CA" w:eastAsia="en-CA"/>
        </w:rPr>
        <w:t xml:space="preserve">La CDO fournit des avis indépendants, équilibrés et faisant autorité sur des questions juridiques complexes et importantes. </w:t>
      </w:r>
      <w:r>
        <w:rPr>
          <w:rFonts w:ascii="Calibri" w:eastAsia="Calibri" w:hAnsi="Calibri" w:cs="Calibri"/>
          <w:lang w:val="fr-CA" w:eastAsia="en-CA"/>
        </w:rPr>
        <w:t xml:space="preserve">La </w:t>
      </w:r>
      <w:r w:rsidRPr="00A317D7">
        <w:rPr>
          <w:rFonts w:ascii="Calibri" w:eastAsia="Calibri" w:hAnsi="Calibri" w:cs="Calibri"/>
          <w:lang w:val="fr-CA" w:eastAsia="en-CA"/>
        </w:rPr>
        <w:t>CDO favorise l</w:t>
      </w:r>
      <w:r w:rsidR="00C62E0C">
        <w:rPr>
          <w:rFonts w:ascii="Calibri" w:eastAsia="Calibri" w:hAnsi="Calibri" w:cs="Calibri"/>
          <w:lang w:val="fr-CA" w:eastAsia="en-CA"/>
        </w:rPr>
        <w:t>’</w:t>
      </w:r>
      <w:r w:rsidRPr="00A317D7">
        <w:rPr>
          <w:rFonts w:ascii="Calibri" w:eastAsia="Calibri" w:hAnsi="Calibri" w:cs="Calibri"/>
          <w:lang w:val="fr-CA" w:eastAsia="en-CA"/>
        </w:rPr>
        <w:t>accès à la justice, l</w:t>
      </w:r>
      <w:r w:rsidR="00C62E0C">
        <w:rPr>
          <w:rFonts w:ascii="Calibri" w:eastAsia="Calibri" w:hAnsi="Calibri" w:cs="Calibri"/>
          <w:lang w:val="fr-CA" w:eastAsia="en-CA"/>
        </w:rPr>
        <w:t>’</w:t>
      </w:r>
      <w:r w:rsidRPr="00A317D7">
        <w:rPr>
          <w:rFonts w:ascii="Calibri" w:eastAsia="Calibri" w:hAnsi="Calibri" w:cs="Calibri"/>
          <w:lang w:val="fr-CA" w:eastAsia="en-CA"/>
        </w:rPr>
        <w:t>élaboration de lois et de politiques fondées sur des données probantes, ainsi que la participation du public à d</w:t>
      </w:r>
      <w:r w:rsidR="00C62E0C">
        <w:rPr>
          <w:rFonts w:ascii="Calibri" w:eastAsia="Calibri" w:hAnsi="Calibri" w:cs="Calibri"/>
          <w:lang w:val="fr-CA" w:eastAsia="en-CA"/>
        </w:rPr>
        <w:t>’</w:t>
      </w:r>
      <w:r w:rsidRPr="00A317D7">
        <w:rPr>
          <w:rFonts w:ascii="Calibri" w:eastAsia="Calibri" w:hAnsi="Calibri" w:cs="Calibri"/>
          <w:lang w:val="fr-CA" w:eastAsia="en-CA"/>
        </w:rPr>
        <w:t>importantes questions de réforme législative. La CDO est indépendante des intérêts des parties prenantes et s</w:t>
      </w:r>
      <w:r w:rsidR="00C62E0C">
        <w:rPr>
          <w:rFonts w:ascii="Calibri" w:eastAsia="Calibri" w:hAnsi="Calibri" w:cs="Calibri"/>
          <w:lang w:val="fr-CA" w:eastAsia="en-CA"/>
        </w:rPr>
        <w:t>’</w:t>
      </w:r>
      <w:r w:rsidRPr="00A317D7">
        <w:rPr>
          <w:rFonts w:ascii="Calibri" w:eastAsia="Calibri" w:hAnsi="Calibri" w:cs="Calibri"/>
          <w:lang w:val="fr-CA" w:eastAsia="en-CA"/>
        </w:rPr>
        <w:t>engage à adopter une perspective d</w:t>
      </w:r>
      <w:r w:rsidR="00C62E0C">
        <w:rPr>
          <w:rFonts w:ascii="Calibri" w:eastAsia="Calibri" w:hAnsi="Calibri" w:cs="Calibri"/>
          <w:lang w:val="fr-CA" w:eastAsia="en-CA"/>
        </w:rPr>
        <w:t>’</w:t>
      </w:r>
      <w:r w:rsidRPr="00A317D7">
        <w:rPr>
          <w:rFonts w:ascii="Calibri" w:eastAsia="Calibri" w:hAnsi="Calibri" w:cs="Calibri"/>
          <w:lang w:val="fr-CA" w:eastAsia="en-CA"/>
        </w:rPr>
        <w:t>intérêt public dans tous ses projets</w:t>
      </w:r>
      <w:r w:rsidR="00B06F10" w:rsidRPr="00D74E89">
        <w:rPr>
          <w:lang w:val="fr-CA"/>
        </w:rPr>
        <w:t>.</w:t>
      </w:r>
      <w:r w:rsidR="00F31A57" w:rsidRPr="00D74E89">
        <w:rPr>
          <w:lang w:val="fr-CA"/>
        </w:rPr>
        <w:t xml:space="preserve"> </w:t>
      </w:r>
      <w:r>
        <w:rPr>
          <w:lang w:val="fr-CA"/>
        </w:rPr>
        <w:t xml:space="preserve">Vous trouverez plus de renseignements sur la </w:t>
      </w:r>
      <w:r w:rsidR="00DF11B0" w:rsidRPr="00D74E89">
        <w:rPr>
          <w:lang w:val="fr-CA"/>
        </w:rPr>
        <w:t>CDO</w:t>
      </w:r>
      <w:r>
        <w:rPr>
          <w:lang w:val="fr-CA"/>
        </w:rPr>
        <w:t xml:space="preserve"> </w:t>
      </w:r>
      <w:hyperlink r:id="rId27" w:history="1">
        <w:r w:rsidRPr="00D74E89">
          <w:rPr>
            <w:rStyle w:val="Hyperlink"/>
            <w:lang w:val="fr-CA"/>
          </w:rPr>
          <w:t>ici</w:t>
        </w:r>
      </w:hyperlink>
      <w:r w:rsidR="00F31A57" w:rsidRPr="00D74E89">
        <w:rPr>
          <w:bCs/>
          <w:lang w:val="fr-CA"/>
        </w:rPr>
        <w:t>.</w:t>
      </w:r>
    </w:p>
    <w:p w14:paraId="47B566DA" w14:textId="77777777" w:rsidR="00E90131" w:rsidRPr="00D74E89" w:rsidRDefault="00E90131" w:rsidP="00B06F10">
      <w:pPr>
        <w:spacing w:after="0"/>
        <w:rPr>
          <w:lang w:val="fr-CA"/>
        </w:rPr>
      </w:pPr>
    </w:p>
    <w:p w14:paraId="0D240214" w14:textId="4283C02E" w:rsidR="00045A45" w:rsidRPr="00A317D7" w:rsidRDefault="00D74E89" w:rsidP="00045A45">
      <w:pPr>
        <w:rPr>
          <w:lang w:val="fr-CA"/>
        </w:rPr>
      </w:pPr>
      <w:r w:rsidRPr="00D74E89">
        <w:rPr>
          <w:lang w:val="fr-CA"/>
        </w:rPr>
        <w:t>Ce projet est l</w:t>
      </w:r>
      <w:r w:rsidR="00C62E0C">
        <w:rPr>
          <w:lang w:val="fr-CA"/>
        </w:rPr>
        <w:t>’</w:t>
      </w:r>
      <w:r w:rsidRPr="00D74E89">
        <w:rPr>
          <w:lang w:val="fr-CA"/>
        </w:rPr>
        <w:t>un des nombreux projets de la CDO traitant des questions liées à l</w:t>
      </w:r>
      <w:r w:rsidR="00C62E0C">
        <w:rPr>
          <w:lang w:val="fr-CA"/>
        </w:rPr>
        <w:t>’</w:t>
      </w:r>
      <w:r w:rsidRPr="00D74E89">
        <w:rPr>
          <w:lang w:val="fr-CA"/>
        </w:rPr>
        <w:t>IA dans le système judiciaire canadien. Parmi les projets et rapports antérieurs, mentionnons</w:t>
      </w:r>
      <w:r>
        <w:rPr>
          <w:lang w:val="fr-CA"/>
        </w:rPr>
        <w:t> </w:t>
      </w:r>
      <w:r w:rsidR="00045A45" w:rsidRPr="00A317D7">
        <w:rPr>
          <w:lang w:val="fr-CA"/>
        </w:rPr>
        <w:t>:</w:t>
      </w:r>
    </w:p>
    <w:p w14:paraId="39706C25" w14:textId="26E9EDAC" w:rsidR="00045A45" w:rsidRPr="00D74E89" w:rsidRDefault="00A610A1" w:rsidP="00045A45">
      <w:pPr>
        <w:numPr>
          <w:ilvl w:val="0"/>
          <w:numId w:val="2"/>
        </w:numPr>
        <w:spacing w:after="0"/>
        <w:ind w:left="714" w:hanging="357"/>
        <w:rPr>
          <w:lang w:val="fr-CA"/>
        </w:rPr>
      </w:pPr>
      <w:hyperlink r:id="rId28" w:history="1">
        <w:r w:rsidR="00D74E89" w:rsidRPr="00A317D7">
          <w:rPr>
            <w:rFonts w:ascii="Calibri" w:eastAsia="Calibri" w:hAnsi="Calibri" w:cs="Calibri"/>
            <w:color w:val="0563C1"/>
            <w:u w:val="single"/>
            <w:lang w:val="fr-CA" w:eastAsia="en-CA"/>
          </w:rPr>
          <w:t>Évaluation de l’impact de l’intelligence artificielle sur les droits de la personne</w:t>
        </w:r>
      </w:hyperlink>
      <w:r w:rsidR="00D74E89" w:rsidRPr="00A317D7">
        <w:rPr>
          <w:rFonts w:ascii="Calibri" w:eastAsia="Calibri" w:hAnsi="Calibri" w:cs="Calibri"/>
          <w:lang w:val="fr-CA" w:eastAsia="en-CA"/>
        </w:rPr>
        <w:t xml:space="preserve"> (avec la</w:t>
      </w:r>
      <w:r w:rsidR="00D74E89" w:rsidRPr="00A317D7">
        <w:rPr>
          <w:lang w:val="fr-CA"/>
        </w:rPr>
        <w:t xml:space="preserve"> </w:t>
      </w:r>
      <w:r w:rsidR="00D74E89" w:rsidRPr="00A317D7">
        <w:rPr>
          <w:rFonts w:ascii="Calibri" w:eastAsia="Calibri" w:hAnsi="Calibri" w:cs="Calibri"/>
          <w:lang w:val="fr-CA" w:eastAsia="en-CA"/>
        </w:rPr>
        <w:t>Commission ontarienne des droits de la personne</w:t>
      </w:r>
      <w:r w:rsidR="00045A45" w:rsidRPr="00D74E89">
        <w:rPr>
          <w:lang w:val="fr-CA"/>
        </w:rPr>
        <w:t>, 2024)</w:t>
      </w:r>
    </w:p>
    <w:p w14:paraId="54F0E4ED" w14:textId="77777777" w:rsidR="00045A45" w:rsidRPr="00A317D7" w:rsidRDefault="00A610A1" w:rsidP="00045A45">
      <w:pPr>
        <w:numPr>
          <w:ilvl w:val="0"/>
          <w:numId w:val="2"/>
        </w:numPr>
        <w:spacing w:after="0"/>
        <w:ind w:left="714" w:hanging="357"/>
        <w:rPr>
          <w:lang w:val="fr-CA"/>
        </w:rPr>
      </w:pPr>
      <w:hyperlink r:id="rId29" w:history="1">
        <w:r w:rsidR="00045A45" w:rsidRPr="00A317D7">
          <w:rPr>
            <w:rStyle w:val="Hyperlink"/>
            <w:i/>
            <w:iCs/>
            <w:lang w:val="fr-CA"/>
          </w:rPr>
          <w:t>Accountable AI</w:t>
        </w:r>
      </w:hyperlink>
      <w:r w:rsidR="00045A45" w:rsidRPr="00A317D7">
        <w:rPr>
          <w:i/>
          <w:iCs/>
          <w:lang w:val="fr-CA"/>
        </w:rPr>
        <w:t xml:space="preserve"> </w:t>
      </w:r>
      <w:r w:rsidR="00045A45" w:rsidRPr="00A317D7">
        <w:rPr>
          <w:lang w:val="fr-CA"/>
        </w:rPr>
        <w:t>(2022)</w:t>
      </w:r>
    </w:p>
    <w:p w14:paraId="388B49B1" w14:textId="25B5D42D" w:rsidR="00045A45" w:rsidRPr="00A317D7" w:rsidRDefault="00A610A1" w:rsidP="00045A45">
      <w:pPr>
        <w:numPr>
          <w:ilvl w:val="0"/>
          <w:numId w:val="2"/>
        </w:numPr>
        <w:spacing w:after="0"/>
        <w:ind w:left="714" w:hanging="357"/>
        <w:rPr>
          <w:lang w:val="fr-CA"/>
        </w:rPr>
      </w:pPr>
      <w:hyperlink r:id="rId30" w:history="1">
        <w:r w:rsidR="00D74E89">
          <w:rPr>
            <w:rFonts w:ascii="Calibri" w:eastAsia="Calibri" w:hAnsi="Calibri" w:cs="Calibri"/>
            <w:i/>
            <w:iCs/>
            <w:color w:val="0563C1"/>
            <w:u w:val="single"/>
            <w:lang w:val="fr-CA" w:eastAsia="en-CA"/>
          </w:rPr>
          <w:t>Réglementer l’intelligence artificielle – Enjeux et choix essentiels</w:t>
        </w:r>
      </w:hyperlink>
      <w:r w:rsidR="00D74E89" w:rsidRPr="00A317D7">
        <w:rPr>
          <w:rFonts w:ascii="Calibri" w:eastAsia="Calibri" w:hAnsi="Calibri" w:cs="Calibri"/>
          <w:lang w:val="fr-CA" w:eastAsia="en-CA"/>
        </w:rPr>
        <w:t xml:space="preserve"> </w:t>
      </w:r>
      <w:r w:rsidR="00045A45" w:rsidRPr="00A317D7">
        <w:rPr>
          <w:lang w:val="fr-CA"/>
        </w:rPr>
        <w:t xml:space="preserve">(2021) </w:t>
      </w:r>
    </w:p>
    <w:p w14:paraId="5296CCDD" w14:textId="77777777" w:rsidR="00045A45" w:rsidRPr="00D74E89" w:rsidRDefault="00A610A1" w:rsidP="00045A45">
      <w:pPr>
        <w:numPr>
          <w:ilvl w:val="0"/>
          <w:numId w:val="2"/>
        </w:numPr>
        <w:spacing w:after="0"/>
        <w:ind w:left="714" w:hanging="357"/>
        <w:rPr>
          <w:lang w:val="en-US"/>
        </w:rPr>
      </w:pPr>
      <w:hyperlink r:id="rId31" w:history="1">
        <w:r w:rsidR="00045A45" w:rsidRPr="00D74E89">
          <w:rPr>
            <w:i/>
            <w:iCs/>
            <w:color w:val="0563C1"/>
            <w:u w:val="single"/>
            <w:lang w:val="en-US"/>
          </w:rPr>
          <w:t>Legal Issues and Government AI Development</w:t>
        </w:r>
      </w:hyperlink>
      <w:r w:rsidR="00045A45" w:rsidRPr="00D74E89">
        <w:rPr>
          <w:lang w:val="en-US"/>
        </w:rPr>
        <w:t xml:space="preserve"> (2021)</w:t>
      </w:r>
    </w:p>
    <w:p w14:paraId="7E3E11A6" w14:textId="77777777" w:rsidR="00045A45" w:rsidRPr="00617BA8" w:rsidRDefault="00A610A1" w:rsidP="00045A45">
      <w:pPr>
        <w:numPr>
          <w:ilvl w:val="0"/>
          <w:numId w:val="2"/>
        </w:numPr>
        <w:spacing w:after="0"/>
        <w:ind w:left="714" w:hanging="357"/>
        <w:rPr>
          <w:lang w:val="en-US"/>
        </w:rPr>
      </w:pPr>
      <w:hyperlink r:id="rId32" w:history="1">
        <w:r w:rsidR="00045A45" w:rsidRPr="00617BA8">
          <w:rPr>
            <w:rStyle w:val="Hyperlink"/>
            <w:lang w:val="en-US"/>
          </w:rPr>
          <w:t>The Rise and Fall of Algorithms in the American Justice System: Lessons for Canada</w:t>
        </w:r>
      </w:hyperlink>
      <w:r w:rsidR="00045A45" w:rsidRPr="00617BA8">
        <w:rPr>
          <w:lang w:val="en-US"/>
        </w:rPr>
        <w:t xml:space="preserve"> (2020) </w:t>
      </w:r>
    </w:p>
    <w:p w14:paraId="56F36935" w14:textId="6E54641D" w:rsidR="00412B4E" w:rsidRPr="00617BA8" w:rsidRDefault="00412B4E" w:rsidP="00045A45">
      <w:pPr>
        <w:spacing w:after="0"/>
        <w:rPr>
          <w:bCs/>
          <w:lang w:val="en-US"/>
        </w:rPr>
      </w:pPr>
    </w:p>
    <w:p w14:paraId="7F0970C8" w14:textId="570964DF" w:rsidR="00852BE1" w:rsidRPr="00A317D7" w:rsidRDefault="00D873AD" w:rsidP="00965500">
      <w:pPr>
        <w:pStyle w:val="Heading1"/>
        <w:numPr>
          <w:ilvl w:val="0"/>
          <w:numId w:val="21"/>
        </w:numPr>
        <w:rPr>
          <w:rFonts w:eastAsia="Times New Roman"/>
          <w:lang w:val="fr-CA" w:eastAsia="en-CA"/>
        </w:rPr>
      </w:pPr>
      <w:bookmarkStart w:id="8" w:name="_Toc194406399"/>
      <w:bookmarkStart w:id="9" w:name="_Toc197353483"/>
      <w:bookmarkStart w:id="10" w:name="_Toc188900887"/>
      <w:bookmarkStart w:id="11" w:name="_Toc197599882"/>
      <w:r>
        <w:rPr>
          <w:rFonts w:eastAsia="Times New Roman"/>
          <w:lang w:val="fr-CA" w:eastAsia="en-CA"/>
        </w:rPr>
        <w:t>L’IA dans le système de justice pénale </w:t>
      </w:r>
      <w:r w:rsidR="00CB75FD" w:rsidRPr="00A317D7">
        <w:rPr>
          <w:rFonts w:eastAsia="Times New Roman"/>
          <w:lang w:val="fr-CA" w:eastAsia="en-CA"/>
        </w:rPr>
        <w:t xml:space="preserve">: </w:t>
      </w:r>
      <w:r>
        <w:rPr>
          <w:rFonts w:eastAsia="Times New Roman"/>
          <w:lang w:val="fr-CA" w:eastAsia="en-CA"/>
        </w:rPr>
        <w:t>usages et avantages</w:t>
      </w:r>
      <w:bookmarkEnd w:id="8"/>
      <w:bookmarkEnd w:id="9"/>
      <w:bookmarkEnd w:id="11"/>
      <w:r w:rsidR="00CB75FD" w:rsidRPr="00A317D7">
        <w:rPr>
          <w:rFonts w:eastAsia="Times New Roman"/>
          <w:lang w:val="fr-CA" w:eastAsia="en-CA"/>
        </w:rPr>
        <w:t xml:space="preserve"> </w:t>
      </w:r>
      <w:bookmarkEnd w:id="10"/>
    </w:p>
    <w:p w14:paraId="2FFBC75A" w14:textId="77777777" w:rsidR="009352B5" w:rsidRPr="00A317D7" w:rsidRDefault="009352B5" w:rsidP="00442E7B">
      <w:pPr>
        <w:spacing w:after="0"/>
        <w:rPr>
          <w:lang w:val="fr-CA"/>
        </w:rPr>
      </w:pPr>
    </w:p>
    <w:p w14:paraId="22736CFE" w14:textId="31C02FB2" w:rsidR="003315DA" w:rsidRPr="00A317D7" w:rsidRDefault="00617BA8" w:rsidP="00052790">
      <w:pPr>
        <w:spacing w:after="0"/>
        <w:rPr>
          <w:lang w:val="fr-CA"/>
        </w:rPr>
      </w:pPr>
      <w:r w:rsidRPr="00617BA8">
        <w:rPr>
          <w:lang w:val="fr-CA"/>
        </w:rPr>
        <w:t>Partout dans le monde, le système de justice pénale a été à l</w:t>
      </w:r>
      <w:r w:rsidR="00C62E0C">
        <w:rPr>
          <w:lang w:val="fr-CA"/>
        </w:rPr>
        <w:t>’</w:t>
      </w:r>
      <w:r w:rsidRPr="00617BA8">
        <w:rPr>
          <w:lang w:val="fr-CA"/>
        </w:rPr>
        <w:t>avant-garde de l</w:t>
      </w:r>
      <w:r w:rsidR="00C62E0C">
        <w:rPr>
          <w:lang w:val="fr-CA"/>
        </w:rPr>
        <w:t>’</w:t>
      </w:r>
      <w:r w:rsidRPr="00617BA8">
        <w:rPr>
          <w:lang w:val="fr-CA"/>
        </w:rPr>
        <w:t>adoption de l</w:t>
      </w:r>
      <w:r w:rsidR="00C62E0C">
        <w:rPr>
          <w:lang w:val="fr-CA"/>
        </w:rPr>
        <w:t>’</w:t>
      </w:r>
      <w:r w:rsidRPr="00617BA8">
        <w:rPr>
          <w:lang w:val="fr-CA"/>
        </w:rPr>
        <w:t xml:space="preserve">IA. </w:t>
      </w:r>
      <w:r w:rsidR="008B33E5">
        <w:rPr>
          <w:lang w:val="fr-CA"/>
        </w:rPr>
        <w:t>D</w:t>
      </w:r>
      <w:r w:rsidRPr="00617BA8">
        <w:rPr>
          <w:lang w:val="fr-CA"/>
        </w:rPr>
        <w:t xml:space="preserve">es </w:t>
      </w:r>
      <w:r w:rsidR="00DD7D16">
        <w:rPr>
          <w:lang w:val="fr-CA"/>
        </w:rPr>
        <w:t xml:space="preserve">juridictions </w:t>
      </w:r>
      <w:r w:rsidRPr="00617BA8">
        <w:rPr>
          <w:lang w:val="fr-CA"/>
        </w:rPr>
        <w:t>pénales à l</w:t>
      </w:r>
      <w:r w:rsidR="00C62E0C">
        <w:rPr>
          <w:lang w:val="fr-CA"/>
        </w:rPr>
        <w:t>’</w:t>
      </w:r>
      <w:r w:rsidRPr="00617BA8">
        <w:rPr>
          <w:lang w:val="fr-CA"/>
        </w:rPr>
        <w:t>extérieur du Canada utilisent l</w:t>
      </w:r>
      <w:r w:rsidR="00C62E0C">
        <w:rPr>
          <w:lang w:val="fr-CA"/>
        </w:rPr>
        <w:t>’</w:t>
      </w:r>
      <w:r w:rsidRPr="00617BA8">
        <w:rPr>
          <w:lang w:val="fr-CA"/>
        </w:rPr>
        <w:t xml:space="preserve">IA pour améliorer les enquêtes policières, analyser les preuves, </w:t>
      </w:r>
      <w:r w:rsidR="008B33E5">
        <w:rPr>
          <w:lang w:val="fr-CA"/>
        </w:rPr>
        <w:t xml:space="preserve">contribuer à </w:t>
      </w:r>
      <w:r w:rsidRPr="00617BA8">
        <w:rPr>
          <w:lang w:val="fr-CA"/>
        </w:rPr>
        <w:t xml:space="preserve">la prise de décisions judiciaires, </w:t>
      </w:r>
      <w:r w:rsidR="00DD7D16">
        <w:rPr>
          <w:lang w:val="fr-CA"/>
        </w:rPr>
        <w:t xml:space="preserve">optimiser </w:t>
      </w:r>
      <w:r w:rsidRPr="00617BA8">
        <w:rPr>
          <w:lang w:val="fr-CA"/>
        </w:rPr>
        <w:t>l</w:t>
      </w:r>
      <w:r w:rsidR="00C62E0C">
        <w:rPr>
          <w:lang w:val="fr-CA"/>
        </w:rPr>
        <w:t>’</w:t>
      </w:r>
      <w:r w:rsidRPr="00617BA8">
        <w:rPr>
          <w:lang w:val="fr-CA"/>
        </w:rPr>
        <w:t>analyse des données et cibler les ressources. Les technologies d</w:t>
      </w:r>
      <w:r w:rsidR="00C62E0C">
        <w:rPr>
          <w:lang w:val="fr-CA"/>
        </w:rPr>
        <w:t>’</w:t>
      </w:r>
      <w:r w:rsidRPr="00617BA8">
        <w:rPr>
          <w:lang w:val="fr-CA"/>
        </w:rPr>
        <w:t xml:space="preserve">IA </w:t>
      </w:r>
      <w:r w:rsidR="00105D48">
        <w:rPr>
          <w:lang w:val="fr-CA"/>
        </w:rPr>
        <w:t xml:space="preserve">actuellement </w:t>
      </w:r>
      <w:r w:rsidRPr="00617BA8">
        <w:rPr>
          <w:lang w:val="fr-CA"/>
        </w:rPr>
        <w:t xml:space="preserve">utilisées dans le </w:t>
      </w:r>
      <w:r w:rsidR="005D5B92">
        <w:rPr>
          <w:lang w:val="fr-CA"/>
        </w:rPr>
        <w:t>système</w:t>
      </w:r>
      <w:r w:rsidR="00DD7D16">
        <w:rPr>
          <w:lang w:val="fr-CA"/>
        </w:rPr>
        <w:t xml:space="preserve"> </w:t>
      </w:r>
      <w:r w:rsidRPr="00617BA8">
        <w:rPr>
          <w:lang w:val="fr-CA"/>
        </w:rPr>
        <w:t xml:space="preserve">de justice pénale comprennent le maintien de l’ordre prédictif, la </w:t>
      </w:r>
      <w:r w:rsidR="00DD7D16">
        <w:rPr>
          <w:lang w:val="fr-CA"/>
        </w:rPr>
        <w:t xml:space="preserve">technologie de </w:t>
      </w:r>
      <w:r w:rsidRPr="00617BA8">
        <w:rPr>
          <w:lang w:val="fr-CA"/>
        </w:rPr>
        <w:t xml:space="preserve">reconnaissance faciale </w:t>
      </w:r>
      <w:r w:rsidR="008B33E5">
        <w:rPr>
          <w:lang w:val="fr-CA"/>
        </w:rPr>
        <w:t xml:space="preserve">(TRF) </w:t>
      </w:r>
      <w:r w:rsidRPr="00617BA8">
        <w:rPr>
          <w:lang w:val="fr-CA"/>
        </w:rPr>
        <w:t>et la surveillance biométrique, l</w:t>
      </w:r>
      <w:r w:rsidR="00C62E0C">
        <w:rPr>
          <w:lang w:val="fr-CA"/>
        </w:rPr>
        <w:t>’</w:t>
      </w:r>
      <w:r w:rsidRPr="00617BA8">
        <w:rPr>
          <w:lang w:val="fr-CA"/>
        </w:rPr>
        <w:t>analyse des médias sociaux, les lecteurs de plaques d</w:t>
      </w:r>
      <w:r w:rsidR="00C62E0C">
        <w:rPr>
          <w:lang w:val="fr-CA"/>
        </w:rPr>
        <w:t>’</w:t>
      </w:r>
      <w:r w:rsidRPr="00617BA8">
        <w:rPr>
          <w:lang w:val="fr-CA"/>
        </w:rPr>
        <w:t xml:space="preserve">immatriculation, les algorithmes </w:t>
      </w:r>
      <w:r w:rsidR="00105D48">
        <w:rPr>
          <w:lang w:val="fr-CA"/>
        </w:rPr>
        <w:t xml:space="preserve">pour les </w:t>
      </w:r>
      <w:r w:rsidRPr="00617BA8">
        <w:rPr>
          <w:lang w:val="fr-CA"/>
        </w:rPr>
        <w:lastRenderedPageBreak/>
        <w:t>libération</w:t>
      </w:r>
      <w:r w:rsidR="00105D48">
        <w:rPr>
          <w:lang w:val="fr-CA"/>
        </w:rPr>
        <w:t>s</w:t>
      </w:r>
      <w:r w:rsidRPr="00617BA8">
        <w:rPr>
          <w:lang w:val="fr-CA"/>
        </w:rPr>
        <w:t xml:space="preserve"> </w:t>
      </w:r>
      <w:r w:rsidR="00105D48">
        <w:rPr>
          <w:lang w:val="fr-CA"/>
        </w:rPr>
        <w:t xml:space="preserve">conditionnelles </w:t>
      </w:r>
      <w:r w:rsidRPr="00617BA8">
        <w:rPr>
          <w:lang w:val="fr-CA"/>
        </w:rPr>
        <w:t xml:space="preserve">et </w:t>
      </w:r>
      <w:r w:rsidR="00105D48">
        <w:rPr>
          <w:lang w:val="fr-CA"/>
        </w:rPr>
        <w:t xml:space="preserve">la </w:t>
      </w:r>
      <w:r w:rsidRPr="00617BA8">
        <w:rPr>
          <w:lang w:val="fr-CA"/>
        </w:rPr>
        <w:t xml:space="preserve">détermination </w:t>
      </w:r>
      <w:r w:rsidR="00105D48">
        <w:rPr>
          <w:lang w:val="fr-CA"/>
        </w:rPr>
        <w:t xml:space="preserve">des </w:t>
      </w:r>
      <w:r w:rsidRPr="00617BA8">
        <w:rPr>
          <w:lang w:val="fr-CA"/>
        </w:rPr>
        <w:t>peine</w:t>
      </w:r>
      <w:r w:rsidR="00105D48">
        <w:rPr>
          <w:lang w:val="fr-CA"/>
        </w:rPr>
        <w:t>s</w:t>
      </w:r>
      <w:r w:rsidRPr="00617BA8">
        <w:rPr>
          <w:lang w:val="fr-CA"/>
        </w:rPr>
        <w:t>, et bien d</w:t>
      </w:r>
      <w:r w:rsidR="00C62E0C">
        <w:rPr>
          <w:lang w:val="fr-CA"/>
        </w:rPr>
        <w:t>’</w:t>
      </w:r>
      <w:r w:rsidRPr="00617BA8">
        <w:rPr>
          <w:lang w:val="fr-CA"/>
        </w:rPr>
        <w:t xml:space="preserve">autres applications. Bon nombre de ces systèmes </w:t>
      </w:r>
      <w:r w:rsidR="008B33E5">
        <w:rPr>
          <w:lang w:val="fr-CA"/>
        </w:rPr>
        <w:t xml:space="preserve">seraient </w:t>
      </w:r>
      <w:r w:rsidRPr="00617BA8">
        <w:rPr>
          <w:lang w:val="fr-CA"/>
        </w:rPr>
        <w:t>également utilisés au Canada. Parmi les systèmes d</w:t>
      </w:r>
      <w:r w:rsidR="00C62E0C">
        <w:rPr>
          <w:lang w:val="fr-CA"/>
        </w:rPr>
        <w:t>’</w:t>
      </w:r>
      <w:r w:rsidRPr="00617BA8">
        <w:rPr>
          <w:lang w:val="fr-CA"/>
        </w:rPr>
        <w:t xml:space="preserve">IA notables dans le </w:t>
      </w:r>
      <w:r w:rsidR="005D5B92">
        <w:rPr>
          <w:lang w:val="fr-CA"/>
        </w:rPr>
        <w:t xml:space="preserve">secteur </w:t>
      </w:r>
      <w:r w:rsidRPr="00617BA8">
        <w:rPr>
          <w:lang w:val="fr-CA"/>
        </w:rPr>
        <w:t>pénal, on peut citer</w:t>
      </w:r>
      <w:r>
        <w:rPr>
          <w:lang w:val="fr-CA"/>
        </w:rPr>
        <w:t> </w:t>
      </w:r>
      <w:r w:rsidR="001235A2" w:rsidRPr="00A317D7">
        <w:rPr>
          <w:lang w:val="fr-CA" w:eastAsia="en-CA"/>
        </w:rPr>
        <w:t>:</w:t>
      </w:r>
    </w:p>
    <w:p w14:paraId="378A99A3" w14:textId="77777777" w:rsidR="00052790" w:rsidRPr="00A317D7" w:rsidRDefault="00052790" w:rsidP="00052790">
      <w:pPr>
        <w:spacing w:after="0"/>
        <w:rPr>
          <w:lang w:val="fr-CA" w:eastAsia="en-CA"/>
        </w:rPr>
      </w:pPr>
    </w:p>
    <w:p w14:paraId="5DC6D62C" w14:textId="08821729" w:rsidR="00B549D7" w:rsidRPr="00A317D7" w:rsidRDefault="00617BA8" w:rsidP="00617BA8">
      <w:pPr>
        <w:pStyle w:val="ListParagraph"/>
        <w:numPr>
          <w:ilvl w:val="0"/>
          <w:numId w:val="19"/>
        </w:numPr>
        <w:rPr>
          <w:b/>
          <w:bCs/>
          <w:lang w:val="fr-CA"/>
        </w:rPr>
      </w:pPr>
      <w:bookmarkStart w:id="12" w:name="_Toc188900890"/>
      <w:r>
        <w:rPr>
          <w:b/>
          <w:bCs/>
          <w:lang w:val="fr-CA"/>
        </w:rPr>
        <w:t>L’a</w:t>
      </w:r>
      <w:r w:rsidRPr="00617BA8">
        <w:rPr>
          <w:b/>
          <w:bCs/>
          <w:lang w:val="fr-CA"/>
        </w:rPr>
        <w:t>nalyse prédictive</w:t>
      </w:r>
      <w:r w:rsidR="003315DA" w:rsidRPr="00A317D7">
        <w:rPr>
          <w:b/>
          <w:bCs/>
          <w:lang w:val="fr-CA"/>
        </w:rPr>
        <w:t>/</w:t>
      </w:r>
      <w:bookmarkEnd w:id="12"/>
      <w:r w:rsidRPr="00617BA8">
        <w:rPr>
          <w:b/>
          <w:bCs/>
          <w:lang w:val="fr-CA"/>
        </w:rPr>
        <w:t>le maintien de l’ordre prédictif</w:t>
      </w:r>
      <w:r w:rsidR="00B549D7" w:rsidRPr="00A317D7">
        <w:rPr>
          <w:rStyle w:val="EndnoteReference"/>
          <w:lang w:val="fr-CA"/>
        </w:rPr>
        <w:endnoteReference w:id="1"/>
      </w:r>
      <w:r w:rsidR="00B549D7" w:rsidRPr="00A317D7">
        <w:rPr>
          <w:lang w:val="fr-CA"/>
        </w:rPr>
        <w:t xml:space="preserve"> </w:t>
      </w:r>
    </w:p>
    <w:p w14:paraId="4C829261" w14:textId="79C66721" w:rsidR="00B549D7" w:rsidRPr="00D574BE" w:rsidRDefault="00617BA8" w:rsidP="00E03202">
      <w:pPr>
        <w:rPr>
          <w:lang w:val="fr-CA"/>
        </w:rPr>
      </w:pPr>
      <w:r w:rsidRPr="00617BA8">
        <w:rPr>
          <w:lang w:val="fr-CA"/>
        </w:rPr>
        <w:t>Le maintien de l</w:t>
      </w:r>
      <w:r w:rsidR="00C62E0C">
        <w:rPr>
          <w:lang w:val="fr-CA"/>
        </w:rPr>
        <w:t>’</w:t>
      </w:r>
      <w:r w:rsidRPr="00617BA8">
        <w:rPr>
          <w:lang w:val="fr-CA"/>
        </w:rPr>
        <w:t>ordre prédictif est un nom générique désignant une technologie d</w:t>
      </w:r>
      <w:r w:rsidR="00C62E0C">
        <w:rPr>
          <w:lang w:val="fr-CA"/>
        </w:rPr>
        <w:t>’</w:t>
      </w:r>
      <w:r w:rsidRPr="00617BA8">
        <w:rPr>
          <w:lang w:val="fr-CA"/>
        </w:rPr>
        <w:t>IA qui traite et analyse des ensembles de données volumineux et complexes beaucoup plus rapidement que les humains. Le professeur Andrew Ferguson, éminent spécialiste américain en maintien de l</w:t>
      </w:r>
      <w:r w:rsidR="00C62E0C">
        <w:rPr>
          <w:lang w:val="fr-CA"/>
        </w:rPr>
        <w:t>’</w:t>
      </w:r>
      <w:r w:rsidRPr="00617BA8">
        <w:rPr>
          <w:lang w:val="fr-CA"/>
        </w:rPr>
        <w:t>ordre prédictif, écrit</w:t>
      </w:r>
      <w:r w:rsidR="00D574BE">
        <w:rPr>
          <w:lang w:val="fr-CA"/>
        </w:rPr>
        <w:t xml:space="preserve"> que :</w:t>
      </w:r>
    </w:p>
    <w:p w14:paraId="48366270" w14:textId="25C1ED5D" w:rsidR="00B549D7" w:rsidRPr="00D574BE" w:rsidRDefault="00B549D7" w:rsidP="00E03202">
      <w:pPr>
        <w:ind w:left="720"/>
        <w:rPr>
          <w:i/>
          <w:iCs/>
          <w:lang w:val="fr-CA"/>
        </w:rPr>
      </w:pPr>
      <w:r w:rsidRPr="00D574BE">
        <w:rPr>
          <w:i/>
          <w:iCs/>
          <w:lang w:val="fr-CA"/>
        </w:rPr>
        <w:t>…</w:t>
      </w:r>
      <w:r w:rsidR="00D574BE" w:rsidRPr="00D574BE">
        <w:rPr>
          <w:i/>
          <w:iCs/>
          <w:lang w:val="fr-CA"/>
        </w:rPr>
        <w:t xml:space="preserve">les informations issues des données sont </w:t>
      </w:r>
      <w:r w:rsidR="00526A41">
        <w:rPr>
          <w:i/>
          <w:iCs/>
          <w:lang w:val="fr-CA"/>
        </w:rPr>
        <w:t xml:space="preserve">utilisées </w:t>
      </w:r>
      <w:r w:rsidR="00D574BE" w:rsidRPr="00D574BE">
        <w:rPr>
          <w:i/>
          <w:iCs/>
          <w:lang w:val="fr-CA"/>
        </w:rPr>
        <w:t>pour prendre des décisions concrètes concernant les priorités de la police et l</w:t>
      </w:r>
      <w:r w:rsidR="00C62E0C">
        <w:rPr>
          <w:i/>
          <w:iCs/>
          <w:lang w:val="fr-CA"/>
        </w:rPr>
        <w:t>’</w:t>
      </w:r>
      <w:r w:rsidR="00D574BE" w:rsidRPr="00D574BE">
        <w:rPr>
          <w:i/>
          <w:iCs/>
          <w:lang w:val="fr-CA"/>
        </w:rPr>
        <w:t>allocation des ressources</w:t>
      </w:r>
      <w:r w:rsidR="00C62E0C">
        <w:rPr>
          <w:i/>
          <w:iCs/>
          <w:lang w:val="fr-CA"/>
        </w:rPr>
        <w:t>…</w:t>
      </w:r>
      <w:r w:rsidR="00D574BE" w:rsidRPr="00D574BE">
        <w:rPr>
          <w:i/>
          <w:iCs/>
          <w:lang w:val="fr-CA"/>
        </w:rPr>
        <w:t xml:space="preserve"> offrant ainsi aux responsables de la police la possibilité d</w:t>
      </w:r>
      <w:r w:rsidR="00C62E0C">
        <w:rPr>
          <w:i/>
          <w:iCs/>
          <w:lang w:val="fr-CA"/>
        </w:rPr>
        <w:t>’</w:t>
      </w:r>
      <w:r w:rsidR="00D574BE" w:rsidRPr="00D574BE">
        <w:rPr>
          <w:i/>
          <w:iCs/>
          <w:lang w:val="fr-CA"/>
        </w:rPr>
        <w:t>identifier les zones à forte criminalité, de restructurer les itinéraires de patrouille et d</w:t>
      </w:r>
      <w:r w:rsidR="00C62E0C">
        <w:rPr>
          <w:i/>
          <w:iCs/>
          <w:lang w:val="fr-CA"/>
        </w:rPr>
        <w:t>’</w:t>
      </w:r>
      <w:r w:rsidR="00D574BE" w:rsidRPr="00D574BE">
        <w:rPr>
          <w:i/>
          <w:iCs/>
          <w:lang w:val="fr-CA"/>
        </w:rPr>
        <w:t>élaborer des stratégies de lutte contre la criminalité basées sur les nouvelles données</w:t>
      </w:r>
      <w:r w:rsidRPr="00A317D7">
        <w:rPr>
          <w:rStyle w:val="EndnoteReference"/>
          <w:i/>
          <w:iCs/>
          <w:lang w:val="fr-CA"/>
        </w:rPr>
        <w:endnoteReference w:id="2"/>
      </w:r>
      <w:r w:rsidR="00D574BE">
        <w:rPr>
          <w:i/>
          <w:iCs/>
          <w:lang w:val="fr-CA"/>
        </w:rPr>
        <w:t>.</w:t>
      </w:r>
      <w:r w:rsidR="00BE6D0C" w:rsidRPr="00D574BE">
        <w:rPr>
          <w:i/>
          <w:iCs/>
          <w:lang w:val="fr-CA"/>
        </w:rPr>
        <w:t xml:space="preserve"> </w:t>
      </w:r>
    </w:p>
    <w:p w14:paraId="37BF2F27" w14:textId="1B63F23F" w:rsidR="00B549D7" w:rsidRPr="00D574BE" w:rsidRDefault="00D574BE" w:rsidP="001235A2">
      <w:pPr>
        <w:rPr>
          <w:i/>
          <w:iCs/>
          <w:lang w:val="fr-CA"/>
        </w:rPr>
      </w:pPr>
      <w:r w:rsidRPr="00D574BE">
        <w:rPr>
          <w:lang w:val="fr-CA"/>
        </w:rPr>
        <w:t>Le maintien de l</w:t>
      </w:r>
      <w:r w:rsidR="00C62E0C">
        <w:rPr>
          <w:lang w:val="fr-CA"/>
        </w:rPr>
        <w:t>’</w:t>
      </w:r>
      <w:r w:rsidRPr="00D574BE">
        <w:rPr>
          <w:lang w:val="fr-CA"/>
        </w:rPr>
        <w:t xml:space="preserve">ordre prédictif est généralement compris comme </w:t>
      </w:r>
      <w:r w:rsidR="00D72A6A">
        <w:rPr>
          <w:lang w:val="fr-CA"/>
        </w:rPr>
        <w:t xml:space="preserve">étant formé de </w:t>
      </w:r>
      <w:r w:rsidRPr="00D574BE">
        <w:rPr>
          <w:lang w:val="fr-CA"/>
        </w:rPr>
        <w:t>systèmes d</w:t>
      </w:r>
      <w:r w:rsidR="00C62E0C">
        <w:rPr>
          <w:lang w:val="fr-CA"/>
        </w:rPr>
        <w:t>’</w:t>
      </w:r>
      <w:r w:rsidRPr="00D574BE">
        <w:rPr>
          <w:lang w:val="fr-CA"/>
        </w:rPr>
        <w:t>IA qui tentent de prévoir les crimes futurs, notamment</w:t>
      </w:r>
      <w:r w:rsidR="0062785A" w:rsidRPr="00A317D7">
        <w:rPr>
          <w:rStyle w:val="EndnoteReference"/>
          <w:lang w:val="fr-CA"/>
        </w:rPr>
        <w:endnoteReference w:id="3"/>
      </w:r>
      <w:r>
        <w:rPr>
          <w:lang w:val="fr-CA"/>
        </w:rPr>
        <w:t> :</w:t>
      </w:r>
      <w:r w:rsidR="00BE6D0C" w:rsidRPr="00D574BE">
        <w:rPr>
          <w:lang w:val="fr-CA"/>
        </w:rPr>
        <w:t xml:space="preserve"> </w:t>
      </w:r>
    </w:p>
    <w:p w14:paraId="7A116A12" w14:textId="65E499EA" w:rsidR="00B549D7" w:rsidRPr="00A317D7" w:rsidRDefault="00D574BE" w:rsidP="00D574BE">
      <w:pPr>
        <w:pStyle w:val="ListParagraph"/>
        <w:numPr>
          <w:ilvl w:val="0"/>
          <w:numId w:val="16"/>
        </w:numPr>
        <w:rPr>
          <w:lang w:val="fr-CA"/>
        </w:rPr>
      </w:pPr>
      <w:r w:rsidRPr="00D574BE">
        <w:rPr>
          <w:lang w:val="fr-CA"/>
        </w:rPr>
        <w:t>les systèmes géolocalisés qui prédisent où et quand des activités criminelles pourraient se produire</w:t>
      </w:r>
      <w:r w:rsidR="00C62E0C">
        <w:rPr>
          <w:lang w:val="fr-CA"/>
        </w:rPr>
        <w:t> </w:t>
      </w:r>
      <w:r>
        <w:rPr>
          <w:lang w:val="fr-CA"/>
        </w:rPr>
        <w:t>;</w:t>
      </w:r>
    </w:p>
    <w:p w14:paraId="1D8AAEA0" w14:textId="09D7BA75" w:rsidR="00B549D7" w:rsidRPr="00A317D7" w:rsidRDefault="00D574BE" w:rsidP="00D574BE">
      <w:pPr>
        <w:pStyle w:val="ListParagraph"/>
        <w:numPr>
          <w:ilvl w:val="0"/>
          <w:numId w:val="6"/>
        </w:numPr>
        <w:rPr>
          <w:lang w:val="fr-CA"/>
        </w:rPr>
      </w:pPr>
      <w:r w:rsidRPr="00D574BE">
        <w:rPr>
          <w:lang w:val="fr-CA"/>
        </w:rPr>
        <w:t>les systèmes personnels qui prédisent qui est susceptible d</w:t>
      </w:r>
      <w:r w:rsidR="00C62E0C">
        <w:rPr>
          <w:lang w:val="fr-CA"/>
        </w:rPr>
        <w:t>’</w:t>
      </w:r>
      <w:r w:rsidRPr="00D574BE">
        <w:rPr>
          <w:lang w:val="fr-CA"/>
        </w:rPr>
        <w:t>être impliqué dans des activités criminelles futures</w:t>
      </w:r>
      <w:r w:rsidR="00B549D7" w:rsidRPr="00A317D7">
        <w:rPr>
          <w:lang w:val="fr-CA"/>
        </w:rPr>
        <w:t xml:space="preserve">. </w:t>
      </w:r>
    </w:p>
    <w:p w14:paraId="1EB8B2C2" w14:textId="511362B7" w:rsidR="00B549D7" w:rsidRPr="00D574BE" w:rsidRDefault="00D574BE" w:rsidP="00284386">
      <w:pPr>
        <w:rPr>
          <w:lang w:val="fr-CA"/>
        </w:rPr>
      </w:pPr>
      <w:r w:rsidRPr="00D574BE">
        <w:rPr>
          <w:lang w:val="fr-CA"/>
        </w:rPr>
        <w:t>Parmi les exemples bien connus du maintien de l</w:t>
      </w:r>
      <w:r w:rsidR="00C62E0C">
        <w:rPr>
          <w:lang w:val="fr-CA"/>
        </w:rPr>
        <w:t>’</w:t>
      </w:r>
      <w:r w:rsidRPr="00D574BE">
        <w:rPr>
          <w:lang w:val="fr-CA"/>
        </w:rPr>
        <w:t xml:space="preserve">ordre prédictif, on peut citer LASER, un système </w:t>
      </w:r>
      <w:r w:rsidR="00D72A6A">
        <w:rPr>
          <w:lang w:val="fr-CA"/>
        </w:rPr>
        <w:t xml:space="preserve">que la </w:t>
      </w:r>
      <w:r w:rsidRPr="00D574BE">
        <w:rPr>
          <w:lang w:val="fr-CA"/>
        </w:rPr>
        <w:t xml:space="preserve">police de Los Angeles </w:t>
      </w:r>
      <w:r w:rsidR="00D72A6A">
        <w:rPr>
          <w:lang w:val="fr-CA"/>
        </w:rPr>
        <w:t xml:space="preserve">utilisait </w:t>
      </w:r>
      <w:r w:rsidRPr="00D574BE">
        <w:rPr>
          <w:lang w:val="fr-CA"/>
        </w:rPr>
        <w:t>pour identifier les zones où des violences armées étaient susceptibles de se produire</w:t>
      </w:r>
      <w:r w:rsidR="00C62E0C">
        <w:rPr>
          <w:lang w:val="fr-CA"/>
        </w:rPr>
        <w:t> </w:t>
      </w:r>
      <w:r w:rsidRPr="00D574BE">
        <w:rPr>
          <w:lang w:val="fr-CA"/>
        </w:rPr>
        <w:t xml:space="preserve">; PredPol et Palantir, les systèmes de </w:t>
      </w:r>
      <w:r w:rsidR="00D72A6A" w:rsidRPr="00D574BE">
        <w:rPr>
          <w:lang w:val="fr-CA"/>
        </w:rPr>
        <w:t>maintien de l</w:t>
      </w:r>
      <w:r w:rsidR="00D72A6A">
        <w:rPr>
          <w:lang w:val="fr-CA"/>
        </w:rPr>
        <w:t>’</w:t>
      </w:r>
      <w:r w:rsidR="00D72A6A" w:rsidRPr="00D574BE">
        <w:rPr>
          <w:lang w:val="fr-CA"/>
        </w:rPr>
        <w:t xml:space="preserve">ordre prédictif </w:t>
      </w:r>
      <w:r w:rsidRPr="00D574BE">
        <w:rPr>
          <w:lang w:val="fr-CA"/>
        </w:rPr>
        <w:t>les plus couramment utilisés aux États-Unis</w:t>
      </w:r>
      <w:r w:rsidR="00C62E0C">
        <w:rPr>
          <w:lang w:val="fr-CA"/>
        </w:rPr>
        <w:t> </w:t>
      </w:r>
      <w:r w:rsidRPr="00D574BE">
        <w:rPr>
          <w:lang w:val="fr-CA"/>
        </w:rPr>
        <w:t>; et le système de «</w:t>
      </w:r>
      <w:r w:rsidR="00C62E0C">
        <w:rPr>
          <w:lang w:val="fr-CA"/>
        </w:rPr>
        <w:t> </w:t>
      </w:r>
      <w:r w:rsidRPr="00D574BE">
        <w:rPr>
          <w:lang w:val="fr-CA"/>
        </w:rPr>
        <w:t>liste stratégique des personnes à surveiller</w:t>
      </w:r>
      <w:r w:rsidR="00C62E0C">
        <w:rPr>
          <w:lang w:val="fr-CA"/>
        </w:rPr>
        <w:t> </w:t>
      </w:r>
      <w:r w:rsidRPr="00D574BE">
        <w:rPr>
          <w:lang w:val="fr-CA"/>
        </w:rPr>
        <w:t>» de la police de Chicago</w:t>
      </w:r>
      <w:r w:rsidR="00B549D7" w:rsidRPr="00A317D7">
        <w:rPr>
          <w:rStyle w:val="EndnoteReference"/>
          <w:lang w:val="fr-CA"/>
        </w:rPr>
        <w:endnoteReference w:id="4"/>
      </w:r>
      <w:r>
        <w:rPr>
          <w:lang w:val="fr-CA"/>
        </w:rPr>
        <w:t>.</w:t>
      </w:r>
      <w:r w:rsidR="00B549D7" w:rsidRPr="00D574BE">
        <w:rPr>
          <w:lang w:val="fr-CA"/>
        </w:rPr>
        <w:t xml:space="preserve"> </w:t>
      </w:r>
      <w:r w:rsidRPr="00D574BE">
        <w:rPr>
          <w:lang w:val="fr-CA"/>
        </w:rPr>
        <w:t>Les services de police canadiens auraient également utilisé ou testé le maintien de l</w:t>
      </w:r>
      <w:r w:rsidR="00C62E0C">
        <w:rPr>
          <w:lang w:val="fr-CA"/>
        </w:rPr>
        <w:t>’</w:t>
      </w:r>
      <w:r w:rsidRPr="00D574BE">
        <w:rPr>
          <w:lang w:val="fr-CA"/>
        </w:rPr>
        <w:t>ordre prédictif, notamment le service de police de Vancouver (GeoDASH) et le service de police de Calgary (Palantir Gotham</w:t>
      </w:r>
      <w:r w:rsidR="00B549D7" w:rsidRPr="00D574BE">
        <w:rPr>
          <w:lang w:val="fr-CA"/>
        </w:rPr>
        <w:t>)</w:t>
      </w:r>
      <w:r w:rsidR="00B549D7" w:rsidRPr="00A317D7">
        <w:rPr>
          <w:vertAlign w:val="superscript"/>
          <w:lang w:val="fr-CA"/>
        </w:rPr>
        <w:endnoteReference w:id="5"/>
      </w:r>
      <w:r>
        <w:rPr>
          <w:lang w:val="fr-CA"/>
        </w:rPr>
        <w:t>.</w:t>
      </w:r>
      <w:r w:rsidR="00BE6D0C" w:rsidRPr="00D574BE">
        <w:rPr>
          <w:lang w:val="fr-CA"/>
        </w:rPr>
        <w:t xml:space="preserve"> </w:t>
      </w:r>
    </w:p>
    <w:p w14:paraId="2266C263" w14:textId="42D6A6E7" w:rsidR="00B549D7" w:rsidRPr="00A317D7" w:rsidRDefault="00B549D7" w:rsidP="00965500">
      <w:pPr>
        <w:pStyle w:val="ListParagraph"/>
        <w:numPr>
          <w:ilvl w:val="0"/>
          <w:numId w:val="19"/>
        </w:numPr>
        <w:rPr>
          <w:b/>
          <w:bCs/>
          <w:lang w:val="fr-CA"/>
        </w:rPr>
      </w:pPr>
      <w:bookmarkStart w:id="13" w:name="_Toc188900891"/>
      <w:r w:rsidRPr="00A317D7">
        <w:rPr>
          <w:b/>
          <w:bCs/>
          <w:lang w:val="fr-CA"/>
        </w:rPr>
        <w:t>Reco</w:t>
      </w:r>
      <w:r w:rsidR="00D574BE">
        <w:rPr>
          <w:b/>
          <w:bCs/>
          <w:lang w:val="fr-CA"/>
        </w:rPr>
        <w:t>nnaissance faciale et b</w:t>
      </w:r>
      <w:r w:rsidRPr="00A317D7">
        <w:rPr>
          <w:b/>
          <w:bCs/>
          <w:lang w:val="fr-CA"/>
        </w:rPr>
        <w:t>iom</w:t>
      </w:r>
      <w:r w:rsidR="00D574BE">
        <w:rPr>
          <w:b/>
          <w:bCs/>
          <w:lang w:val="fr-CA"/>
        </w:rPr>
        <w:t>é</w:t>
      </w:r>
      <w:r w:rsidRPr="00A317D7">
        <w:rPr>
          <w:b/>
          <w:bCs/>
          <w:lang w:val="fr-CA"/>
        </w:rPr>
        <w:t>tri</w:t>
      </w:r>
      <w:bookmarkEnd w:id="13"/>
      <w:r w:rsidR="00D574BE">
        <w:rPr>
          <w:b/>
          <w:bCs/>
          <w:lang w:val="fr-CA"/>
        </w:rPr>
        <w:t>e</w:t>
      </w:r>
      <w:r w:rsidRPr="00A317D7">
        <w:rPr>
          <w:rStyle w:val="EndnoteReference"/>
          <w:lang w:val="fr-CA"/>
        </w:rPr>
        <w:endnoteReference w:id="6"/>
      </w:r>
    </w:p>
    <w:p w14:paraId="239D6EC7" w14:textId="1F4A5BBB" w:rsidR="00B549D7" w:rsidRPr="00A317D7" w:rsidRDefault="00D574BE" w:rsidP="006C16DC">
      <w:pPr>
        <w:rPr>
          <w:lang w:val="fr-CA"/>
        </w:rPr>
      </w:pPr>
      <w:r w:rsidRPr="00D574BE">
        <w:rPr>
          <w:lang w:val="fr-CA"/>
        </w:rPr>
        <w:t>L</w:t>
      </w:r>
      <w:r>
        <w:rPr>
          <w:lang w:val="fr-CA"/>
        </w:rPr>
        <w:t>a</w:t>
      </w:r>
      <w:r w:rsidRPr="00D574BE">
        <w:rPr>
          <w:lang w:val="fr-CA"/>
        </w:rPr>
        <w:t xml:space="preserve"> Commissaire à l</w:t>
      </w:r>
      <w:r w:rsidR="00C62E0C">
        <w:rPr>
          <w:lang w:val="fr-CA"/>
        </w:rPr>
        <w:t>’</w:t>
      </w:r>
      <w:r w:rsidRPr="00D574BE">
        <w:rPr>
          <w:lang w:val="fr-CA"/>
        </w:rPr>
        <w:t>information et à la protection de la vie privée de l</w:t>
      </w:r>
      <w:r w:rsidR="00C62E0C">
        <w:rPr>
          <w:lang w:val="fr-CA"/>
        </w:rPr>
        <w:t>’</w:t>
      </w:r>
      <w:r w:rsidRPr="00D574BE">
        <w:rPr>
          <w:lang w:val="fr-CA"/>
        </w:rPr>
        <w:t>Ontario définit la technologie de reconnaissance faciale (TRF) comme suit</w:t>
      </w:r>
      <w:r w:rsidR="00B41373">
        <w:rPr>
          <w:lang w:val="fr-CA"/>
        </w:rPr>
        <w:t> </w:t>
      </w:r>
      <w:r w:rsidRPr="00D574BE">
        <w:rPr>
          <w:lang w:val="fr-CA"/>
        </w:rPr>
        <w:t>:</w:t>
      </w:r>
    </w:p>
    <w:p w14:paraId="69AF819C" w14:textId="741A5BA1" w:rsidR="00B549D7" w:rsidRPr="00F65326" w:rsidRDefault="00B549D7" w:rsidP="00F65326">
      <w:pPr>
        <w:ind w:left="720"/>
        <w:rPr>
          <w:i/>
          <w:iCs/>
          <w:lang w:val="fr-CA"/>
        </w:rPr>
      </w:pPr>
      <w:r w:rsidRPr="00F65326">
        <w:rPr>
          <w:i/>
          <w:iCs/>
          <w:lang w:val="fr-CA"/>
        </w:rPr>
        <w:t>…</w:t>
      </w:r>
      <w:r w:rsidR="00F65326" w:rsidRPr="00F65326">
        <w:rPr>
          <w:lang w:val="fr-CA"/>
        </w:rPr>
        <w:t xml:space="preserve"> </w:t>
      </w:r>
      <w:r w:rsidR="00F65326" w:rsidRPr="00F65326">
        <w:rPr>
          <w:i/>
          <w:iCs/>
          <w:lang w:val="fr-CA"/>
        </w:rPr>
        <w:t>une technologie de l’intelligence artificielle (IA) qui permet</w:t>
      </w:r>
      <w:r w:rsidR="00F65326">
        <w:rPr>
          <w:i/>
          <w:iCs/>
          <w:lang w:val="fr-CA"/>
        </w:rPr>
        <w:t xml:space="preserve"> </w:t>
      </w:r>
      <w:r w:rsidR="00F65326" w:rsidRPr="00F65326">
        <w:rPr>
          <w:i/>
          <w:iCs/>
          <w:lang w:val="fr-CA"/>
        </w:rPr>
        <w:t>de recueillir et de traiter des renseignements personnels délicats pour identifier un particulier ou</w:t>
      </w:r>
      <w:r w:rsidR="00F65326">
        <w:rPr>
          <w:i/>
          <w:iCs/>
          <w:lang w:val="fr-CA"/>
        </w:rPr>
        <w:t xml:space="preserve"> </w:t>
      </w:r>
      <w:r w:rsidR="00F65326" w:rsidRPr="00F65326">
        <w:rPr>
          <w:i/>
          <w:iCs/>
          <w:lang w:val="fr-CA"/>
        </w:rPr>
        <w:t>vérifier son identité</w:t>
      </w:r>
      <w:r w:rsidRPr="00F65326">
        <w:rPr>
          <w:i/>
          <w:iCs/>
          <w:lang w:val="fr-CA"/>
        </w:rPr>
        <w:t>…</w:t>
      </w:r>
      <w:r w:rsidR="00F65326">
        <w:rPr>
          <w:i/>
          <w:iCs/>
          <w:lang w:val="fr-CA"/>
        </w:rPr>
        <w:t xml:space="preserve"> </w:t>
      </w:r>
      <w:r w:rsidR="00F65326" w:rsidRPr="00F65326">
        <w:rPr>
          <w:i/>
          <w:iCs/>
          <w:lang w:val="fr-CA"/>
        </w:rPr>
        <w:t>Le système de reconnaissance faciale peut alors comparer deux empreintes</w:t>
      </w:r>
      <w:r w:rsidR="00F65326">
        <w:rPr>
          <w:i/>
          <w:iCs/>
          <w:lang w:val="fr-CA"/>
        </w:rPr>
        <w:t xml:space="preserve"> </w:t>
      </w:r>
      <w:r w:rsidR="00F65326" w:rsidRPr="00F65326">
        <w:rPr>
          <w:i/>
          <w:iCs/>
          <w:lang w:val="fr-CA"/>
        </w:rPr>
        <w:t>faciales et produire une cote de similarité ou jumeler des empreintes faciales à l’issue d’une</w:t>
      </w:r>
      <w:r w:rsidR="00F65326">
        <w:rPr>
          <w:i/>
          <w:iCs/>
          <w:lang w:val="fr-CA"/>
        </w:rPr>
        <w:t xml:space="preserve"> </w:t>
      </w:r>
      <w:r w:rsidR="00F65326" w:rsidRPr="00F65326">
        <w:rPr>
          <w:i/>
          <w:iCs/>
          <w:lang w:val="fr-CA"/>
        </w:rPr>
        <w:t>recherche dans une base de données de référence contenant un grand nombre d’images pour</w:t>
      </w:r>
      <w:r w:rsidR="00F65326">
        <w:rPr>
          <w:i/>
          <w:iCs/>
          <w:lang w:val="fr-CA"/>
        </w:rPr>
        <w:t xml:space="preserve"> </w:t>
      </w:r>
      <w:r w:rsidR="00F65326" w:rsidRPr="00F65326">
        <w:rPr>
          <w:i/>
          <w:iCs/>
          <w:lang w:val="fr-CA"/>
        </w:rPr>
        <w:t>obtenir une liste de candidats possibles</w:t>
      </w:r>
      <w:r w:rsidR="00C62E0C">
        <w:rPr>
          <w:i/>
          <w:iCs/>
          <w:lang w:val="fr-CA"/>
        </w:rPr>
        <w:t>,</w:t>
      </w:r>
      <w:r w:rsidR="00F65326" w:rsidRPr="00F65326">
        <w:rPr>
          <w:i/>
          <w:iCs/>
          <w:lang w:val="fr-CA"/>
        </w:rPr>
        <w:t xml:space="preserve"> dont la cote de similarité est égale ou supérieure à un</w:t>
      </w:r>
      <w:r w:rsidR="00F65326">
        <w:rPr>
          <w:i/>
          <w:iCs/>
          <w:lang w:val="fr-CA"/>
        </w:rPr>
        <w:t xml:space="preserve"> </w:t>
      </w:r>
      <w:r w:rsidR="00F65326" w:rsidRPr="00F65326">
        <w:rPr>
          <w:i/>
          <w:iCs/>
          <w:lang w:val="fr-CA"/>
        </w:rPr>
        <w:t>seuil établ</w:t>
      </w:r>
      <w:r w:rsidR="00F65326">
        <w:rPr>
          <w:i/>
          <w:iCs/>
          <w:lang w:val="fr-CA"/>
        </w:rPr>
        <w:t>i</w:t>
      </w:r>
      <w:r w:rsidRPr="00A317D7">
        <w:rPr>
          <w:i/>
          <w:iCs/>
          <w:vertAlign w:val="superscript"/>
          <w:lang w:val="fr-CA"/>
        </w:rPr>
        <w:endnoteReference w:id="7"/>
      </w:r>
      <w:r w:rsidR="00F65326">
        <w:rPr>
          <w:i/>
          <w:iCs/>
          <w:lang w:val="fr-CA"/>
        </w:rPr>
        <w:t>.</w:t>
      </w:r>
      <w:r w:rsidRPr="00F65326">
        <w:rPr>
          <w:i/>
          <w:iCs/>
          <w:lang w:val="fr-CA"/>
        </w:rPr>
        <w:t xml:space="preserve"> </w:t>
      </w:r>
    </w:p>
    <w:p w14:paraId="0D0C3C27" w14:textId="007A2C1B" w:rsidR="00B549D7" w:rsidRPr="00AD5239" w:rsidRDefault="00AD5239" w:rsidP="006C16DC">
      <w:pPr>
        <w:rPr>
          <w:lang w:val="fr-CA"/>
        </w:rPr>
      </w:pPr>
      <w:r w:rsidRPr="00AD5239">
        <w:rPr>
          <w:lang w:val="fr-CA"/>
        </w:rPr>
        <w:t>Outre la TRF, d</w:t>
      </w:r>
      <w:r w:rsidR="00C62E0C">
        <w:rPr>
          <w:lang w:val="fr-CA"/>
        </w:rPr>
        <w:t>’</w:t>
      </w:r>
      <w:r w:rsidRPr="00AD5239">
        <w:rPr>
          <w:lang w:val="fr-CA"/>
        </w:rPr>
        <w:t>autres formes d</w:t>
      </w:r>
      <w:r w:rsidR="00C62E0C">
        <w:rPr>
          <w:lang w:val="fr-CA"/>
        </w:rPr>
        <w:t>’</w:t>
      </w:r>
      <w:r w:rsidRPr="00AD5239">
        <w:rPr>
          <w:lang w:val="fr-CA"/>
        </w:rPr>
        <w:t>identification biométrique optimisées par l</w:t>
      </w:r>
      <w:r w:rsidR="00C62E0C">
        <w:rPr>
          <w:lang w:val="fr-CA"/>
        </w:rPr>
        <w:t>’</w:t>
      </w:r>
      <w:r w:rsidRPr="00AD5239">
        <w:rPr>
          <w:lang w:val="fr-CA"/>
        </w:rPr>
        <w:t>IA comprennent les empreintes digitales, la reconnaissance vocale, la reconnaissance de l</w:t>
      </w:r>
      <w:r w:rsidR="00C62E0C">
        <w:rPr>
          <w:lang w:val="fr-CA"/>
        </w:rPr>
        <w:t>’</w:t>
      </w:r>
      <w:r w:rsidRPr="00AD5239">
        <w:rPr>
          <w:lang w:val="fr-CA"/>
        </w:rPr>
        <w:t>iris et l</w:t>
      </w:r>
      <w:r w:rsidR="00C62E0C">
        <w:rPr>
          <w:lang w:val="fr-CA"/>
        </w:rPr>
        <w:t>’</w:t>
      </w:r>
      <w:r w:rsidRPr="00AD5239">
        <w:rPr>
          <w:lang w:val="fr-CA"/>
        </w:rPr>
        <w:t>analyse de la démarche</w:t>
      </w:r>
      <w:r w:rsidR="00B549D7" w:rsidRPr="00AD5239">
        <w:rPr>
          <w:lang w:val="fr-CA"/>
        </w:rPr>
        <w:t>.</w:t>
      </w:r>
      <w:r w:rsidR="00BE6D0C" w:rsidRPr="00AD5239">
        <w:rPr>
          <w:lang w:val="fr-CA"/>
        </w:rPr>
        <w:t xml:space="preserve"> </w:t>
      </w:r>
    </w:p>
    <w:p w14:paraId="252C0D75" w14:textId="73726CD3" w:rsidR="00B549D7" w:rsidRPr="00A317D7" w:rsidRDefault="00AD5239" w:rsidP="009E7B38">
      <w:pPr>
        <w:spacing w:after="0"/>
        <w:rPr>
          <w:lang w:val="fr-CA"/>
        </w:rPr>
      </w:pPr>
      <w:r w:rsidRPr="00AD5239">
        <w:rPr>
          <w:lang w:val="fr-CA"/>
        </w:rPr>
        <w:lastRenderedPageBreak/>
        <w:t>De nombreux services polic</w:t>
      </w:r>
      <w:r w:rsidR="00D72A6A">
        <w:rPr>
          <w:lang w:val="fr-CA"/>
        </w:rPr>
        <w:t xml:space="preserve">iers </w:t>
      </w:r>
      <w:r w:rsidRPr="00AD5239">
        <w:rPr>
          <w:lang w:val="fr-CA"/>
        </w:rPr>
        <w:t>estiment que la TRF et d</w:t>
      </w:r>
      <w:r w:rsidR="00C62E0C">
        <w:rPr>
          <w:lang w:val="fr-CA"/>
        </w:rPr>
        <w:t>’</w:t>
      </w:r>
      <w:r w:rsidRPr="00AD5239">
        <w:rPr>
          <w:lang w:val="fr-CA"/>
        </w:rPr>
        <w:t xml:space="preserve">autres technologies biométriques présentent un potentiel considérable pour améliorer la sécurité publique, les enquêtes policières et </w:t>
      </w:r>
      <w:r w:rsidR="00D72A6A">
        <w:rPr>
          <w:lang w:val="fr-CA"/>
        </w:rPr>
        <w:t>le rendement</w:t>
      </w:r>
      <w:r w:rsidRPr="00AD5239">
        <w:rPr>
          <w:lang w:val="fr-CA"/>
        </w:rPr>
        <w:t>. Par exemple, INTERPOL a déclaré que</w:t>
      </w:r>
      <w:r>
        <w:rPr>
          <w:lang w:val="fr-CA"/>
        </w:rPr>
        <w:t> :</w:t>
      </w:r>
      <w:r w:rsidR="00B549D7" w:rsidRPr="00A317D7">
        <w:rPr>
          <w:lang w:val="fr-CA"/>
        </w:rPr>
        <w:t xml:space="preserve"> </w:t>
      </w:r>
    </w:p>
    <w:p w14:paraId="5EBF5D92" w14:textId="77777777" w:rsidR="00B549D7" w:rsidRPr="00A317D7" w:rsidRDefault="00B549D7" w:rsidP="009E7B38">
      <w:pPr>
        <w:spacing w:after="0"/>
        <w:rPr>
          <w:lang w:val="fr-CA"/>
        </w:rPr>
      </w:pPr>
    </w:p>
    <w:p w14:paraId="27A65571" w14:textId="4B55FBE7" w:rsidR="00B549D7" w:rsidRPr="00A317D7" w:rsidRDefault="00B549D7" w:rsidP="00305C53">
      <w:pPr>
        <w:spacing w:after="0"/>
        <w:ind w:left="720"/>
        <w:rPr>
          <w:i/>
          <w:iCs/>
          <w:lang w:val="fr-CA"/>
        </w:rPr>
      </w:pPr>
      <w:r w:rsidRPr="00A317D7">
        <w:rPr>
          <w:i/>
          <w:iCs/>
          <w:lang w:val="fr-CA"/>
        </w:rPr>
        <w:t>…</w:t>
      </w:r>
      <w:r w:rsidR="00B41373" w:rsidRPr="00B41373">
        <w:rPr>
          <w:i/>
          <w:iCs/>
          <w:lang w:val="fr-CA"/>
        </w:rPr>
        <w:t>la vision par ordinateur et la biométrie ont révolutionné le domaine de l</w:t>
      </w:r>
      <w:r w:rsidR="00C62E0C">
        <w:rPr>
          <w:i/>
          <w:iCs/>
          <w:lang w:val="fr-CA"/>
        </w:rPr>
        <w:t>’</w:t>
      </w:r>
      <w:r w:rsidR="00B41373" w:rsidRPr="00B41373">
        <w:rPr>
          <w:i/>
          <w:iCs/>
          <w:lang w:val="fr-CA"/>
        </w:rPr>
        <w:t>application de la loi</w:t>
      </w:r>
      <w:r w:rsidR="00C62E0C">
        <w:rPr>
          <w:i/>
          <w:iCs/>
          <w:lang w:val="fr-CA"/>
        </w:rPr>
        <w:t>…</w:t>
      </w:r>
      <w:r w:rsidR="00B41373" w:rsidRPr="00B41373">
        <w:rPr>
          <w:i/>
          <w:iCs/>
          <w:lang w:val="fr-CA"/>
        </w:rPr>
        <w:t xml:space="preserve"> La fusion de la biométrie et de l</w:t>
      </w:r>
      <w:r w:rsidR="00C62E0C">
        <w:rPr>
          <w:i/>
          <w:iCs/>
          <w:lang w:val="fr-CA"/>
        </w:rPr>
        <w:t>’</w:t>
      </w:r>
      <w:r w:rsidR="00B41373" w:rsidRPr="00B41373">
        <w:rPr>
          <w:i/>
          <w:iCs/>
          <w:lang w:val="fr-CA"/>
        </w:rPr>
        <w:t>IA offre à la fois efficacité et précision, permettant d</w:t>
      </w:r>
      <w:r w:rsidR="00C62E0C">
        <w:rPr>
          <w:i/>
          <w:iCs/>
          <w:lang w:val="fr-CA"/>
        </w:rPr>
        <w:t>’</w:t>
      </w:r>
      <w:r w:rsidR="00B41373" w:rsidRPr="00B41373">
        <w:rPr>
          <w:i/>
          <w:iCs/>
          <w:lang w:val="fr-CA"/>
        </w:rPr>
        <w:t>identifier rapidement et efficacement les criminels tout en protégeant la vie privée des personnes non concernées</w:t>
      </w:r>
      <w:r w:rsidRPr="00A317D7">
        <w:rPr>
          <w:rStyle w:val="EndnoteReference"/>
          <w:lang w:val="fr-CA"/>
        </w:rPr>
        <w:endnoteReference w:id="8"/>
      </w:r>
      <w:r w:rsidR="00B41373">
        <w:rPr>
          <w:i/>
          <w:iCs/>
          <w:lang w:val="fr-CA"/>
        </w:rPr>
        <w:t>.</w:t>
      </w:r>
      <w:r w:rsidRPr="00A317D7">
        <w:rPr>
          <w:i/>
          <w:iCs/>
          <w:lang w:val="fr-CA"/>
        </w:rPr>
        <w:t xml:space="preserve"> </w:t>
      </w:r>
    </w:p>
    <w:p w14:paraId="33288F84" w14:textId="77777777" w:rsidR="00B549D7" w:rsidRPr="00A317D7" w:rsidRDefault="00B549D7" w:rsidP="003315DA">
      <w:pPr>
        <w:spacing w:after="0"/>
        <w:rPr>
          <w:lang w:val="fr-CA"/>
        </w:rPr>
      </w:pPr>
    </w:p>
    <w:p w14:paraId="40F9FE77" w14:textId="3CF7DF3B" w:rsidR="00B549D7" w:rsidRPr="00B41373" w:rsidRDefault="00B41373" w:rsidP="006F59A1">
      <w:pPr>
        <w:rPr>
          <w:rFonts w:eastAsia="Times New Roman"/>
          <w:lang w:val="fr-CA" w:eastAsia="en-CA"/>
        </w:rPr>
      </w:pPr>
      <w:r w:rsidRPr="00B41373">
        <w:rPr>
          <w:rFonts w:eastAsia="Times New Roman"/>
          <w:lang w:val="fr-CA" w:eastAsia="en-CA"/>
        </w:rPr>
        <w:t>La TRF et les systèmes biométriques peuvent être utilisés à de nombreuses fins et dans de nombreux contextes, notamment</w:t>
      </w:r>
      <w:r>
        <w:rPr>
          <w:rFonts w:eastAsia="Times New Roman"/>
          <w:lang w:val="fr-CA" w:eastAsia="en-CA"/>
        </w:rPr>
        <w:t> </w:t>
      </w:r>
      <w:r w:rsidRPr="00B41373">
        <w:rPr>
          <w:rFonts w:eastAsia="Times New Roman"/>
          <w:lang w:val="fr-CA" w:eastAsia="en-CA"/>
        </w:rPr>
        <w:t>:</w:t>
      </w:r>
      <w:r w:rsidR="00B549D7" w:rsidRPr="00B41373">
        <w:rPr>
          <w:rFonts w:eastAsia="Times New Roman"/>
          <w:lang w:val="fr-CA" w:eastAsia="en-CA"/>
        </w:rPr>
        <w:t xml:space="preserve"> </w:t>
      </w:r>
    </w:p>
    <w:p w14:paraId="322AEA6F" w14:textId="0A41F7AD" w:rsidR="00B41373" w:rsidRPr="00B41373" w:rsidRDefault="00B41373" w:rsidP="00B41373">
      <w:pPr>
        <w:pStyle w:val="ListParagraph"/>
        <w:numPr>
          <w:ilvl w:val="0"/>
          <w:numId w:val="5"/>
        </w:numPr>
        <w:rPr>
          <w:lang w:val="fr-CA"/>
        </w:rPr>
      </w:pPr>
      <w:r>
        <w:rPr>
          <w:lang w:val="fr-CA"/>
        </w:rPr>
        <w:t>p</w:t>
      </w:r>
      <w:r w:rsidRPr="00B41373">
        <w:rPr>
          <w:lang w:val="fr-CA"/>
        </w:rPr>
        <w:t xml:space="preserve">our soutenir les enquêtes criminelles, </w:t>
      </w:r>
      <w:r w:rsidR="00976446">
        <w:rPr>
          <w:lang w:val="fr-CA"/>
        </w:rPr>
        <w:t xml:space="preserve">notamment </w:t>
      </w:r>
      <w:r w:rsidRPr="00B41373">
        <w:rPr>
          <w:lang w:val="fr-CA"/>
        </w:rPr>
        <w:t>les menaces terroristes</w:t>
      </w:r>
      <w:r>
        <w:rPr>
          <w:lang w:val="fr-CA"/>
        </w:rPr>
        <w:t xml:space="preserve">, </w:t>
      </w:r>
      <w:r w:rsidRPr="00B41373">
        <w:rPr>
          <w:lang w:val="fr-CA"/>
        </w:rPr>
        <w:t xml:space="preserve">les enquêtes sur les personnes disparues, </w:t>
      </w:r>
      <w:r w:rsidR="008B33E5">
        <w:rPr>
          <w:lang w:val="fr-CA"/>
        </w:rPr>
        <w:t>dont</w:t>
      </w:r>
      <w:r w:rsidRPr="00B41373">
        <w:rPr>
          <w:lang w:val="fr-CA"/>
        </w:rPr>
        <w:t xml:space="preserve"> les enfants, la traite des êtres humains ou l</w:t>
      </w:r>
      <w:r w:rsidR="00C62E0C">
        <w:rPr>
          <w:lang w:val="fr-CA"/>
        </w:rPr>
        <w:t>’</w:t>
      </w:r>
      <w:r w:rsidRPr="00B41373">
        <w:rPr>
          <w:lang w:val="fr-CA"/>
        </w:rPr>
        <w:t>exploitation sexuelle</w:t>
      </w:r>
      <w:r w:rsidR="00976446">
        <w:rPr>
          <w:lang w:val="fr-CA"/>
        </w:rPr>
        <w:t xml:space="preserve"> et </w:t>
      </w:r>
      <w:r w:rsidRPr="00B41373">
        <w:rPr>
          <w:lang w:val="fr-CA"/>
        </w:rPr>
        <w:t>les év</w:t>
      </w:r>
      <w:r w:rsidR="00C62E0C">
        <w:rPr>
          <w:lang w:val="fr-CA"/>
        </w:rPr>
        <w:t>è</w:t>
      </w:r>
      <w:r w:rsidRPr="00B41373">
        <w:rPr>
          <w:lang w:val="fr-CA"/>
        </w:rPr>
        <w:t>nements public</w:t>
      </w:r>
      <w:r w:rsidR="00976446">
        <w:rPr>
          <w:lang w:val="fr-CA"/>
        </w:rPr>
        <w:t>s</w:t>
      </w:r>
      <w:r w:rsidR="00C62E0C">
        <w:rPr>
          <w:lang w:val="fr-CA"/>
        </w:rPr>
        <w:t> </w:t>
      </w:r>
      <w:r w:rsidRPr="00B41373">
        <w:rPr>
          <w:lang w:val="fr-CA"/>
        </w:rPr>
        <w:t>;</w:t>
      </w:r>
    </w:p>
    <w:p w14:paraId="337069C9" w14:textId="363D5ACE" w:rsidR="00B41373" w:rsidRPr="00B41373" w:rsidRDefault="00B41373" w:rsidP="00B41373">
      <w:pPr>
        <w:pStyle w:val="ListParagraph"/>
        <w:numPr>
          <w:ilvl w:val="0"/>
          <w:numId w:val="5"/>
        </w:numPr>
        <w:rPr>
          <w:lang w:val="fr-CA"/>
        </w:rPr>
      </w:pPr>
      <w:r>
        <w:rPr>
          <w:lang w:val="fr-CA"/>
        </w:rPr>
        <w:t>p</w:t>
      </w:r>
      <w:r w:rsidRPr="00B41373">
        <w:rPr>
          <w:lang w:val="fr-CA"/>
        </w:rPr>
        <w:t xml:space="preserve">our parcourir les bases de données de photos </w:t>
      </w:r>
      <w:r w:rsidR="0077664B">
        <w:rPr>
          <w:lang w:val="fr-CA"/>
        </w:rPr>
        <w:t>signalétiques</w:t>
      </w:r>
      <w:r w:rsidR="00C62E0C">
        <w:rPr>
          <w:lang w:val="fr-CA"/>
        </w:rPr>
        <w:t> </w:t>
      </w:r>
      <w:r>
        <w:rPr>
          <w:lang w:val="fr-CA"/>
        </w:rPr>
        <w:t>;</w:t>
      </w:r>
    </w:p>
    <w:p w14:paraId="7A97061A" w14:textId="1DBEDE50" w:rsidR="00B41373" w:rsidRPr="00B41373" w:rsidRDefault="00B41373" w:rsidP="00B41373">
      <w:pPr>
        <w:pStyle w:val="ListParagraph"/>
        <w:numPr>
          <w:ilvl w:val="0"/>
          <w:numId w:val="5"/>
        </w:numPr>
        <w:rPr>
          <w:lang w:val="fr-CA"/>
        </w:rPr>
      </w:pPr>
      <w:r>
        <w:rPr>
          <w:lang w:val="fr-CA"/>
        </w:rPr>
        <w:t>p</w:t>
      </w:r>
      <w:r w:rsidRPr="00B41373">
        <w:rPr>
          <w:lang w:val="fr-CA"/>
        </w:rPr>
        <w:t>our surveill</w:t>
      </w:r>
      <w:r w:rsidR="00976446">
        <w:rPr>
          <w:lang w:val="fr-CA"/>
        </w:rPr>
        <w:t xml:space="preserve">er </w:t>
      </w:r>
      <w:r w:rsidRPr="00B41373">
        <w:rPr>
          <w:lang w:val="fr-CA"/>
        </w:rPr>
        <w:t>les espaces publics, privés ou sécurisés</w:t>
      </w:r>
      <w:r w:rsidR="00C62E0C">
        <w:rPr>
          <w:lang w:val="fr-CA"/>
        </w:rPr>
        <w:t> </w:t>
      </w:r>
      <w:r>
        <w:rPr>
          <w:lang w:val="fr-CA"/>
        </w:rPr>
        <w:t>;</w:t>
      </w:r>
    </w:p>
    <w:p w14:paraId="0ED21B98" w14:textId="0830A821" w:rsidR="00B41373" w:rsidRPr="00B41373" w:rsidRDefault="00B41373" w:rsidP="00B41373">
      <w:pPr>
        <w:pStyle w:val="ListParagraph"/>
        <w:numPr>
          <w:ilvl w:val="0"/>
          <w:numId w:val="5"/>
        </w:numPr>
        <w:rPr>
          <w:lang w:val="fr-CA"/>
        </w:rPr>
      </w:pPr>
      <w:r>
        <w:rPr>
          <w:lang w:val="fr-CA"/>
        </w:rPr>
        <w:t>p</w:t>
      </w:r>
      <w:r w:rsidRPr="00B41373">
        <w:rPr>
          <w:lang w:val="fr-CA"/>
        </w:rPr>
        <w:t xml:space="preserve">our </w:t>
      </w:r>
      <w:r w:rsidR="00976446">
        <w:rPr>
          <w:lang w:val="fr-CA"/>
        </w:rPr>
        <w:t xml:space="preserve">identifier les personnes </w:t>
      </w:r>
      <w:r w:rsidRPr="00B41373">
        <w:rPr>
          <w:lang w:val="fr-CA"/>
        </w:rPr>
        <w:t>en temps réel grâce aux caméras corporelles de la police ou aux vidéos prises par des drones</w:t>
      </w:r>
      <w:r w:rsidR="00C62E0C">
        <w:rPr>
          <w:lang w:val="fr-CA"/>
        </w:rPr>
        <w:t> </w:t>
      </w:r>
      <w:r>
        <w:rPr>
          <w:lang w:val="fr-CA"/>
        </w:rPr>
        <w:t>;</w:t>
      </w:r>
    </w:p>
    <w:p w14:paraId="0697E5B1" w14:textId="6678CE71" w:rsidR="00B549D7" w:rsidRPr="00A317D7" w:rsidRDefault="00B41373" w:rsidP="00B41373">
      <w:pPr>
        <w:pStyle w:val="ListParagraph"/>
        <w:numPr>
          <w:ilvl w:val="0"/>
          <w:numId w:val="5"/>
        </w:numPr>
        <w:rPr>
          <w:lang w:val="fr-CA"/>
        </w:rPr>
      </w:pPr>
      <w:r>
        <w:rPr>
          <w:lang w:val="fr-CA"/>
        </w:rPr>
        <w:t>p</w:t>
      </w:r>
      <w:r w:rsidRPr="00B41373">
        <w:rPr>
          <w:lang w:val="fr-CA"/>
        </w:rPr>
        <w:t xml:space="preserve">our analyser les images ou les vidéos </w:t>
      </w:r>
      <w:r w:rsidR="00976446">
        <w:rPr>
          <w:lang w:val="fr-CA"/>
        </w:rPr>
        <w:t xml:space="preserve">recueillies </w:t>
      </w:r>
      <w:r w:rsidRPr="00B41373">
        <w:rPr>
          <w:lang w:val="fr-CA"/>
        </w:rPr>
        <w:t>par des tiers</w:t>
      </w:r>
      <w:r w:rsidR="00B549D7" w:rsidRPr="00A317D7">
        <w:rPr>
          <w:rStyle w:val="EndnoteReference"/>
          <w:lang w:val="fr-CA"/>
        </w:rPr>
        <w:endnoteReference w:id="9"/>
      </w:r>
      <w:r>
        <w:rPr>
          <w:lang w:val="fr-CA"/>
        </w:rPr>
        <w:t>.</w:t>
      </w:r>
    </w:p>
    <w:p w14:paraId="570DF79B" w14:textId="6B4E4B41" w:rsidR="00B549D7" w:rsidRPr="00B41373" w:rsidRDefault="00B41373" w:rsidP="00A14F63">
      <w:pPr>
        <w:spacing w:after="0"/>
        <w:rPr>
          <w:lang w:val="fr-CA"/>
        </w:rPr>
      </w:pPr>
      <w:r w:rsidRPr="00B41373">
        <w:rPr>
          <w:lang w:val="fr-CA"/>
        </w:rPr>
        <w:t>La TRF est largement utilisée par les forces de l</w:t>
      </w:r>
      <w:r w:rsidR="00C62E0C">
        <w:rPr>
          <w:lang w:val="fr-CA"/>
        </w:rPr>
        <w:t>’</w:t>
      </w:r>
      <w:r w:rsidRPr="00B41373">
        <w:rPr>
          <w:lang w:val="fr-CA"/>
        </w:rPr>
        <w:t>ordre aux États-Unis et dans le monde entier</w:t>
      </w:r>
      <w:r w:rsidR="00B549D7" w:rsidRPr="00A317D7">
        <w:rPr>
          <w:rStyle w:val="EndnoteReference"/>
          <w:lang w:val="fr-CA"/>
        </w:rPr>
        <w:endnoteReference w:id="10"/>
      </w:r>
      <w:r>
        <w:rPr>
          <w:lang w:val="fr-CA"/>
        </w:rPr>
        <w:t>.</w:t>
      </w:r>
      <w:r w:rsidR="00B549D7" w:rsidRPr="00A317D7">
        <w:rPr>
          <w:b/>
          <w:bCs/>
          <w:lang w:val="fr-CA"/>
        </w:rPr>
        <w:t xml:space="preserve"> </w:t>
      </w:r>
      <w:r w:rsidRPr="00B41373">
        <w:rPr>
          <w:lang w:val="fr-CA"/>
        </w:rPr>
        <w:t xml:space="preserve">La TRF la plus connue au Canada est </w:t>
      </w:r>
      <w:r w:rsidR="00703E60">
        <w:rPr>
          <w:lang w:val="fr-CA"/>
        </w:rPr>
        <w:t>c</w:t>
      </w:r>
      <w:r w:rsidRPr="00B41373">
        <w:rPr>
          <w:lang w:val="fr-CA"/>
        </w:rPr>
        <w:t xml:space="preserve">elle de la GRC, qui utilisait Clearview AI, un programme de </w:t>
      </w:r>
      <w:r w:rsidR="00976446">
        <w:rPr>
          <w:lang w:val="fr-CA"/>
        </w:rPr>
        <w:t xml:space="preserve">prélèvement </w:t>
      </w:r>
      <w:r w:rsidRPr="00B41373">
        <w:rPr>
          <w:lang w:val="fr-CA"/>
        </w:rPr>
        <w:t>d</w:t>
      </w:r>
      <w:r w:rsidR="00C62E0C">
        <w:rPr>
          <w:lang w:val="fr-CA"/>
        </w:rPr>
        <w:t>’</w:t>
      </w:r>
      <w:r w:rsidRPr="00B41373">
        <w:rPr>
          <w:lang w:val="fr-CA"/>
        </w:rPr>
        <w:t>images sur Internet, aujourd</w:t>
      </w:r>
      <w:r w:rsidR="00C62E0C">
        <w:rPr>
          <w:lang w:val="fr-CA"/>
        </w:rPr>
        <w:t>’</w:t>
      </w:r>
      <w:r w:rsidRPr="00B41373">
        <w:rPr>
          <w:lang w:val="fr-CA"/>
        </w:rPr>
        <w:t>hui abandonné</w:t>
      </w:r>
      <w:r w:rsidR="00B549D7" w:rsidRPr="00A317D7">
        <w:rPr>
          <w:rStyle w:val="EndnoteReference"/>
          <w:lang w:val="fr-CA"/>
        </w:rPr>
        <w:endnoteReference w:id="11"/>
      </w:r>
      <w:r>
        <w:rPr>
          <w:lang w:val="fr-CA"/>
        </w:rPr>
        <w:t>.</w:t>
      </w:r>
      <w:r w:rsidR="00B549D7" w:rsidRPr="00B41373">
        <w:rPr>
          <w:lang w:val="fr-CA"/>
        </w:rPr>
        <w:t xml:space="preserve"> </w:t>
      </w:r>
      <w:r w:rsidRPr="00B41373">
        <w:rPr>
          <w:lang w:val="fr-CA"/>
        </w:rPr>
        <w:t xml:space="preserve">Les services de police de Toronto utilisent également la TRF dans </w:t>
      </w:r>
      <w:r w:rsidR="00976446">
        <w:rPr>
          <w:lang w:val="fr-CA"/>
        </w:rPr>
        <w:t xml:space="preserve">certaines </w:t>
      </w:r>
      <w:r w:rsidRPr="00B41373">
        <w:rPr>
          <w:lang w:val="fr-CA"/>
        </w:rPr>
        <w:t>circonstances</w:t>
      </w:r>
      <w:r w:rsidR="00B549D7" w:rsidRPr="00A317D7">
        <w:rPr>
          <w:rStyle w:val="EndnoteReference"/>
          <w:lang w:val="fr-CA"/>
        </w:rPr>
        <w:endnoteReference w:id="12"/>
      </w:r>
      <w:r>
        <w:rPr>
          <w:lang w:val="fr-CA"/>
        </w:rPr>
        <w:t>.</w:t>
      </w:r>
      <w:r w:rsidR="00B549D7" w:rsidRPr="00B41373">
        <w:rPr>
          <w:lang w:val="fr-CA"/>
        </w:rPr>
        <w:t xml:space="preserve"> </w:t>
      </w:r>
    </w:p>
    <w:p w14:paraId="037953C5" w14:textId="77777777" w:rsidR="00B549D7" w:rsidRPr="00B41373" w:rsidRDefault="00B549D7" w:rsidP="00A14F63">
      <w:pPr>
        <w:spacing w:after="0"/>
        <w:rPr>
          <w:lang w:val="fr-CA"/>
        </w:rPr>
      </w:pPr>
    </w:p>
    <w:p w14:paraId="0B48DFCB" w14:textId="0DE95F64" w:rsidR="00B549D7" w:rsidRPr="00A317D7" w:rsidRDefault="00B41373" w:rsidP="00B41373">
      <w:pPr>
        <w:pStyle w:val="ListParagraph"/>
        <w:numPr>
          <w:ilvl w:val="0"/>
          <w:numId w:val="19"/>
        </w:numPr>
        <w:spacing w:after="0"/>
        <w:rPr>
          <w:b/>
          <w:bCs/>
          <w:lang w:val="fr-CA"/>
        </w:rPr>
      </w:pPr>
      <w:bookmarkStart w:id="14" w:name="_Toc188900895"/>
      <w:bookmarkStart w:id="15" w:name="_Toc188900894"/>
      <w:r w:rsidRPr="00B41373">
        <w:rPr>
          <w:b/>
          <w:bCs/>
          <w:lang w:val="fr-CA"/>
        </w:rPr>
        <w:t>Algorithmes de mise en liberté sous caution et de détermination de</w:t>
      </w:r>
      <w:r w:rsidR="00976446">
        <w:rPr>
          <w:b/>
          <w:bCs/>
          <w:lang w:val="fr-CA"/>
        </w:rPr>
        <w:t xml:space="preserve">s </w:t>
      </w:r>
      <w:r w:rsidRPr="00B41373">
        <w:rPr>
          <w:b/>
          <w:bCs/>
          <w:lang w:val="fr-CA"/>
        </w:rPr>
        <w:t>peine</w:t>
      </w:r>
      <w:r w:rsidR="00976446">
        <w:rPr>
          <w:b/>
          <w:bCs/>
          <w:lang w:val="fr-CA"/>
        </w:rPr>
        <w:t>s</w:t>
      </w:r>
      <w:r w:rsidR="00B549D7" w:rsidRPr="00A317D7">
        <w:rPr>
          <w:rStyle w:val="EndnoteReference"/>
          <w:lang w:val="fr-CA"/>
        </w:rPr>
        <w:endnoteReference w:id="13"/>
      </w:r>
    </w:p>
    <w:p w14:paraId="6AE30E7D" w14:textId="77777777" w:rsidR="00B549D7" w:rsidRPr="00A317D7" w:rsidRDefault="00B549D7" w:rsidP="00A14F63">
      <w:pPr>
        <w:pStyle w:val="ListParagraph"/>
        <w:spacing w:after="0"/>
        <w:rPr>
          <w:b/>
          <w:bCs/>
          <w:lang w:val="fr-CA"/>
        </w:rPr>
      </w:pPr>
    </w:p>
    <w:p w14:paraId="79626C38" w14:textId="5B501626" w:rsidR="00B549D7" w:rsidRPr="00B41373" w:rsidRDefault="00B41373" w:rsidP="00A14F63">
      <w:pPr>
        <w:spacing w:after="0"/>
        <w:rPr>
          <w:lang w:val="fr-CA"/>
        </w:rPr>
      </w:pPr>
      <w:r w:rsidRPr="00B41373">
        <w:rPr>
          <w:lang w:val="fr-CA"/>
        </w:rPr>
        <w:t>Les algorithmes de mise en liberté sous caution et de détermination de</w:t>
      </w:r>
      <w:r w:rsidR="00FA69DB">
        <w:rPr>
          <w:lang w:val="fr-CA"/>
        </w:rPr>
        <w:t xml:space="preserve">s </w:t>
      </w:r>
      <w:r w:rsidRPr="00B41373">
        <w:rPr>
          <w:lang w:val="fr-CA"/>
        </w:rPr>
        <w:t>peine</w:t>
      </w:r>
      <w:r w:rsidR="00FA69DB">
        <w:rPr>
          <w:lang w:val="fr-CA"/>
        </w:rPr>
        <w:t>s</w:t>
      </w:r>
      <w:r w:rsidRPr="00B41373">
        <w:rPr>
          <w:lang w:val="fr-CA"/>
        </w:rPr>
        <w:t xml:space="preserve"> sont des outils d</w:t>
      </w:r>
      <w:r w:rsidR="00C62E0C">
        <w:rPr>
          <w:lang w:val="fr-CA"/>
        </w:rPr>
        <w:t>’</w:t>
      </w:r>
      <w:r w:rsidRPr="00B41373">
        <w:rPr>
          <w:lang w:val="fr-CA"/>
        </w:rPr>
        <w:t xml:space="preserve">IA ou algorithmiques qui aident les tribunaux pénaux à prendre des décisions en matière de mise en liberté sous caution ou de détermination </w:t>
      </w:r>
      <w:r w:rsidR="00FA69DB">
        <w:rPr>
          <w:lang w:val="fr-CA"/>
        </w:rPr>
        <w:t xml:space="preserve">des </w:t>
      </w:r>
      <w:r w:rsidRPr="00B41373">
        <w:rPr>
          <w:lang w:val="fr-CA"/>
        </w:rPr>
        <w:t>peine</w:t>
      </w:r>
      <w:r w:rsidR="00FA69DB">
        <w:rPr>
          <w:lang w:val="fr-CA"/>
        </w:rPr>
        <w:t>s</w:t>
      </w:r>
      <w:r w:rsidRPr="00B41373">
        <w:rPr>
          <w:lang w:val="fr-CA"/>
        </w:rPr>
        <w:t>. L</w:t>
      </w:r>
      <w:r w:rsidR="00C62E0C">
        <w:rPr>
          <w:lang w:val="fr-CA"/>
        </w:rPr>
        <w:t>’</w:t>
      </w:r>
      <w:r w:rsidRPr="00B41373">
        <w:rPr>
          <w:lang w:val="fr-CA"/>
        </w:rPr>
        <w:t>utilisation d</w:t>
      </w:r>
      <w:r w:rsidR="00C62E0C">
        <w:rPr>
          <w:lang w:val="fr-CA"/>
        </w:rPr>
        <w:t>’</w:t>
      </w:r>
      <w:r w:rsidRPr="00B41373">
        <w:rPr>
          <w:lang w:val="fr-CA"/>
        </w:rPr>
        <w:t xml:space="preserve">algorithmes de mise en liberté sous caution et de détermination </w:t>
      </w:r>
      <w:r w:rsidR="00FA69DB">
        <w:rPr>
          <w:lang w:val="fr-CA"/>
        </w:rPr>
        <w:t xml:space="preserve">des </w:t>
      </w:r>
      <w:r w:rsidRPr="00B41373">
        <w:rPr>
          <w:lang w:val="fr-CA"/>
        </w:rPr>
        <w:t>peine</w:t>
      </w:r>
      <w:r w:rsidR="00FA69DB">
        <w:rPr>
          <w:lang w:val="fr-CA"/>
        </w:rPr>
        <w:t>s</w:t>
      </w:r>
      <w:r w:rsidRPr="00B41373">
        <w:rPr>
          <w:lang w:val="fr-CA"/>
        </w:rPr>
        <w:t xml:space="preserve"> s</w:t>
      </w:r>
      <w:r w:rsidR="00C62E0C">
        <w:rPr>
          <w:lang w:val="fr-CA"/>
        </w:rPr>
        <w:t>’</w:t>
      </w:r>
      <w:r w:rsidRPr="00B41373">
        <w:rPr>
          <w:lang w:val="fr-CA"/>
        </w:rPr>
        <w:t>est rapidement répandue aux États-Unis dans les années 2010, où ils sont rapidement apparus comme la «</w:t>
      </w:r>
      <w:r w:rsidR="00C62E0C">
        <w:rPr>
          <w:lang w:val="fr-CA"/>
        </w:rPr>
        <w:t> </w:t>
      </w:r>
      <w:r w:rsidRPr="00B41373">
        <w:rPr>
          <w:lang w:val="fr-CA"/>
        </w:rPr>
        <w:t>réforme privilégiée</w:t>
      </w:r>
      <w:r w:rsidR="00C62E0C">
        <w:rPr>
          <w:lang w:val="fr-CA"/>
        </w:rPr>
        <w:t> </w:t>
      </w:r>
      <w:r w:rsidRPr="00B41373">
        <w:rPr>
          <w:lang w:val="fr-CA"/>
        </w:rPr>
        <w:t>» pour faire avancer le mouvement américain de «</w:t>
      </w:r>
      <w:r w:rsidR="00C62E0C">
        <w:rPr>
          <w:lang w:val="fr-CA"/>
        </w:rPr>
        <w:t> </w:t>
      </w:r>
      <w:r w:rsidRPr="00B41373">
        <w:rPr>
          <w:lang w:val="fr-CA"/>
        </w:rPr>
        <w:t>réforme de la mise en liberté sous caution</w:t>
      </w:r>
      <w:r w:rsidR="00C62E0C">
        <w:rPr>
          <w:lang w:val="fr-CA"/>
        </w:rPr>
        <w:t> </w:t>
      </w:r>
      <w:r w:rsidRPr="00B41373">
        <w:rPr>
          <w:lang w:val="fr-CA"/>
        </w:rPr>
        <w:t>»</w:t>
      </w:r>
      <w:r w:rsidR="00B549D7" w:rsidRPr="00A317D7">
        <w:rPr>
          <w:rStyle w:val="EndnoteReference"/>
          <w:lang w:val="fr-CA"/>
        </w:rPr>
        <w:endnoteReference w:id="14"/>
      </w:r>
      <w:r>
        <w:rPr>
          <w:lang w:val="fr-CA"/>
        </w:rPr>
        <w:t>.</w:t>
      </w:r>
      <w:r w:rsidR="00B549D7" w:rsidRPr="00A317D7">
        <w:rPr>
          <w:shd w:val="clear" w:color="auto" w:fill="F8F9F9"/>
          <w:lang w:val="fr-CA"/>
        </w:rPr>
        <w:t xml:space="preserve"> </w:t>
      </w:r>
      <w:r w:rsidRPr="00B41373">
        <w:rPr>
          <w:lang w:val="fr-CA"/>
        </w:rPr>
        <w:t>Selon le Center on Court Innovation, un organisme de recherche à but non lucratif basé à New York, «</w:t>
      </w:r>
      <w:r w:rsidR="00C62E0C">
        <w:rPr>
          <w:lang w:val="fr-CA"/>
        </w:rPr>
        <w:t> </w:t>
      </w:r>
      <w:r w:rsidRPr="00B41373">
        <w:rPr>
          <w:lang w:val="fr-CA"/>
        </w:rPr>
        <w:t>l</w:t>
      </w:r>
      <w:r w:rsidR="00C62E0C">
        <w:rPr>
          <w:lang w:val="fr-CA"/>
        </w:rPr>
        <w:t>’</w:t>
      </w:r>
      <w:r w:rsidRPr="00B41373">
        <w:rPr>
          <w:lang w:val="fr-CA"/>
        </w:rPr>
        <w:t>intérêt de l</w:t>
      </w:r>
      <w:r w:rsidR="00C62E0C">
        <w:rPr>
          <w:lang w:val="fr-CA"/>
        </w:rPr>
        <w:t>’</w:t>
      </w:r>
      <w:r w:rsidRPr="00B41373">
        <w:rPr>
          <w:lang w:val="fr-CA"/>
        </w:rPr>
        <w:t>évaluation des risques avant le procès, en particulier dans les systèmes judiciaires importants et surchargés, réside dans la rapidité et l</w:t>
      </w:r>
      <w:r w:rsidR="00C62E0C">
        <w:rPr>
          <w:lang w:val="fr-CA"/>
        </w:rPr>
        <w:t>’</w:t>
      </w:r>
      <w:r w:rsidRPr="00B41373">
        <w:rPr>
          <w:lang w:val="fr-CA"/>
        </w:rPr>
        <w:t>objectivité de l</w:t>
      </w:r>
      <w:r w:rsidR="00C62E0C">
        <w:rPr>
          <w:lang w:val="fr-CA"/>
        </w:rPr>
        <w:t>’</w:t>
      </w:r>
      <w:r w:rsidRPr="00B41373">
        <w:rPr>
          <w:lang w:val="fr-CA"/>
        </w:rPr>
        <w:t>évaluation, qui exploite la puissance des données pour faciliter la prise de décision</w:t>
      </w:r>
      <w:r w:rsidR="00C62E0C">
        <w:rPr>
          <w:lang w:val="fr-CA"/>
        </w:rPr>
        <w:t> </w:t>
      </w:r>
      <w:r w:rsidRPr="00B41373">
        <w:rPr>
          <w:lang w:val="fr-CA"/>
        </w:rPr>
        <w:t>»</w:t>
      </w:r>
      <w:r w:rsidR="00B549D7" w:rsidRPr="00A317D7">
        <w:rPr>
          <w:rStyle w:val="EndnoteReference"/>
          <w:lang w:val="fr-CA"/>
        </w:rPr>
        <w:endnoteReference w:id="15"/>
      </w:r>
      <w:r>
        <w:rPr>
          <w:lang w:val="fr-CA"/>
        </w:rPr>
        <w:t>.</w:t>
      </w:r>
      <w:r w:rsidR="00BE6D0C" w:rsidRPr="00B41373">
        <w:rPr>
          <w:lang w:val="fr-CA"/>
        </w:rPr>
        <w:t xml:space="preserve"> </w:t>
      </w:r>
    </w:p>
    <w:p w14:paraId="49C7C1D2" w14:textId="77777777" w:rsidR="00124640" w:rsidRPr="00B41373" w:rsidRDefault="00124640" w:rsidP="00A14F63">
      <w:pPr>
        <w:spacing w:after="0"/>
        <w:rPr>
          <w:lang w:val="fr-CA"/>
        </w:rPr>
      </w:pPr>
    </w:p>
    <w:p w14:paraId="25D6543C" w14:textId="4162CDF5" w:rsidR="00B549D7" w:rsidRPr="00B41373" w:rsidRDefault="00B41373" w:rsidP="00093642">
      <w:pPr>
        <w:pStyle w:val="ListParagraph"/>
        <w:numPr>
          <w:ilvl w:val="0"/>
          <w:numId w:val="19"/>
        </w:numPr>
        <w:spacing w:after="0"/>
        <w:rPr>
          <w:b/>
          <w:bCs/>
          <w:lang w:val="fr-CA"/>
        </w:rPr>
      </w:pPr>
      <w:r w:rsidRPr="00B41373">
        <w:rPr>
          <w:b/>
          <w:bCs/>
          <w:lang w:val="fr-CA"/>
        </w:rPr>
        <w:t xml:space="preserve">Autres systèmes d’IA utilisés dans le </w:t>
      </w:r>
      <w:r w:rsidR="00093642" w:rsidRPr="00093642">
        <w:rPr>
          <w:b/>
          <w:bCs/>
          <w:lang w:val="fr-CA"/>
        </w:rPr>
        <w:t xml:space="preserve">système de </w:t>
      </w:r>
      <w:r>
        <w:rPr>
          <w:b/>
          <w:bCs/>
          <w:lang w:val="fr-CA"/>
        </w:rPr>
        <w:t>justice pénale</w:t>
      </w:r>
      <w:bookmarkEnd w:id="14"/>
      <w:r w:rsidR="00B549D7" w:rsidRPr="00A317D7">
        <w:rPr>
          <w:rStyle w:val="EndnoteReference"/>
          <w:lang w:val="fr-CA"/>
        </w:rPr>
        <w:endnoteReference w:id="16"/>
      </w:r>
      <w:r w:rsidR="00B549D7" w:rsidRPr="00B41373">
        <w:rPr>
          <w:b/>
          <w:bCs/>
          <w:lang w:val="fr-CA"/>
        </w:rPr>
        <w:t xml:space="preserve"> </w:t>
      </w:r>
    </w:p>
    <w:bookmarkEnd w:id="15"/>
    <w:p w14:paraId="079613A9" w14:textId="77777777" w:rsidR="00B549D7" w:rsidRPr="00B41373" w:rsidRDefault="00B549D7" w:rsidP="000C0811">
      <w:pPr>
        <w:spacing w:after="0"/>
        <w:rPr>
          <w:rFonts w:eastAsia="Times New Roman" w:cstheme="minorHAnsi"/>
          <w:kern w:val="0"/>
          <w:highlight w:val="yellow"/>
          <w:lang w:val="fr-CA" w:eastAsia="en-CA"/>
          <w14:ligatures w14:val="none"/>
        </w:rPr>
      </w:pPr>
    </w:p>
    <w:p w14:paraId="17D89BBB" w14:textId="148B5D59" w:rsidR="00B549D7" w:rsidRPr="00A317D7" w:rsidRDefault="00B41373" w:rsidP="000C0811">
      <w:pPr>
        <w:spacing w:after="0"/>
        <w:rPr>
          <w:rFonts w:eastAsia="Times New Roman" w:cstheme="minorHAnsi"/>
          <w:kern w:val="0"/>
          <w:lang w:val="fr-CA" w:eastAsia="en-CA"/>
          <w14:ligatures w14:val="none"/>
        </w:rPr>
      </w:pPr>
      <w:r w:rsidRPr="00B41373">
        <w:rPr>
          <w:rFonts w:eastAsia="Times New Roman" w:cstheme="minorHAnsi"/>
          <w:kern w:val="0"/>
          <w:lang w:val="fr-CA" w:eastAsia="en-CA"/>
          <w14:ligatures w14:val="none"/>
        </w:rPr>
        <w:t>Les autres technologies abordées dans les documents thématiques sur l</w:t>
      </w:r>
      <w:r w:rsidR="00C62E0C">
        <w:rPr>
          <w:rFonts w:eastAsia="Times New Roman" w:cstheme="minorHAnsi"/>
          <w:kern w:val="0"/>
          <w:lang w:val="fr-CA" w:eastAsia="en-CA"/>
          <w14:ligatures w14:val="none"/>
        </w:rPr>
        <w:t>’</w:t>
      </w:r>
      <w:r w:rsidRPr="00B41373">
        <w:rPr>
          <w:rFonts w:eastAsia="Times New Roman" w:cstheme="minorHAnsi"/>
          <w:kern w:val="0"/>
          <w:lang w:val="fr-CA" w:eastAsia="en-CA"/>
          <w14:ligatures w14:val="none"/>
        </w:rPr>
        <w:t xml:space="preserve">IA </w:t>
      </w:r>
      <w:r w:rsidR="00FA69DB" w:rsidRPr="00FA69DB">
        <w:rPr>
          <w:rFonts w:eastAsia="Times New Roman" w:cstheme="minorHAnsi"/>
          <w:kern w:val="0"/>
          <w:lang w:val="fr-CA" w:eastAsia="en-CA"/>
          <w14:ligatures w14:val="none"/>
        </w:rPr>
        <w:t xml:space="preserve">dans le </w:t>
      </w:r>
      <w:r w:rsidR="00093642">
        <w:rPr>
          <w:lang w:val="fr-CA"/>
        </w:rPr>
        <w:t>système</w:t>
      </w:r>
      <w:r w:rsidR="00093642" w:rsidRPr="004E2CCD">
        <w:rPr>
          <w:lang w:val="fr-CA"/>
        </w:rPr>
        <w:t xml:space="preserve"> de </w:t>
      </w:r>
      <w:r w:rsidR="00FA69DB" w:rsidRPr="00FA69DB">
        <w:rPr>
          <w:rFonts w:eastAsia="Times New Roman" w:cstheme="minorHAnsi"/>
          <w:kern w:val="0"/>
          <w:lang w:val="fr-CA" w:eastAsia="en-CA"/>
          <w14:ligatures w14:val="none"/>
        </w:rPr>
        <w:t xml:space="preserve">justice pénale </w:t>
      </w:r>
      <w:r w:rsidRPr="00B41373">
        <w:rPr>
          <w:rFonts w:eastAsia="Times New Roman" w:cstheme="minorHAnsi"/>
          <w:kern w:val="0"/>
          <w:lang w:val="fr-CA" w:eastAsia="en-CA"/>
          <w14:ligatures w14:val="none"/>
        </w:rPr>
        <w:t>comprennent</w:t>
      </w:r>
      <w:r>
        <w:rPr>
          <w:rFonts w:eastAsia="Times New Roman" w:cstheme="minorHAnsi"/>
          <w:kern w:val="0"/>
          <w:lang w:val="fr-CA" w:eastAsia="en-CA"/>
          <w14:ligatures w14:val="none"/>
        </w:rPr>
        <w:t> </w:t>
      </w:r>
      <w:r w:rsidR="00B549D7" w:rsidRPr="00A317D7">
        <w:rPr>
          <w:rFonts w:eastAsia="Times New Roman" w:cstheme="minorHAnsi"/>
          <w:kern w:val="0"/>
          <w:lang w:val="fr-CA" w:eastAsia="en-CA"/>
          <w14:ligatures w14:val="none"/>
        </w:rPr>
        <w:t>:</w:t>
      </w:r>
    </w:p>
    <w:p w14:paraId="5CA3D99C" w14:textId="77777777" w:rsidR="00B549D7" w:rsidRPr="00A317D7" w:rsidRDefault="00B549D7" w:rsidP="000C0811">
      <w:pPr>
        <w:spacing w:after="0"/>
        <w:rPr>
          <w:rFonts w:eastAsia="Times New Roman" w:cstheme="minorHAnsi"/>
          <w:kern w:val="0"/>
          <w:highlight w:val="yellow"/>
          <w:lang w:val="fr-CA" w:eastAsia="en-CA"/>
          <w14:ligatures w14:val="none"/>
        </w:rPr>
      </w:pPr>
    </w:p>
    <w:p w14:paraId="497F324D" w14:textId="1F65E87F" w:rsidR="00B41373" w:rsidRPr="00B41373" w:rsidRDefault="00FA69DB" w:rsidP="00B41373">
      <w:pPr>
        <w:pStyle w:val="ListParagraph"/>
        <w:numPr>
          <w:ilvl w:val="0"/>
          <w:numId w:val="22"/>
        </w:numPr>
        <w:spacing w:after="0"/>
        <w:rPr>
          <w:lang w:val="fr-CA"/>
        </w:rPr>
      </w:pPr>
      <w:r>
        <w:rPr>
          <w:lang w:val="fr-CA"/>
        </w:rPr>
        <w:t>l</w:t>
      </w:r>
      <w:r w:rsidR="00B41373" w:rsidRPr="00B41373">
        <w:rPr>
          <w:lang w:val="fr-CA"/>
        </w:rPr>
        <w:t>es lecteurs automatiques de plaques d</w:t>
      </w:r>
      <w:r w:rsidR="00C62E0C">
        <w:rPr>
          <w:lang w:val="fr-CA"/>
        </w:rPr>
        <w:t>’</w:t>
      </w:r>
      <w:r w:rsidR="00B41373" w:rsidRPr="00B41373">
        <w:rPr>
          <w:lang w:val="fr-CA"/>
        </w:rPr>
        <w:t>immatriculation</w:t>
      </w:r>
      <w:r w:rsidR="00C617A6">
        <w:rPr>
          <w:lang w:val="fr-CA"/>
        </w:rPr>
        <w:t> </w:t>
      </w:r>
      <w:r>
        <w:rPr>
          <w:lang w:val="fr-CA"/>
        </w:rPr>
        <w:t>;</w:t>
      </w:r>
    </w:p>
    <w:p w14:paraId="2FB99681" w14:textId="2395252F" w:rsidR="00B41373" w:rsidRPr="00B41373" w:rsidRDefault="00FA69DB" w:rsidP="00B41373">
      <w:pPr>
        <w:pStyle w:val="ListParagraph"/>
        <w:numPr>
          <w:ilvl w:val="0"/>
          <w:numId w:val="22"/>
        </w:numPr>
        <w:spacing w:after="0"/>
        <w:rPr>
          <w:lang w:val="fr-CA"/>
        </w:rPr>
      </w:pPr>
      <w:r>
        <w:rPr>
          <w:lang w:val="fr-CA"/>
        </w:rPr>
        <w:t>l</w:t>
      </w:r>
      <w:r w:rsidR="00B41373" w:rsidRPr="00B41373">
        <w:rPr>
          <w:lang w:val="fr-CA"/>
        </w:rPr>
        <w:t>es drones</w:t>
      </w:r>
      <w:r w:rsidR="00C617A6">
        <w:rPr>
          <w:lang w:val="fr-CA"/>
        </w:rPr>
        <w:t> </w:t>
      </w:r>
      <w:r>
        <w:rPr>
          <w:lang w:val="fr-CA"/>
        </w:rPr>
        <w:t>;</w:t>
      </w:r>
    </w:p>
    <w:p w14:paraId="7DCFA73B" w14:textId="2BC035C5" w:rsidR="00B41373" w:rsidRPr="00B41373" w:rsidRDefault="00FA69DB" w:rsidP="00B41373">
      <w:pPr>
        <w:pStyle w:val="ListParagraph"/>
        <w:numPr>
          <w:ilvl w:val="0"/>
          <w:numId w:val="22"/>
        </w:numPr>
        <w:spacing w:after="0"/>
        <w:rPr>
          <w:lang w:val="fr-CA"/>
        </w:rPr>
      </w:pPr>
      <w:r>
        <w:rPr>
          <w:lang w:val="fr-CA"/>
        </w:rPr>
        <w:lastRenderedPageBreak/>
        <w:t>l</w:t>
      </w:r>
      <w:r w:rsidR="00B41373" w:rsidRPr="00B41373">
        <w:rPr>
          <w:lang w:val="fr-CA"/>
        </w:rPr>
        <w:t>es systèmes de détection de coup de feu</w:t>
      </w:r>
      <w:r w:rsidR="00C617A6">
        <w:rPr>
          <w:lang w:val="fr-CA"/>
        </w:rPr>
        <w:t> </w:t>
      </w:r>
      <w:r>
        <w:rPr>
          <w:lang w:val="fr-CA"/>
        </w:rPr>
        <w:t>;</w:t>
      </w:r>
    </w:p>
    <w:p w14:paraId="224F7081" w14:textId="07DB9B2A" w:rsidR="00B41373" w:rsidRPr="00B41373" w:rsidRDefault="00FA69DB" w:rsidP="00B41373">
      <w:pPr>
        <w:pStyle w:val="ListParagraph"/>
        <w:numPr>
          <w:ilvl w:val="0"/>
          <w:numId w:val="22"/>
        </w:numPr>
        <w:spacing w:after="0"/>
        <w:rPr>
          <w:lang w:val="fr-CA"/>
        </w:rPr>
      </w:pPr>
      <w:r>
        <w:rPr>
          <w:lang w:val="fr-CA"/>
        </w:rPr>
        <w:t>l</w:t>
      </w:r>
      <w:r w:rsidR="00B41373" w:rsidRPr="00B41373">
        <w:rPr>
          <w:lang w:val="fr-CA"/>
        </w:rPr>
        <w:t>es systèmes de renseignement</w:t>
      </w:r>
      <w:r w:rsidR="00B41373">
        <w:rPr>
          <w:lang w:val="fr-CA"/>
        </w:rPr>
        <w:t>s</w:t>
      </w:r>
      <w:r w:rsidR="00B41373" w:rsidRPr="00B41373">
        <w:rPr>
          <w:lang w:val="fr-CA"/>
        </w:rPr>
        <w:t xml:space="preserve"> d</w:t>
      </w:r>
      <w:r w:rsidR="00C62E0C">
        <w:rPr>
          <w:lang w:val="fr-CA"/>
        </w:rPr>
        <w:t>’</w:t>
      </w:r>
      <w:r w:rsidR="00B41373" w:rsidRPr="00B41373">
        <w:rPr>
          <w:lang w:val="fr-CA"/>
        </w:rPr>
        <w:t>origine source ouverte (OSINT) et de renseignement</w:t>
      </w:r>
      <w:r>
        <w:rPr>
          <w:lang w:val="fr-CA"/>
        </w:rPr>
        <w:t>s</w:t>
      </w:r>
      <w:r w:rsidR="00B41373" w:rsidRPr="00B41373">
        <w:rPr>
          <w:lang w:val="fr-CA"/>
        </w:rPr>
        <w:t xml:space="preserve"> issu</w:t>
      </w:r>
      <w:r>
        <w:rPr>
          <w:lang w:val="fr-CA"/>
        </w:rPr>
        <w:t>s</w:t>
      </w:r>
      <w:r w:rsidR="00B41373" w:rsidRPr="00B41373">
        <w:rPr>
          <w:lang w:val="fr-CA"/>
        </w:rPr>
        <w:t xml:space="preserve"> des réseaux sociaux (SOCINT)</w:t>
      </w:r>
      <w:r w:rsidR="00C617A6">
        <w:rPr>
          <w:lang w:val="fr-CA"/>
        </w:rPr>
        <w:t> </w:t>
      </w:r>
      <w:r>
        <w:rPr>
          <w:lang w:val="fr-CA"/>
        </w:rPr>
        <w:t>;</w:t>
      </w:r>
    </w:p>
    <w:p w14:paraId="67140801" w14:textId="08FC1738" w:rsidR="00B549D7" w:rsidRPr="00A317D7" w:rsidRDefault="00FA69DB" w:rsidP="00B41373">
      <w:pPr>
        <w:pStyle w:val="ListParagraph"/>
        <w:numPr>
          <w:ilvl w:val="0"/>
          <w:numId w:val="22"/>
        </w:numPr>
        <w:spacing w:after="0"/>
        <w:rPr>
          <w:lang w:val="fr-CA"/>
        </w:rPr>
      </w:pPr>
      <w:r>
        <w:rPr>
          <w:lang w:val="fr-CA"/>
        </w:rPr>
        <w:t>l</w:t>
      </w:r>
      <w:r w:rsidR="00B41373" w:rsidRPr="00B41373">
        <w:rPr>
          <w:lang w:val="fr-CA"/>
        </w:rPr>
        <w:t>es preuves générées par l</w:t>
      </w:r>
      <w:r w:rsidR="00C62E0C">
        <w:rPr>
          <w:lang w:val="fr-CA"/>
        </w:rPr>
        <w:t>’</w:t>
      </w:r>
      <w:r w:rsidR="00B41373" w:rsidRPr="00B41373">
        <w:rPr>
          <w:lang w:val="fr-CA"/>
        </w:rPr>
        <w:t>IA</w:t>
      </w:r>
      <w:r w:rsidR="00B549D7" w:rsidRPr="00A317D7">
        <w:rPr>
          <w:lang w:val="fr-CA"/>
        </w:rPr>
        <w:t>.</w:t>
      </w:r>
    </w:p>
    <w:p w14:paraId="01D60BD8" w14:textId="77777777" w:rsidR="00B549D7" w:rsidRPr="00A317D7" w:rsidRDefault="00B549D7" w:rsidP="000C0811">
      <w:pPr>
        <w:spacing w:after="0"/>
        <w:rPr>
          <w:lang w:val="fr-CA"/>
        </w:rPr>
      </w:pPr>
    </w:p>
    <w:p w14:paraId="2332692A" w14:textId="5C7DA878" w:rsidR="00B549D7" w:rsidRPr="00A317D7" w:rsidRDefault="00D873AD" w:rsidP="00965500">
      <w:pPr>
        <w:pStyle w:val="Heading1"/>
        <w:numPr>
          <w:ilvl w:val="0"/>
          <w:numId w:val="21"/>
        </w:numPr>
        <w:rPr>
          <w:lang w:val="fr-CA"/>
        </w:rPr>
      </w:pPr>
      <w:bookmarkStart w:id="16" w:name="_Toc188900896"/>
      <w:bookmarkStart w:id="17" w:name="_Toc194406400"/>
      <w:bookmarkStart w:id="18" w:name="_Toc197353484"/>
      <w:bookmarkStart w:id="19" w:name="_Toc197599883"/>
      <w:r>
        <w:rPr>
          <w:rFonts w:eastAsia="Times New Roman"/>
          <w:lang w:val="fr-CA" w:eastAsia="en-CA"/>
        </w:rPr>
        <w:t>L’IA dans le système de justice pénale </w:t>
      </w:r>
      <w:r w:rsidR="00B549D7" w:rsidRPr="00A317D7">
        <w:rPr>
          <w:lang w:val="fr-CA"/>
        </w:rPr>
        <w:t>:</w:t>
      </w:r>
      <w:r w:rsidR="00BE6D0C" w:rsidRPr="00A317D7">
        <w:rPr>
          <w:lang w:val="fr-CA"/>
        </w:rPr>
        <w:t xml:space="preserve"> </w:t>
      </w:r>
      <w:r>
        <w:rPr>
          <w:lang w:val="fr-CA"/>
        </w:rPr>
        <w:t>risques et problèmes</w:t>
      </w:r>
      <w:bookmarkEnd w:id="16"/>
      <w:bookmarkEnd w:id="17"/>
      <w:bookmarkEnd w:id="18"/>
      <w:bookmarkEnd w:id="19"/>
      <w:r w:rsidR="00B549D7" w:rsidRPr="00A317D7">
        <w:rPr>
          <w:lang w:val="fr-CA"/>
        </w:rPr>
        <w:t xml:space="preserve"> </w:t>
      </w:r>
    </w:p>
    <w:p w14:paraId="2ED267C1" w14:textId="77777777" w:rsidR="00B549D7" w:rsidRPr="00A317D7" w:rsidRDefault="00B549D7" w:rsidP="00052790">
      <w:pPr>
        <w:spacing w:after="0"/>
        <w:rPr>
          <w:lang w:val="fr-CA"/>
        </w:rPr>
      </w:pPr>
    </w:p>
    <w:p w14:paraId="0D75EC05" w14:textId="2F85822E" w:rsidR="00B549D7" w:rsidRPr="00A317D7" w:rsidRDefault="00331AAB" w:rsidP="00B91195">
      <w:pPr>
        <w:spacing w:after="0"/>
        <w:rPr>
          <w:u w:color="1A1A1A"/>
          <w:lang w:val="fr-CA"/>
        </w:rPr>
      </w:pPr>
      <w:r w:rsidRPr="00331AAB">
        <w:rPr>
          <w:shd w:val="clear" w:color="auto" w:fill="FFFFFF"/>
          <w:lang w:val="fr-CA"/>
        </w:rPr>
        <w:t>De nombreux rapports documentent les risques que représentent les systèmes d</w:t>
      </w:r>
      <w:r w:rsidR="00C62E0C">
        <w:rPr>
          <w:shd w:val="clear" w:color="auto" w:fill="FFFFFF"/>
          <w:lang w:val="fr-CA"/>
        </w:rPr>
        <w:t>’</w:t>
      </w:r>
      <w:r w:rsidRPr="00331AAB">
        <w:rPr>
          <w:shd w:val="clear" w:color="auto" w:fill="FFFFFF"/>
          <w:lang w:val="fr-CA"/>
        </w:rPr>
        <w:t>IA tels que la surveillance biométrique, le maintien de l</w:t>
      </w:r>
      <w:r w:rsidR="00C62E0C">
        <w:rPr>
          <w:shd w:val="clear" w:color="auto" w:fill="FFFFFF"/>
          <w:lang w:val="fr-CA"/>
        </w:rPr>
        <w:t>’</w:t>
      </w:r>
      <w:r w:rsidRPr="00331AAB">
        <w:rPr>
          <w:shd w:val="clear" w:color="auto" w:fill="FFFFFF"/>
          <w:lang w:val="fr-CA"/>
        </w:rPr>
        <w:t>ordre prédictif et les algorithmes de mise en liberté sous caution et de détermination de</w:t>
      </w:r>
      <w:r w:rsidR="00B200C1">
        <w:rPr>
          <w:shd w:val="clear" w:color="auto" w:fill="FFFFFF"/>
          <w:lang w:val="fr-CA"/>
        </w:rPr>
        <w:t xml:space="preserve">s </w:t>
      </w:r>
      <w:r w:rsidRPr="00331AAB">
        <w:rPr>
          <w:shd w:val="clear" w:color="auto" w:fill="FFFFFF"/>
          <w:lang w:val="fr-CA"/>
        </w:rPr>
        <w:t>peine</w:t>
      </w:r>
      <w:r w:rsidR="00B200C1">
        <w:rPr>
          <w:shd w:val="clear" w:color="auto" w:fill="FFFFFF"/>
          <w:lang w:val="fr-CA"/>
        </w:rPr>
        <w:t>s</w:t>
      </w:r>
      <w:r w:rsidRPr="00331AAB">
        <w:rPr>
          <w:shd w:val="clear" w:color="auto" w:fill="FFFFFF"/>
          <w:lang w:val="fr-CA"/>
        </w:rPr>
        <w:t xml:space="preserve"> pour les droits de la personne, les libertés civiles, la protection de la vie privée et l</w:t>
      </w:r>
      <w:r w:rsidR="00C62E0C">
        <w:rPr>
          <w:shd w:val="clear" w:color="auto" w:fill="FFFFFF"/>
          <w:lang w:val="fr-CA"/>
        </w:rPr>
        <w:t>’</w:t>
      </w:r>
      <w:r w:rsidRPr="00331AAB">
        <w:rPr>
          <w:shd w:val="clear" w:color="auto" w:fill="FFFFFF"/>
          <w:lang w:val="fr-CA"/>
        </w:rPr>
        <w:t>équité procédurale. Ces rapports examinent également comment les risques liés à ces systèmes touchent de manière disproportionnée les communautés et les personnes à faible revenu, autochtones, racisées ou autrement vulnérables. Parmi les risques notables liés à l</w:t>
      </w:r>
      <w:r w:rsidR="00C62E0C">
        <w:rPr>
          <w:shd w:val="clear" w:color="auto" w:fill="FFFFFF"/>
          <w:lang w:val="fr-CA"/>
        </w:rPr>
        <w:t>’</w:t>
      </w:r>
      <w:r w:rsidRPr="00331AAB">
        <w:rPr>
          <w:shd w:val="clear" w:color="auto" w:fill="FFFFFF"/>
          <w:lang w:val="fr-CA"/>
        </w:rPr>
        <w:t>IA dans le système de justice pénale, on peut citer</w:t>
      </w:r>
      <w:r w:rsidR="00B35D57">
        <w:rPr>
          <w:shd w:val="clear" w:color="auto" w:fill="FFFFFF"/>
          <w:lang w:val="fr-CA"/>
        </w:rPr>
        <w:t xml:space="preserve"> les thèmes suivants</w:t>
      </w:r>
      <w:r>
        <w:rPr>
          <w:shd w:val="clear" w:color="auto" w:fill="FFFFFF"/>
          <w:lang w:val="fr-CA"/>
        </w:rPr>
        <w:t> </w:t>
      </w:r>
      <w:r w:rsidR="00B549D7" w:rsidRPr="00A317D7">
        <w:rPr>
          <w:u w:color="1A1A1A"/>
          <w:lang w:val="fr-CA"/>
        </w:rPr>
        <w:t>:</w:t>
      </w:r>
    </w:p>
    <w:p w14:paraId="41E5FBDE" w14:textId="2166040E" w:rsidR="00B549D7" w:rsidRPr="00A317D7" w:rsidRDefault="00331AAB" w:rsidP="00965500">
      <w:pPr>
        <w:pStyle w:val="ListParagraph"/>
        <w:numPr>
          <w:ilvl w:val="0"/>
          <w:numId w:val="17"/>
        </w:numPr>
        <w:spacing w:before="100" w:beforeAutospacing="1" w:after="0"/>
        <w:rPr>
          <w:b/>
          <w:bCs/>
          <w:lang w:val="fr-CA"/>
        </w:rPr>
      </w:pPr>
      <w:r>
        <w:rPr>
          <w:b/>
          <w:bCs/>
          <w:lang w:val="fr-CA"/>
        </w:rPr>
        <w:t>Préjugés et d</w:t>
      </w:r>
      <w:r w:rsidR="00B549D7" w:rsidRPr="00A317D7">
        <w:rPr>
          <w:b/>
          <w:bCs/>
          <w:lang w:val="fr-CA"/>
        </w:rPr>
        <w:t>iscrimination</w:t>
      </w:r>
    </w:p>
    <w:p w14:paraId="5BF983FB" w14:textId="77777777" w:rsidR="00B549D7" w:rsidRPr="00A317D7" w:rsidRDefault="00B549D7" w:rsidP="009E0F67">
      <w:pPr>
        <w:spacing w:after="0"/>
        <w:rPr>
          <w:lang w:val="fr-CA"/>
        </w:rPr>
      </w:pPr>
    </w:p>
    <w:p w14:paraId="7F1CE2D8" w14:textId="0A52E8A2" w:rsidR="00B549D7" w:rsidRPr="00B35D57" w:rsidRDefault="00B35D57" w:rsidP="004E013A">
      <w:pPr>
        <w:rPr>
          <w:lang w:val="fr-CA"/>
        </w:rPr>
      </w:pPr>
      <w:r w:rsidRPr="00B35D57">
        <w:rPr>
          <w:lang w:val="fr-CA"/>
        </w:rPr>
        <w:t>Les problèmes liés au biais de données et à la discrimination dans les systèmes d</w:t>
      </w:r>
      <w:r w:rsidR="00C62E0C">
        <w:rPr>
          <w:lang w:val="fr-CA"/>
        </w:rPr>
        <w:t>’</w:t>
      </w:r>
      <w:r w:rsidRPr="00B35D57">
        <w:rPr>
          <w:lang w:val="fr-CA"/>
        </w:rPr>
        <w:t xml:space="preserve">IA utilisés dans le </w:t>
      </w:r>
      <w:r w:rsidR="00093642">
        <w:rPr>
          <w:lang w:val="fr-CA"/>
        </w:rPr>
        <w:t>système</w:t>
      </w:r>
      <w:r w:rsidR="00093642" w:rsidRPr="004E2CCD">
        <w:rPr>
          <w:lang w:val="fr-CA"/>
        </w:rPr>
        <w:t xml:space="preserve"> de </w:t>
      </w:r>
      <w:r w:rsidRPr="00B35D57">
        <w:rPr>
          <w:lang w:val="fr-CA"/>
        </w:rPr>
        <w:t>justice pénale sont bien connus et largement reconnus</w:t>
      </w:r>
      <w:r w:rsidR="00B549D7" w:rsidRPr="00A317D7">
        <w:rPr>
          <w:rStyle w:val="EndnoteReference"/>
          <w:lang w:val="fr-CA"/>
        </w:rPr>
        <w:endnoteReference w:id="17"/>
      </w:r>
      <w:r>
        <w:rPr>
          <w:lang w:val="fr-CA"/>
        </w:rPr>
        <w:t>.</w:t>
      </w:r>
      <w:r w:rsidR="00B549D7" w:rsidRPr="00A317D7">
        <w:rPr>
          <w:lang w:val="fr-CA"/>
        </w:rPr>
        <w:t xml:space="preserve"> </w:t>
      </w:r>
      <w:r w:rsidRPr="00B35D57">
        <w:rPr>
          <w:lang w:val="fr-CA"/>
        </w:rPr>
        <w:t>Par exemple, des études sur les systèmes de RF «</w:t>
      </w:r>
      <w:r w:rsidR="00C62E0C">
        <w:rPr>
          <w:lang w:val="fr-CA"/>
        </w:rPr>
        <w:t> </w:t>
      </w:r>
      <w:r w:rsidRPr="00B35D57">
        <w:rPr>
          <w:lang w:val="fr-CA"/>
        </w:rPr>
        <w:t>ont clairement démontré les préjugés raciaux et genrés, c</w:t>
      </w:r>
      <w:r w:rsidR="00C62E0C">
        <w:rPr>
          <w:lang w:val="fr-CA"/>
        </w:rPr>
        <w:t>’</w:t>
      </w:r>
      <w:r w:rsidRPr="00B35D57">
        <w:rPr>
          <w:lang w:val="fr-CA"/>
        </w:rPr>
        <w:t>est-à-dire que les femmes et les personnes de couleur sont plus susceptibles d</w:t>
      </w:r>
      <w:r w:rsidR="00C62E0C">
        <w:rPr>
          <w:lang w:val="fr-CA"/>
        </w:rPr>
        <w:t>’</w:t>
      </w:r>
      <w:r w:rsidRPr="00B35D57">
        <w:rPr>
          <w:lang w:val="fr-CA"/>
        </w:rPr>
        <w:t>être mal identifié</w:t>
      </w:r>
      <w:r w:rsidR="00C62E0C">
        <w:rPr>
          <w:lang w:val="fr-CA"/>
        </w:rPr>
        <w:t>e</w:t>
      </w:r>
      <w:r w:rsidRPr="00B35D57">
        <w:rPr>
          <w:lang w:val="fr-CA"/>
        </w:rPr>
        <w:t>s par les TRF et, par conséquent, plus susceptibles d</w:t>
      </w:r>
      <w:r w:rsidR="00C62E0C">
        <w:rPr>
          <w:lang w:val="fr-CA"/>
        </w:rPr>
        <w:t>’</w:t>
      </w:r>
      <w:r w:rsidRPr="00B35D57">
        <w:rPr>
          <w:lang w:val="fr-CA"/>
        </w:rPr>
        <w:t>être accusé</w:t>
      </w:r>
      <w:r w:rsidR="00C62E0C">
        <w:rPr>
          <w:lang w:val="fr-CA"/>
        </w:rPr>
        <w:t>e</w:t>
      </w:r>
      <w:r w:rsidRPr="00B35D57">
        <w:rPr>
          <w:lang w:val="fr-CA"/>
        </w:rPr>
        <w:t>s à tort par les policiers qui les utilisent que les hommes à la peau claire</w:t>
      </w:r>
      <w:r w:rsidR="00C62E0C">
        <w:rPr>
          <w:lang w:val="fr-CA"/>
        </w:rPr>
        <w:t> </w:t>
      </w:r>
      <w:r w:rsidRPr="00B35D57">
        <w:rPr>
          <w:lang w:val="fr-CA"/>
        </w:rPr>
        <w:t>»</w:t>
      </w:r>
      <w:r w:rsidR="00B549D7" w:rsidRPr="00A317D7">
        <w:rPr>
          <w:rStyle w:val="EndnoteReference"/>
          <w:lang w:val="fr-CA"/>
        </w:rPr>
        <w:endnoteReference w:id="18"/>
      </w:r>
      <w:r>
        <w:rPr>
          <w:lang w:val="fr-CA"/>
        </w:rPr>
        <w:t>.</w:t>
      </w:r>
      <w:r w:rsidR="00B549D7" w:rsidRPr="00B35D57">
        <w:rPr>
          <w:lang w:val="fr-CA"/>
        </w:rPr>
        <w:t xml:space="preserve"> </w:t>
      </w:r>
      <w:r w:rsidRPr="00B35D57">
        <w:rPr>
          <w:lang w:val="fr-CA"/>
        </w:rPr>
        <w:t>De nombreux algorithmes utilisés dans le cadre du maintien de l</w:t>
      </w:r>
      <w:r w:rsidR="00C62E0C">
        <w:rPr>
          <w:lang w:val="fr-CA"/>
        </w:rPr>
        <w:t>’</w:t>
      </w:r>
      <w:r w:rsidRPr="00B35D57">
        <w:rPr>
          <w:lang w:val="fr-CA"/>
        </w:rPr>
        <w:t>ordre prédictif et de la détermination des cautions ou des peines se sont également révélés biaisés et discriminatoires</w:t>
      </w:r>
      <w:r w:rsidR="00B549D7" w:rsidRPr="00A317D7">
        <w:rPr>
          <w:rStyle w:val="EndnoteReference"/>
          <w:lang w:val="fr-CA"/>
        </w:rPr>
        <w:endnoteReference w:id="19"/>
      </w:r>
      <w:r>
        <w:rPr>
          <w:lang w:val="fr-CA"/>
        </w:rPr>
        <w:t>.</w:t>
      </w:r>
      <w:r w:rsidR="00BE6D0C" w:rsidRPr="00B35D57">
        <w:rPr>
          <w:lang w:val="fr-CA"/>
        </w:rPr>
        <w:t xml:space="preserve"> </w:t>
      </w:r>
    </w:p>
    <w:p w14:paraId="297ED771" w14:textId="6F23C8C2" w:rsidR="00B549D7" w:rsidRPr="00A317D7" w:rsidRDefault="00D32A76" w:rsidP="003D6946">
      <w:pPr>
        <w:rPr>
          <w:rFonts w:cstheme="minorHAnsi"/>
          <w:lang w:val="fr-CA"/>
        </w:rPr>
      </w:pPr>
      <w:r w:rsidRPr="00D32A76">
        <w:rPr>
          <w:lang w:val="fr-CA"/>
        </w:rPr>
        <w:t>Les craintes relatives aux préjugés ont donné lieu à de nombreuses propositions visant à r</w:t>
      </w:r>
      <w:r w:rsidR="00C62E0C">
        <w:rPr>
          <w:lang w:val="fr-CA"/>
        </w:rPr>
        <w:t>è</w:t>
      </w:r>
      <w:r w:rsidRPr="00D32A76">
        <w:rPr>
          <w:lang w:val="fr-CA"/>
        </w:rPr>
        <w:t>glementer strictement les systèmes d</w:t>
      </w:r>
      <w:r w:rsidR="00C62E0C">
        <w:rPr>
          <w:lang w:val="fr-CA"/>
        </w:rPr>
        <w:t>’</w:t>
      </w:r>
      <w:r w:rsidRPr="00D32A76">
        <w:rPr>
          <w:lang w:val="fr-CA"/>
        </w:rPr>
        <w:t xml:space="preserve">IA utilisés dans le </w:t>
      </w:r>
      <w:r w:rsidR="00093642">
        <w:rPr>
          <w:lang w:val="fr-CA"/>
        </w:rPr>
        <w:t>système</w:t>
      </w:r>
      <w:r w:rsidR="00093642" w:rsidRPr="004E2CCD">
        <w:rPr>
          <w:lang w:val="fr-CA"/>
        </w:rPr>
        <w:t xml:space="preserve"> de </w:t>
      </w:r>
      <w:r w:rsidRPr="00D32A76">
        <w:rPr>
          <w:lang w:val="fr-CA"/>
        </w:rPr>
        <w:t>justice pénal</w:t>
      </w:r>
      <w:r>
        <w:rPr>
          <w:lang w:val="fr-CA"/>
        </w:rPr>
        <w:t>e</w:t>
      </w:r>
      <w:r w:rsidR="00B549D7" w:rsidRPr="00A317D7">
        <w:rPr>
          <w:rStyle w:val="EndnoteReference"/>
          <w:lang w:val="fr-CA"/>
        </w:rPr>
        <w:endnoteReference w:id="20"/>
      </w:r>
      <w:r>
        <w:rPr>
          <w:lang w:val="fr-CA"/>
        </w:rPr>
        <w:t>.</w:t>
      </w:r>
      <w:r w:rsidR="00B549D7" w:rsidRPr="00A317D7">
        <w:rPr>
          <w:lang w:val="fr-CA"/>
        </w:rPr>
        <w:t xml:space="preserve"> </w:t>
      </w:r>
    </w:p>
    <w:p w14:paraId="6471AF52" w14:textId="21C9970C" w:rsidR="00B549D7" w:rsidRPr="00A317D7" w:rsidRDefault="00B97810" w:rsidP="00331AAB">
      <w:pPr>
        <w:pStyle w:val="ListParagraph"/>
        <w:numPr>
          <w:ilvl w:val="0"/>
          <w:numId w:val="17"/>
        </w:numPr>
        <w:spacing w:before="100" w:beforeAutospacing="1"/>
        <w:rPr>
          <w:b/>
          <w:bCs/>
          <w:lang w:val="fr-CA"/>
        </w:rPr>
      </w:pPr>
      <w:r>
        <w:rPr>
          <w:b/>
          <w:bCs/>
          <w:lang w:val="fr-CA"/>
        </w:rPr>
        <w:t xml:space="preserve">Vie privée </w:t>
      </w:r>
      <w:r w:rsidR="00331AAB" w:rsidRPr="00331AAB">
        <w:rPr>
          <w:b/>
          <w:bCs/>
          <w:lang w:val="fr-CA"/>
        </w:rPr>
        <w:t>et surveillance</w:t>
      </w:r>
    </w:p>
    <w:p w14:paraId="17BFA2EE" w14:textId="1912EE0E" w:rsidR="00B549D7" w:rsidRPr="00B97810" w:rsidRDefault="00B97810" w:rsidP="00324294">
      <w:pPr>
        <w:rPr>
          <w:lang w:val="fr-CA"/>
        </w:rPr>
      </w:pPr>
      <w:r w:rsidRPr="00B97810">
        <w:rPr>
          <w:lang w:val="fr-CA"/>
        </w:rPr>
        <w:t>Les risques liés à la vie privée et à la surveillance sont largement reconnus dans les systèmes d</w:t>
      </w:r>
      <w:r w:rsidR="00C62E0C">
        <w:rPr>
          <w:lang w:val="fr-CA"/>
        </w:rPr>
        <w:t>’</w:t>
      </w:r>
      <w:r w:rsidRPr="00B97810">
        <w:rPr>
          <w:lang w:val="fr-CA"/>
        </w:rPr>
        <w:t>IA criminels, en particulier les systèmes de RF</w:t>
      </w:r>
      <w:r w:rsidR="00B549D7" w:rsidRPr="00A317D7">
        <w:rPr>
          <w:rStyle w:val="EndnoteReference"/>
          <w:lang w:val="fr-CA"/>
        </w:rPr>
        <w:endnoteReference w:id="21"/>
      </w:r>
      <w:r>
        <w:rPr>
          <w:lang w:val="fr-CA"/>
        </w:rPr>
        <w:t>.</w:t>
      </w:r>
      <w:r w:rsidR="00B549D7" w:rsidRPr="00B97810">
        <w:rPr>
          <w:lang w:val="fr-CA"/>
        </w:rPr>
        <w:t xml:space="preserve"> </w:t>
      </w:r>
      <w:r w:rsidRPr="00B97810">
        <w:rPr>
          <w:lang w:val="fr-CA"/>
        </w:rPr>
        <w:t>Les risques liés à la vie privée dans d</w:t>
      </w:r>
      <w:r w:rsidR="00C62E0C">
        <w:rPr>
          <w:lang w:val="fr-CA"/>
        </w:rPr>
        <w:t>’</w:t>
      </w:r>
      <w:r w:rsidRPr="00B97810">
        <w:rPr>
          <w:lang w:val="fr-CA"/>
        </w:rPr>
        <w:t>autres systèmes d</w:t>
      </w:r>
      <w:r w:rsidR="00C62E0C">
        <w:rPr>
          <w:lang w:val="fr-CA"/>
        </w:rPr>
        <w:t>’</w:t>
      </w:r>
      <w:r w:rsidRPr="00B97810">
        <w:rPr>
          <w:lang w:val="fr-CA"/>
        </w:rPr>
        <w:t xml:space="preserve">IA utilisés dans le </w:t>
      </w:r>
      <w:r w:rsidR="00093642">
        <w:rPr>
          <w:lang w:val="fr-CA"/>
        </w:rPr>
        <w:t>système</w:t>
      </w:r>
      <w:r w:rsidR="00093642" w:rsidRPr="004E2CCD">
        <w:rPr>
          <w:lang w:val="fr-CA"/>
        </w:rPr>
        <w:t xml:space="preserve"> de </w:t>
      </w:r>
      <w:r w:rsidRPr="00B97810">
        <w:rPr>
          <w:lang w:val="fr-CA"/>
        </w:rPr>
        <w:t>justice pénale peuvent inclure</w:t>
      </w:r>
      <w:r>
        <w:rPr>
          <w:lang w:val="fr-CA"/>
        </w:rPr>
        <w:t> </w:t>
      </w:r>
      <w:r w:rsidRPr="00B97810">
        <w:rPr>
          <w:lang w:val="fr-CA"/>
        </w:rPr>
        <w:t>:</w:t>
      </w:r>
      <w:r w:rsidR="00B549D7" w:rsidRPr="00B97810">
        <w:rPr>
          <w:lang w:val="fr-CA"/>
        </w:rPr>
        <w:t xml:space="preserve"> </w:t>
      </w:r>
    </w:p>
    <w:p w14:paraId="061FC90E" w14:textId="77777777" w:rsidR="00B97810" w:rsidRPr="00B97810" w:rsidRDefault="00B97810" w:rsidP="00B97810">
      <w:pPr>
        <w:pStyle w:val="ListParagraph"/>
        <w:numPr>
          <w:ilvl w:val="0"/>
          <w:numId w:val="18"/>
        </w:numPr>
        <w:rPr>
          <w:lang w:val="fr-CA"/>
        </w:rPr>
      </w:pPr>
      <w:r w:rsidRPr="00B97810">
        <w:rPr>
          <w:lang w:val="fr-CA"/>
        </w:rPr>
        <w:t>Les systèmes de surveillance des réseaux sociaux qui peuvent réduire la confidentialité des communications en ligne.</w:t>
      </w:r>
    </w:p>
    <w:p w14:paraId="0C70E3D9" w14:textId="24FBCC5D" w:rsidR="00B97810" w:rsidRPr="00B97810" w:rsidRDefault="00B97810" w:rsidP="00B97810">
      <w:pPr>
        <w:pStyle w:val="ListParagraph"/>
        <w:numPr>
          <w:ilvl w:val="0"/>
          <w:numId w:val="18"/>
        </w:numPr>
        <w:rPr>
          <w:lang w:val="fr-CA"/>
        </w:rPr>
      </w:pPr>
      <w:r w:rsidRPr="00B97810">
        <w:rPr>
          <w:lang w:val="fr-CA"/>
        </w:rPr>
        <w:t>Les lecteurs automatiques de plaques d</w:t>
      </w:r>
      <w:r w:rsidR="00C62E0C">
        <w:rPr>
          <w:lang w:val="fr-CA"/>
        </w:rPr>
        <w:t>’</w:t>
      </w:r>
      <w:r w:rsidRPr="00B97810">
        <w:rPr>
          <w:lang w:val="fr-CA"/>
        </w:rPr>
        <w:t>immatriculation qui peuvent suivre les déplacements d</w:t>
      </w:r>
      <w:r w:rsidR="00C62E0C">
        <w:rPr>
          <w:lang w:val="fr-CA"/>
        </w:rPr>
        <w:t>’</w:t>
      </w:r>
      <w:r w:rsidRPr="00B97810">
        <w:rPr>
          <w:lang w:val="fr-CA"/>
        </w:rPr>
        <w:t>une personne.</w:t>
      </w:r>
    </w:p>
    <w:p w14:paraId="59CE21D2" w14:textId="62454D7F" w:rsidR="00B549D7" w:rsidRPr="00A317D7" w:rsidRDefault="00B97810" w:rsidP="00B97810">
      <w:pPr>
        <w:pStyle w:val="ListParagraph"/>
        <w:numPr>
          <w:ilvl w:val="0"/>
          <w:numId w:val="18"/>
        </w:numPr>
        <w:rPr>
          <w:rFonts w:cstheme="minorHAnsi"/>
          <w:color w:val="000000"/>
          <w:lang w:val="fr-CA"/>
        </w:rPr>
      </w:pPr>
      <w:r w:rsidRPr="00B97810">
        <w:rPr>
          <w:lang w:val="fr-CA"/>
        </w:rPr>
        <w:t>Les drones qui surveillent des personnes ou des év</w:t>
      </w:r>
      <w:r w:rsidR="00C62E0C">
        <w:rPr>
          <w:lang w:val="fr-CA"/>
        </w:rPr>
        <w:t>è</w:t>
      </w:r>
      <w:r w:rsidRPr="00B97810">
        <w:rPr>
          <w:lang w:val="fr-CA"/>
        </w:rPr>
        <w:t>nements ou qui sont utilisés pour recueillir des renseignements sur des passants qui ne sont pas liés à une enquête policière</w:t>
      </w:r>
      <w:r w:rsidR="00B549D7" w:rsidRPr="00A317D7">
        <w:rPr>
          <w:rStyle w:val="EndnoteReference"/>
          <w:rFonts w:cstheme="minorHAnsi"/>
          <w:color w:val="000000"/>
          <w:lang w:val="fr-CA"/>
        </w:rPr>
        <w:endnoteReference w:id="22"/>
      </w:r>
      <w:r>
        <w:rPr>
          <w:lang w:val="fr-CA"/>
        </w:rPr>
        <w:t>.</w:t>
      </w:r>
    </w:p>
    <w:p w14:paraId="30D5B610" w14:textId="5CF8C482" w:rsidR="00B549D7" w:rsidRPr="00B97810" w:rsidRDefault="00B97810" w:rsidP="008510CA">
      <w:pPr>
        <w:rPr>
          <w:rFonts w:cstheme="minorHAnsi"/>
          <w:color w:val="000000"/>
          <w:lang w:val="fr-CA"/>
        </w:rPr>
      </w:pPr>
      <w:r w:rsidRPr="00B97810">
        <w:rPr>
          <w:rFonts w:cstheme="minorHAnsi"/>
          <w:color w:val="000000"/>
          <w:lang w:val="fr-CA"/>
        </w:rPr>
        <w:t>Comme avec les TRF</w:t>
      </w:r>
      <w:r w:rsidR="00B549D7" w:rsidRPr="00B97810">
        <w:rPr>
          <w:rFonts w:cstheme="minorHAnsi"/>
          <w:color w:val="000000"/>
          <w:lang w:val="fr-CA"/>
        </w:rPr>
        <w:t xml:space="preserve">, </w:t>
      </w:r>
      <w:r w:rsidRPr="00B97810">
        <w:rPr>
          <w:rFonts w:cstheme="minorHAnsi"/>
          <w:color w:val="000000"/>
          <w:lang w:val="fr-CA"/>
        </w:rPr>
        <w:t>les risques liés à la vie privée ont également donné lieu à de nombreuses propositions visant à r</w:t>
      </w:r>
      <w:r w:rsidR="00C62E0C">
        <w:rPr>
          <w:rFonts w:cstheme="minorHAnsi"/>
          <w:color w:val="000000"/>
          <w:lang w:val="fr-CA"/>
        </w:rPr>
        <w:t>è</w:t>
      </w:r>
      <w:r w:rsidRPr="00B97810">
        <w:rPr>
          <w:rFonts w:cstheme="minorHAnsi"/>
          <w:color w:val="000000"/>
          <w:lang w:val="fr-CA"/>
        </w:rPr>
        <w:t>glementer ou à interdire les applications de l</w:t>
      </w:r>
      <w:r w:rsidR="00C62E0C">
        <w:rPr>
          <w:rFonts w:cstheme="minorHAnsi"/>
          <w:color w:val="000000"/>
          <w:lang w:val="fr-CA"/>
        </w:rPr>
        <w:t>’</w:t>
      </w:r>
      <w:r w:rsidRPr="00B97810">
        <w:rPr>
          <w:rFonts w:cstheme="minorHAnsi"/>
          <w:color w:val="000000"/>
          <w:lang w:val="fr-CA"/>
        </w:rPr>
        <w:t>IA</w:t>
      </w:r>
      <w:r w:rsidR="00B200C1">
        <w:rPr>
          <w:rFonts w:cstheme="minorHAnsi"/>
          <w:color w:val="000000"/>
          <w:lang w:val="fr-CA"/>
        </w:rPr>
        <w:t xml:space="preserve"> </w:t>
      </w:r>
      <w:r w:rsidR="00B200C1" w:rsidRPr="00B97810">
        <w:rPr>
          <w:lang w:val="fr-CA"/>
        </w:rPr>
        <w:t xml:space="preserve">dans le </w:t>
      </w:r>
      <w:r w:rsidR="00093642">
        <w:rPr>
          <w:lang w:val="fr-CA"/>
        </w:rPr>
        <w:t>système</w:t>
      </w:r>
      <w:r w:rsidR="00093642" w:rsidRPr="004E2CCD">
        <w:rPr>
          <w:lang w:val="fr-CA"/>
        </w:rPr>
        <w:t xml:space="preserve"> de </w:t>
      </w:r>
      <w:r w:rsidR="00B200C1" w:rsidRPr="00B97810">
        <w:rPr>
          <w:lang w:val="fr-CA"/>
        </w:rPr>
        <w:t>justice pénale</w:t>
      </w:r>
      <w:r w:rsidR="00B549D7" w:rsidRPr="00A317D7">
        <w:rPr>
          <w:rStyle w:val="EndnoteReference"/>
          <w:rFonts w:cstheme="minorHAnsi"/>
          <w:color w:val="000000"/>
          <w:lang w:val="fr-CA"/>
        </w:rPr>
        <w:endnoteReference w:id="23"/>
      </w:r>
      <w:r>
        <w:rPr>
          <w:rFonts w:cstheme="minorHAnsi"/>
          <w:color w:val="000000"/>
          <w:lang w:val="fr-CA"/>
        </w:rPr>
        <w:t>.</w:t>
      </w:r>
      <w:r w:rsidR="00B549D7" w:rsidRPr="00B97810">
        <w:rPr>
          <w:rFonts w:cstheme="minorHAnsi"/>
          <w:color w:val="000000"/>
          <w:lang w:val="fr-CA"/>
        </w:rPr>
        <w:t xml:space="preserve"> </w:t>
      </w:r>
    </w:p>
    <w:p w14:paraId="35AFF0FC" w14:textId="3D297BA2" w:rsidR="00B549D7" w:rsidRPr="00A317D7" w:rsidRDefault="00BE1104" w:rsidP="00BE1104">
      <w:pPr>
        <w:pStyle w:val="ListParagraph"/>
        <w:numPr>
          <w:ilvl w:val="0"/>
          <w:numId w:val="17"/>
        </w:numPr>
        <w:rPr>
          <w:b/>
          <w:bCs/>
          <w:lang w:val="fr-CA"/>
        </w:rPr>
      </w:pPr>
      <w:r>
        <w:rPr>
          <w:b/>
          <w:bCs/>
          <w:lang w:val="fr-CA"/>
        </w:rPr>
        <w:lastRenderedPageBreak/>
        <w:t>C</w:t>
      </w:r>
      <w:r w:rsidRPr="00BE1104">
        <w:rPr>
          <w:b/>
          <w:bCs/>
          <w:lang w:val="fr-CA"/>
        </w:rPr>
        <w:t xml:space="preserve">ommunication </w:t>
      </w:r>
      <w:r w:rsidR="005E508D" w:rsidRPr="005E508D">
        <w:rPr>
          <w:b/>
          <w:bCs/>
          <w:lang w:val="fr-CA"/>
        </w:rPr>
        <w:t>d’information</w:t>
      </w:r>
      <w:r w:rsidR="005E508D">
        <w:rPr>
          <w:b/>
          <w:bCs/>
          <w:lang w:val="fr-CA"/>
        </w:rPr>
        <w:t>s</w:t>
      </w:r>
      <w:r w:rsidR="005E508D" w:rsidRPr="005E508D">
        <w:rPr>
          <w:b/>
          <w:bCs/>
          <w:lang w:val="fr-CA"/>
        </w:rPr>
        <w:t xml:space="preserve"> </w:t>
      </w:r>
      <w:r w:rsidR="00331AAB">
        <w:rPr>
          <w:b/>
          <w:bCs/>
          <w:lang w:val="fr-CA"/>
        </w:rPr>
        <w:t>et transparence</w:t>
      </w:r>
    </w:p>
    <w:p w14:paraId="18995DBD" w14:textId="6924C5A4" w:rsidR="00B549D7" w:rsidRPr="005E508D" w:rsidRDefault="005E508D" w:rsidP="00764E4B">
      <w:pPr>
        <w:rPr>
          <w:lang w:val="fr-CA"/>
        </w:rPr>
      </w:pPr>
      <w:r w:rsidRPr="005E508D">
        <w:rPr>
          <w:lang w:val="fr-CA"/>
        </w:rPr>
        <w:t>Les systèmes d</w:t>
      </w:r>
      <w:r w:rsidR="00C62E0C">
        <w:rPr>
          <w:lang w:val="fr-CA"/>
        </w:rPr>
        <w:t>’</w:t>
      </w:r>
      <w:r w:rsidRPr="005E508D">
        <w:rPr>
          <w:lang w:val="fr-CA"/>
        </w:rPr>
        <w:t xml:space="preserve">IA </w:t>
      </w:r>
      <w:r w:rsidR="00B200C1">
        <w:rPr>
          <w:lang w:val="fr-CA"/>
        </w:rPr>
        <w:t xml:space="preserve">dans le </w:t>
      </w:r>
      <w:r w:rsidR="00093642">
        <w:rPr>
          <w:lang w:val="fr-CA"/>
        </w:rPr>
        <w:t>système</w:t>
      </w:r>
      <w:r w:rsidR="00093642" w:rsidRPr="004E2CCD">
        <w:rPr>
          <w:lang w:val="fr-CA"/>
        </w:rPr>
        <w:t xml:space="preserve"> de </w:t>
      </w:r>
      <w:r w:rsidRPr="005E508D">
        <w:rPr>
          <w:lang w:val="fr-CA"/>
        </w:rPr>
        <w:t xml:space="preserve">justice pénale sont souvent critiqués pour leur manque </w:t>
      </w:r>
      <w:r w:rsidR="00BE1104">
        <w:rPr>
          <w:lang w:val="fr-CA"/>
        </w:rPr>
        <w:t xml:space="preserve">de communication </w:t>
      </w:r>
      <w:r w:rsidRPr="005E508D">
        <w:rPr>
          <w:lang w:val="fr-CA"/>
        </w:rPr>
        <w:t>et de transparence, notamment</w:t>
      </w:r>
      <w:r w:rsidR="00B549D7" w:rsidRPr="00A317D7">
        <w:rPr>
          <w:rStyle w:val="EndnoteReference"/>
          <w:lang w:val="fr-CA"/>
        </w:rPr>
        <w:endnoteReference w:id="24"/>
      </w:r>
      <w:r>
        <w:rPr>
          <w:rStyle w:val="EndnoteReference"/>
          <w:vertAlign w:val="baseline"/>
          <w:lang w:val="fr-CA"/>
        </w:rPr>
        <w:t> </w:t>
      </w:r>
      <w:r>
        <w:rPr>
          <w:lang w:val="fr-CA"/>
        </w:rPr>
        <w:t>:</w:t>
      </w:r>
      <w:r w:rsidR="00B549D7" w:rsidRPr="005E508D">
        <w:rPr>
          <w:lang w:val="fr-CA"/>
        </w:rPr>
        <w:t xml:space="preserve"> </w:t>
      </w:r>
    </w:p>
    <w:p w14:paraId="6C129A25" w14:textId="509B6116" w:rsidR="005E508D" w:rsidRPr="005E508D" w:rsidRDefault="005E508D" w:rsidP="005E508D">
      <w:pPr>
        <w:pStyle w:val="ListParagraph"/>
        <w:numPr>
          <w:ilvl w:val="0"/>
          <w:numId w:val="15"/>
        </w:numPr>
        <w:rPr>
          <w:lang w:val="fr-CA"/>
        </w:rPr>
      </w:pPr>
      <w:r w:rsidRPr="005E508D">
        <w:rPr>
          <w:lang w:val="fr-CA"/>
        </w:rPr>
        <w:t xml:space="preserve">Absence </w:t>
      </w:r>
      <w:r w:rsidR="00BE1104">
        <w:rPr>
          <w:lang w:val="fr-CA"/>
        </w:rPr>
        <w:t xml:space="preserve">de communication </w:t>
      </w:r>
      <w:r w:rsidRPr="005E508D">
        <w:rPr>
          <w:lang w:val="fr-CA"/>
        </w:rPr>
        <w:t>sur l</w:t>
      </w:r>
      <w:r w:rsidR="00C62E0C">
        <w:rPr>
          <w:lang w:val="fr-CA"/>
        </w:rPr>
        <w:t>’</w:t>
      </w:r>
      <w:r w:rsidRPr="005E508D">
        <w:rPr>
          <w:lang w:val="fr-CA"/>
        </w:rPr>
        <w:t>existence d</w:t>
      </w:r>
      <w:r w:rsidR="00C62E0C">
        <w:rPr>
          <w:lang w:val="fr-CA"/>
        </w:rPr>
        <w:t>’</w:t>
      </w:r>
      <w:r w:rsidRPr="005E508D">
        <w:rPr>
          <w:lang w:val="fr-CA"/>
        </w:rPr>
        <w:t>un système d</w:t>
      </w:r>
      <w:r w:rsidR="00C62E0C">
        <w:rPr>
          <w:lang w:val="fr-CA"/>
        </w:rPr>
        <w:t>’</w:t>
      </w:r>
      <w:r w:rsidRPr="005E508D">
        <w:rPr>
          <w:lang w:val="fr-CA"/>
        </w:rPr>
        <w:t>IA en général ou à la personne concernée.</w:t>
      </w:r>
    </w:p>
    <w:p w14:paraId="20B076D4" w14:textId="374C3E39" w:rsidR="005E508D" w:rsidRPr="005E508D" w:rsidRDefault="005E508D" w:rsidP="007F5D5C">
      <w:pPr>
        <w:pStyle w:val="ListParagraph"/>
        <w:numPr>
          <w:ilvl w:val="0"/>
          <w:numId w:val="15"/>
        </w:numPr>
        <w:rPr>
          <w:lang w:val="fr-CA"/>
        </w:rPr>
      </w:pPr>
      <w:r w:rsidRPr="005E508D">
        <w:rPr>
          <w:lang w:val="fr-CA"/>
        </w:rPr>
        <w:t xml:space="preserve">Absence </w:t>
      </w:r>
      <w:r w:rsidR="00BE1104">
        <w:rPr>
          <w:lang w:val="fr-CA"/>
        </w:rPr>
        <w:t xml:space="preserve">de communication </w:t>
      </w:r>
      <w:r w:rsidRPr="005E508D">
        <w:rPr>
          <w:lang w:val="fr-CA"/>
        </w:rPr>
        <w:t>sur les éléments clés d</w:t>
      </w:r>
      <w:r w:rsidR="00C62E0C">
        <w:rPr>
          <w:lang w:val="fr-CA"/>
        </w:rPr>
        <w:t>’</w:t>
      </w:r>
      <w:r w:rsidRPr="005E508D">
        <w:rPr>
          <w:lang w:val="fr-CA"/>
        </w:rPr>
        <w:t>un système d</w:t>
      </w:r>
      <w:r w:rsidR="00C62E0C">
        <w:rPr>
          <w:lang w:val="fr-CA"/>
        </w:rPr>
        <w:t>’</w:t>
      </w:r>
      <w:r w:rsidRPr="005E508D">
        <w:rPr>
          <w:lang w:val="fr-CA"/>
        </w:rPr>
        <w:t xml:space="preserve">IA, tels que ses </w:t>
      </w:r>
      <w:r w:rsidR="007F5D5C" w:rsidRPr="007F5D5C">
        <w:rPr>
          <w:lang w:val="fr-CA"/>
        </w:rPr>
        <w:t>données d</w:t>
      </w:r>
      <w:r w:rsidR="007F5D5C">
        <w:rPr>
          <w:lang w:val="fr-CA"/>
        </w:rPr>
        <w:t>’</w:t>
      </w:r>
      <w:r w:rsidR="007F5D5C" w:rsidRPr="007F5D5C">
        <w:rPr>
          <w:lang w:val="fr-CA"/>
        </w:rPr>
        <w:t>apprentissage</w:t>
      </w:r>
      <w:r w:rsidRPr="005E508D">
        <w:rPr>
          <w:lang w:val="fr-CA"/>
        </w:rPr>
        <w:t>.</w:t>
      </w:r>
    </w:p>
    <w:p w14:paraId="0C9D8780" w14:textId="7B070A15" w:rsidR="00B549D7" w:rsidRPr="00A317D7" w:rsidRDefault="005E508D" w:rsidP="005E508D">
      <w:pPr>
        <w:pStyle w:val="ListParagraph"/>
        <w:numPr>
          <w:ilvl w:val="0"/>
          <w:numId w:val="15"/>
        </w:numPr>
        <w:rPr>
          <w:lang w:val="fr-CA"/>
        </w:rPr>
      </w:pPr>
      <w:r w:rsidRPr="005E508D">
        <w:rPr>
          <w:lang w:val="fr-CA"/>
        </w:rPr>
        <w:t xml:space="preserve">Absence </w:t>
      </w:r>
      <w:r w:rsidR="00BE1104">
        <w:rPr>
          <w:lang w:val="fr-CA"/>
        </w:rPr>
        <w:t xml:space="preserve">de communication </w:t>
      </w:r>
      <w:r w:rsidRPr="005E508D">
        <w:rPr>
          <w:lang w:val="fr-CA"/>
        </w:rPr>
        <w:t>sur la manière dont un système d</w:t>
      </w:r>
      <w:r w:rsidR="00C62E0C">
        <w:rPr>
          <w:lang w:val="fr-CA"/>
        </w:rPr>
        <w:t>’</w:t>
      </w:r>
      <w:r w:rsidRPr="005E508D">
        <w:rPr>
          <w:lang w:val="fr-CA"/>
        </w:rPr>
        <w:t xml:space="preserve">IA prend </w:t>
      </w:r>
      <w:r w:rsidR="00BE1104">
        <w:rPr>
          <w:lang w:val="fr-CA"/>
        </w:rPr>
        <w:t>d</w:t>
      </w:r>
      <w:r w:rsidRPr="005E508D">
        <w:rPr>
          <w:lang w:val="fr-CA"/>
        </w:rPr>
        <w:t>es décisions</w:t>
      </w:r>
      <w:r w:rsidR="00B549D7" w:rsidRPr="00A317D7">
        <w:rPr>
          <w:lang w:val="fr-CA"/>
        </w:rPr>
        <w:t>.</w:t>
      </w:r>
      <w:r w:rsidR="00BE6D0C" w:rsidRPr="00A317D7">
        <w:rPr>
          <w:lang w:val="fr-CA"/>
        </w:rPr>
        <w:t xml:space="preserve"> </w:t>
      </w:r>
    </w:p>
    <w:p w14:paraId="1263FFB6" w14:textId="171AA093" w:rsidR="00B549D7" w:rsidRPr="00A317D7" w:rsidRDefault="005E508D" w:rsidP="00764E4B">
      <w:pPr>
        <w:rPr>
          <w:lang w:val="fr-CA"/>
        </w:rPr>
      </w:pPr>
      <w:r w:rsidRPr="005E508D">
        <w:rPr>
          <w:lang w:val="fr-CA"/>
        </w:rPr>
        <w:t>L</w:t>
      </w:r>
      <w:r w:rsidR="00C62E0C">
        <w:rPr>
          <w:lang w:val="fr-CA"/>
        </w:rPr>
        <w:t>’</w:t>
      </w:r>
      <w:r w:rsidRPr="005E508D">
        <w:rPr>
          <w:lang w:val="fr-CA"/>
        </w:rPr>
        <w:t xml:space="preserve">utilisation de Clearview AI par la GRC est la controverse la plus connue au Canada en matière </w:t>
      </w:r>
      <w:r w:rsidR="00BE1104">
        <w:rPr>
          <w:lang w:val="fr-CA"/>
        </w:rPr>
        <w:t xml:space="preserve">de communication </w:t>
      </w:r>
      <w:r w:rsidRPr="005E508D">
        <w:rPr>
          <w:lang w:val="fr-CA"/>
        </w:rPr>
        <w:t>d</w:t>
      </w:r>
      <w:r w:rsidR="00C62E0C">
        <w:rPr>
          <w:lang w:val="fr-CA"/>
        </w:rPr>
        <w:t>’</w:t>
      </w:r>
      <w:r w:rsidRPr="005E508D">
        <w:rPr>
          <w:lang w:val="fr-CA"/>
        </w:rPr>
        <w:t>informations relatives à l</w:t>
      </w:r>
      <w:r w:rsidR="00C62E0C">
        <w:rPr>
          <w:lang w:val="fr-CA"/>
        </w:rPr>
        <w:t>’</w:t>
      </w:r>
      <w:r w:rsidRPr="005E508D">
        <w:rPr>
          <w:lang w:val="fr-CA"/>
        </w:rPr>
        <w:t>IA</w:t>
      </w:r>
      <w:r w:rsidR="00B549D7" w:rsidRPr="00A317D7">
        <w:rPr>
          <w:rStyle w:val="EndnoteReference"/>
          <w:lang w:val="fr-CA"/>
        </w:rPr>
        <w:endnoteReference w:id="25"/>
      </w:r>
      <w:r>
        <w:rPr>
          <w:lang w:val="fr-CA"/>
        </w:rPr>
        <w:t>.</w:t>
      </w:r>
      <w:r w:rsidR="00B549D7" w:rsidRPr="00A317D7">
        <w:rPr>
          <w:lang w:val="fr-CA"/>
        </w:rPr>
        <w:t xml:space="preserve"> </w:t>
      </w:r>
    </w:p>
    <w:p w14:paraId="0D58145C" w14:textId="5D9760D2" w:rsidR="00B549D7" w:rsidRPr="00C20DA6" w:rsidRDefault="00B549D7" w:rsidP="00965500">
      <w:pPr>
        <w:pStyle w:val="ListParagraph"/>
        <w:numPr>
          <w:ilvl w:val="0"/>
          <w:numId w:val="17"/>
        </w:numPr>
        <w:spacing w:before="100" w:beforeAutospacing="1"/>
        <w:rPr>
          <w:b/>
          <w:bCs/>
          <w:lang w:val="fr-CA"/>
        </w:rPr>
      </w:pPr>
      <w:r w:rsidRPr="00C20DA6">
        <w:rPr>
          <w:b/>
          <w:bCs/>
          <w:lang w:val="fr-CA"/>
        </w:rPr>
        <w:t>Opacit</w:t>
      </w:r>
      <w:r w:rsidR="00331AAB" w:rsidRPr="00C20DA6">
        <w:rPr>
          <w:b/>
          <w:bCs/>
          <w:lang w:val="fr-CA"/>
        </w:rPr>
        <w:t>é</w:t>
      </w:r>
      <w:r w:rsidRPr="00C20DA6">
        <w:rPr>
          <w:b/>
          <w:bCs/>
          <w:lang w:val="fr-CA"/>
        </w:rPr>
        <w:t>/</w:t>
      </w:r>
      <w:r w:rsidR="00331AAB" w:rsidRPr="00C20DA6">
        <w:rPr>
          <w:b/>
          <w:bCs/>
          <w:lang w:val="fr-CA"/>
        </w:rPr>
        <w:t>Manque d’explications</w:t>
      </w:r>
      <w:r w:rsidRPr="00C20DA6">
        <w:rPr>
          <w:b/>
          <w:bCs/>
          <w:lang w:val="fr-CA"/>
        </w:rPr>
        <w:t xml:space="preserve"> </w:t>
      </w:r>
    </w:p>
    <w:p w14:paraId="110B020A" w14:textId="76672E97" w:rsidR="00B549D7" w:rsidRPr="005E508D" w:rsidRDefault="005E508D" w:rsidP="00737BF9">
      <w:pPr>
        <w:rPr>
          <w:lang w:val="fr-CA"/>
        </w:rPr>
      </w:pPr>
      <w:r w:rsidRPr="005E508D">
        <w:rPr>
          <w:rFonts w:eastAsia="Calibri"/>
          <w:bCs/>
          <w:lang w:val="fr-CA"/>
        </w:rPr>
        <w:t>Les systèmes d</w:t>
      </w:r>
      <w:r w:rsidR="00C62E0C">
        <w:rPr>
          <w:rFonts w:eastAsia="Calibri"/>
          <w:bCs/>
          <w:lang w:val="fr-CA"/>
        </w:rPr>
        <w:t>’</w:t>
      </w:r>
      <w:r w:rsidRPr="005E508D">
        <w:rPr>
          <w:rFonts w:eastAsia="Calibri"/>
          <w:bCs/>
          <w:lang w:val="fr-CA"/>
        </w:rPr>
        <w:t xml:space="preserve">IA </w:t>
      </w:r>
      <w:r w:rsidR="007F5D5C" w:rsidRPr="007F5D5C">
        <w:rPr>
          <w:rFonts w:eastAsia="Calibri"/>
          <w:bCs/>
          <w:lang w:val="fr-CA"/>
        </w:rPr>
        <w:t xml:space="preserve">dans le </w:t>
      </w:r>
      <w:r w:rsidR="00093642">
        <w:rPr>
          <w:lang w:val="fr-CA"/>
        </w:rPr>
        <w:t>système</w:t>
      </w:r>
      <w:r w:rsidR="00093642" w:rsidRPr="004E2CCD">
        <w:rPr>
          <w:lang w:val="fr-CA"/>
        </w:rPr>
        <w:t xml:space="preserve"> de </w:t>
      </w:r>
      <w:r w:rsidR="007F5D5C" w:rsidRPr="007F5D5C">
        <w:rPr>
          <w:rFonts w:eastAsia="Calibri"/>
          <w:bCs/>
          <w:lang w:val="fr-CA"/>
        </w:rPr>
        <w:t xml:space="preserve">justice pénale </w:t>
      </w:r>
      <w:r w:rsidRPr="005E508D">
        <w:rPr>
          <w:rFonts w:eastAsia="Calibri"/>
          <w:bCs/>
          <w:lang w:val="fr-CA"/>
        </w:rPr>
        <w:t>peuvent intégrer dans leur code un ensemble complexe de décisions juridiques, techniques, statistiques et opérationnelles. La complexité et l</w:t>
      </w:r>
      <w:r w:rsidR="00C62E0C">
        <w:rPr>
          <w:rFonts w:eastAsia="Calibri"/>
          <w:bCs/>
          <w:lang w:val="fr-CA"/>
        </w:rPr>
        <w:t>’</w:t>
      </w:r>
      <w:r w:rsidRPr="005E508D">
        <w:rPr>
          <w:rFonts w:eastAsia="Calibri"/>
          <w:bCs/>
          <w:lang w:val="fr-CA"/>
        </w:rPr>
        <w:t>opacité des outils d</w:t>
      </w:r>
      <w:r w:rsidR="00C62E0C">
        <w:rPr>
          <w:rFonts w:eastAsia="Calibri"/>
          <w:bCs/>
          <w:lang w:val="fr-CA"/>
        </w:rPr>
        <w:t>’</w:t>
      </w:r>
      <w:r w:rsidRPr="005E508D">
        <w:rPr>
          <w:rFonts w:eastAsia="Calibri"/>
          <w:bCs/>
          <w:lang w:val="fr-CA"/>
        </w:rPr>
        <w:t>IA peuvent rendre les décisions assistées par l</w:t>
      </w:r>
      <w:r w:rsidR="00C62E0C">
        <w:rPr>
          <w:rFonts w:eastAsia="Calibri"/>
          <w:bCs/>
          <w:lang w:val="fr-CA"/>
        </w:rPr>
        <w:t>’</w:t>
      </w:r>
      <w:r w:rsidRPr="005E508D">
        <w:rPr>
          <w:rFonts w:eastAsia="Calibri"/>
          <w:bCs/>
          <w:lang w:val="fr-CA"/>
        </w:rPr>
        <w:t>IA «</w:t>
      </w:r>
      <w:r>
        <w:rPr>
          <w:rFonts w:eastAsia="Calibri"/>
          <w:bCs/>
          <w:lang w:val="fr-CA"/>
        </w:rPr>
        <w:t> </w:t>
      </w:r>
      <w:r w:rsidRPr="005E508D">
        <w:rPr>
          <w:rFonts w:eastAsia="Calibri"/>
          <w:bCs/>
          <w:lang w:val="fr-CA"/>
        </w:rPr>
        <w:t>encore plus impénétrables que les jugements humains</w:t>
      </w:r>
      <w:r>
        <w:rPr>
          <w:rFonts w:eastAsia="Calibri"/>
          <w:bCs/>
          <w:lang w:val="fr-CA"/>
        </w:rPr>
        <w:t> </w:t>
      </w:r>
      <w:r w:rsidRPr="005E508D">
        <w:rPr>
          <w:rFonts w:eastAsia="Calibri"/>
          <w:bCs/>
          <w:lang w:val="fr-CA"/>
        </w:rPr>
        <w:t>»</w:t>
      </w:r>
      <w:r w:rsidR="00B549D7" w:rsidRPr="00A317D7">
        <w:rPr>
          <w:rFonts w:eastAsia="Calibri"/>
          <w:vertAlign w:val="superscript"/>
          <w:lang w:val="fr-CA"/>
        </w:rPr>
        <w:endnoteReference w:id="26"/>
      </w:r>
      <w:r>
        <w:rPr>
          <w:rFonts w:eastAsia="Calibri"/>
          <w:bCs/>
          <w:lang w:val="fr-CA"/>
        </w:rPr>
        <w:t>.</w:t>
      </w:r>
      <w:r w:rsidR="00B549D7" w:rsidRPr="005E508D">
        <w:rPr>
          <w:rFonts w:eastAsia="Calibri"/>
          <w:lang w:val="fr-CA"/>
        </w:rPr>
        <w:t xml:space="preserve"> </w:t>
      </w:r>
      <w:r w:rsidRPr="005E508D">
        <w:rPr>
          <w:rFonts w:eastAsia="Calibri"/>
          <w:lang w:val="fr-CA"/>
        </w:rPr>
        <w:t>En conséquence, même les systèmes algorithmiques simples peuvent devenir des «</w:t>
      </w:r>
      <w:r w:rsidR="0023507F">
        <w:rPr>
          <w:rFonts w:eastAsia="Calibri"/>
          <w:lang w:val="fr-CA"/>
        </w:rPr>
        <w:t> </w:t>
      </w:r>
      <w:r w:rsidRPr="005E508D">
        <w:rPr>
          <w:rFonts w:eastAsia="Calibri"/>
          <w:lang w:val="fr-CA"/>
        </w:rPr>
        <w:t>bo</w:t>
      </w:r>
      <w:r w:rsidR="007C7B36">
        <w:rPr>
          <w:rFonts w:eastAsia="Calibri"/>
          <w:lang w:val="fr-CA"/>
        </w:rPr>
        <w:t>i</w:t>
      </w:r>
      <w:r w:rsidRPr="005E508D">
        <w:rPr>
          <w:rFonts w:eastAsia="Calibri"/>
          <w:lang w:val="fr-CA"/>
        </w:rPr>
        <w:t>tes noires</w:t>
      </w:r>
      <w:r>
        <w:rPr>
          <w:rFonts w:eastAsia="Calibri"/>
          <w:bCs/>
          <w:lang w:val="fr-CA"/>
        </w:rPr>
        <w:t> »</w:t>
      </w:r>
      <w:r w:rsidR="007F5D5C">
        <w:rPr>
          <w:rFonts w:eastAsia="Calibri"/>
          <w:bCs/>
          <w:lang w:val="fr-CA"/>
        </w:rPr>
        <w:t>.</w:t>
      </w:r>
      <w:r w:rsidR="00B549D7" w:rsidRPr="005E508D">
        <w:rPr>
          <w:lang w:val="fr-CA"/>
        </w:rPr>
        <w:t xml:space="preserve"> </w:t>
      </w:r>
    </w:p>
    <w:p w14:paraId="24EE795E" w14:textId="7844162C" w:rsidR="00B549D7" w:rsidRPr="00331AAB" w:rsidRDefault="00331AAB" w:rsidP="00965500">
      <w:pPr>
        <w:pStyle w:val="ListParagraph"/>
        <w:numPr>
          <w:ilvl w:val="0"/>
          <w:numId w:val="17"/>
        </w:numPr>
        <w:spacing w:before="100" w:beforeAutospacing="1" w:after="0"/>
        <w:rPr>
          <w:b/>
          <w:bCs/>
          <w:lang w:val="fr-CA"/>
        </w:rPr>
      </w:pPr>
      <w:r w:rsidRPr="00331AAB">
        <w:rPr>
          <w:b/>
          <w:bCs/>
          <w:lang w:val="fr-CA"/>
        </w:rPr>
        <w:t>Exactitude</w:t>
      </w:r>
      <w:r w:rsidR="00B549D7" w:rsidRPr="00331AAB">
        <w:rPr>
          <w:b/>
          <w:bCs/>
          <w:lang w:val="fr-CA"/>
        </w:rPr>
        <w:t xml:space="preserve">, </w:t>
      </w:r>
      <w:r w:rsidRPr="00331AAB">
        <w:rPr>
          <w:b/>
          <w:bCs/>
          <w:lang w:val="fr-CA"/>
        </w:rPr>
        <w:t>fiabilité et validité des données</w:t>
      </w:r>
      <w:r w:rsidR="00B549D7" w:rsidRPr="00331AAB">
        <w:rPr>
          <w:b/>
          <w:bCs/>
          <w:lang w:val="fr-CA"/>
        </w:rPr>
        <w:t xml:space="preserve"> </w:t>
      </w:r>
    </w:p>
    <w:p w14:paraId="36BE35FA" w14:textId="77777777" w:rsidR="00B549D7" w:rsidRPr="00331AAB" w:rsidRDefault="00B549D7" w:rsidP="009E0F67">
      <w:pPr>
        <w:spacing w:after="0"/>
        <w:rPr>
          <w:rStyle w:val="BodyTextChar"/>
          <w:lang w:val="fr-CA"/>
        </w:rPr>
      </w:pPr>
    </w:p>
    <w:p w14:paraId="6A9D62B7" w14:textId="096A1FE4" w:rsidR="00B549D7" w:rsidRPr="00A317D7" w:rsidRDefault="0023507F" w:rsidP="008510CA">
      <w:pPr>
        <w:spacing w:after="0"/>
        <w:rPr>
          <w:rFonts w:cstheme="minorHAnsi"/>
          <w:lang w:val="fr-CA"/>
        </w:rPr>
      </w:pPr>
      <w:r w:rsidRPr="0023507F">
        <w:rPr>
          <w:rFonts w:cstheme="minorHAnsi"/>
          <w:lang w:val="fr-CA"/>
        </w:rPr>
        <w:t xml:space="preserve">La </w:t>
      </w:r>
      <w:r w:rsidR="00B02437">
        <w:rPr>
          <w:rFonts w:cstheme="minorHAnsi"/>
          <w:lang w:val="fr-CA"/>
        </w:rPr>
        <w:t>T</w:t>
      </w:r>
      <w:r w:rsidRPr="0023507F">
        <w:rPr>
          <w:rFonts w:cstheme="minorHAnsi"/>
          <w:lang w:val="fr-CA"/>
        </w:rPr>
        <w:t>RF, le maintien de l</w:t>
      </w:r>
      <w:r w:rsidR="00C62E0C">
        <w:rPr>
          <w:rFonts w:cstheme="minorHAnsi"/>
          <w:lang w:val="fr-CA"/>
        </w:rPr>
        <w:t>’</w:t>
      </w:r>
      <w:r w:rsidRPr="0023507F">
        <w:rPr>
          <w:rFonts w:cstheme="minorHAnsi"/>
          <w:lang w:val="fr-CA"/>
        </w:rPr>
        <w:t>ordre prédictif et d</w:t>
      </w:r>
      <w:r w:rsidR="00C62E0C">
        <w:rPr>
          <w:rFonts w:cstheme="minorHAnsi"/>
          <w:lang w:val="fr-CA"/>
        </w:rPr>
        <w:t>’</w:t>
      </w:r>
      <w:r w:rsidRPr="0023507F">
        <w:rPr>
          <w:rFonts w:cstheme="minorHAnsi"/>
          <w:lang w:val="fr-CA"/>
        </w:rPr>
        <w:t>autres systèmes d</w:t>
      </w:r>
      <w:r w:rsidR="00C62E0C">
        <w:rPr>
          <w:rFonts w:cstheme="minorHAnsi"/>
          <w:lang w:val="fr-CA"/>
        </w:rPr>
        <w:t>’</w:t>
      </w:r>
      <w:r w:rsidRPr="0023507F">
        <w:rPr>
          <w:rFonts w:cstheme="minorHAnsi"/>
          <w:lang w:val="fr-CA"/>
        </w:rPr>
        <w:t xml:space="preserve">IA utilisés </w:t>
      </w:r>
      <w:r w:rsidR="007C7B36" w:rsidRPr="007C7B36">
        <w:rPr>
          <w:rFonts w:cstheme="minorHAnsi"/>
          <w:lang w:val="fr-CA"/>
        </w:rPr>
        <w:t xml:space="preserve">dans le </w:t>
      </w:r>
      <w:r w:rsidR="00093642">
        <w:rPr>
          <w:lang w:val="fr-CA"/>
        </w:rPr>
        <w:t>système</w:t>
      </w:r>
      <w:r w:rsidR="00093642" w:rsidRPr="004E2CCD">
        <w:rPr>
          <w:lang w:val="fr-CA"/>
        </w:rPr>
        <w:t xml:space="preserve"> de </w:t>
      </w:r>
      <w:r w:rsidR="007C7B36" w:rsidRPr="007C7B36">
        <w:rPr>
          <w:rFonts w:cstheme="minorHAnsi"/>
          <w:lang w:val="fr-CA"/>
        </w:rPr>
        <w:t xml:space="preserve">justice pénale </w:t>
      </w:r>
      <w:r w:rsidRPr="0023507F">
        <w:rPr>
          <w:rFonts w:cstheme="minorHAnsi"/>
          <w:lang w:val="fr-CA"/>
        </w:rPr>
        <w:t>ont fait l</w:t>
      </w:r>
      <w:r w:rsidR="00C62E0C">
        <w:rPr>
          <w:rFonts w:cstheme="minorHAnsi"/>
          <w:lang w:val="fr-CA"/>
        </w:rPr>
        <w:t>’</w:t>
      </w:r>
      <w:r w:rsidRPr="0023507F">
        <w:rPr>
          <w:rFonts w:cstheme="minorHAnsi"/>
          <w:lang w:val="fr-CA"/>
        </w:rPr>
        <w:t>objet de vives critiques quant à l</w:t>
      </w:r>
      <w:r w:rsidR="00C62E0C">
        <w:rPr>
          <w:rFonts w:cstheme="minorHAnsi"/>
          <w:lang w:val="fr-CA"/>
        </w:rPr>
        <w:t>’</w:t>
      </w:r>
      <w:r w:rsidRPr="0023507F">
        <w:rPr>
          <w:rFonts w:cstheme="minorHAnsi"/>
          <w:lang w:val="fr-CA"/>
        </w:rPr>
        <w:t xml:space="preserve">exactitude, </w:t>
      </w:r>
      <w:r w:rsidR="00662089">
        <w:rPr>
          <w:rFonts w:cstheme="minorHAnsi"/>
          <w:lang w:val="fr-CA"/>
        </w:rPr>
        <w:t xml:space="preserve">à </w:t>
      </w:r>
      <w:r w:rsidRPr="0023507F">
        <w:rPr>
          <w:rFonts w:cstheme="minorHAnsi"/>
          <w:lang w:val="fr-CA"/>
        </w:rPr>
        <w:t xml:space="preserve">la fiabilité et </w:t>
      </w:r>
      <w:r w:rsidR="00662089">
        <w:rPr>
          <w:rFonts w:cstheme="minorHAnsi"/>
          <w:lang w:val="fr-CA"/>
        </w:rPr>
        <w:t xml:space="preserve">à </w:t>
      </w:r>
      <w:r w:rsidRPr="0023507F">
        <w:rPr>
          <w:rFonts w:cstheme="minorHAnsi"/>
          <w:lang w:val="fr-CA"/>
        </w:rPr>
        <w:t xml:space="preserve">la validité des données utilisées pour leur </w:t>
      </w:r>
      <w:r w:rsidR="007C7B36">
        <w:rPr>
          <w:rFonts w:cstheme="minorHAnsi"/>
          <w:lang w:val="fr-CA"/>
        </w:rPr>
        <w:t>apprentissage</w:t>
      </w:r>
      <w:r w:rsidR="00B549D7" w:rsidRPr="00A317D7">
        <w:rPr>
          <w:rStyle w:val="EndnoteReference"/>
          <w:rFonts w:cstheme="minorHAnsi"/>
          <w:lang w:val="fr-CA"/>
        </w:rPr>
        <w:endnoteReference w:id="27"/>
      </w:r>
      <w:r>
        <w:rPr>
          <w:rFonts w:cstheme="minorHAnsi"/>
          <w:lang w:val="fr-CA"/>
        </w:rPr>
        <w:t>.</w:t>
      </w:r>
      <w:r w:rsidR="00BE6D0C" w:rsidRPr="00A317D7">
        <w:rPr>
          <w:rFonts w:cstheme="minorHAnsi"/>
          <w:lang w:val="fr-CA"/>
        </w:rPr>
        <w:t xml:space="preserve"> </w:t>
      </w:r>
    </w:p>
    <w:p w14:paraId="15B3ED77" w14:textId="77777777" w:rsidR="00B549D7" w:rsidRPr="00A317D7" w:rsidRDefault="00B549D7" w:rsidP="008510CA">
      <w:pPr>
        <w:spacing w:after="0"/>
        <w:rPr>
          <w:rFonts w:cstheme="minorHAnsi"/>
          <w:lang w:val="fr-CA"/>
        </w:rPr>
      </w:pPr>
    </w:p>
    <w:p w14:paraId="52350142" w14:textId="7A16BF6B" w:rsidR="00001339" w:rsidRPr="00A317D7" w:rsidRDefault="00331AAB" w:rsidP="00A317D7">
      <w:pPr>
        <w:pStyle w:val="ListParagraph"/>
        <w:numPr>
          <w:ilvl w:val="0"/>
          <w:numId w:val="17"/>
        </w:numPr>
        <w:spacing w:after="0"/>
        <w:rPr>
          <w:b/>
          <w:bCs/>
          <w:w w:val="105"/>
          <w:lang w:val="fr-CA"/>
        </w:rPr>
      </w:pPr>
      <w:r>
        <w:rPr>
          <w:b/>
          <w:bCs/>
          <w:w w:val="105"/>
          <w:lang w:val="fr-CA"/>
        </w:rPr>
        <w:t>Surveillance efficace</w:t>
      </w:r>
    </w:p>
    <w:p w14:paraId="075118D2" w14:textId="77777777" w:rsidR="00A20E8C" w:rsidRPr="00A317D7" w:rsidRDefault="00A20E8C" w:rsidP="00A20E8C">
      <w:pPr>
        <w:pStyle w:val="ListParagraph"/>
        <w:spacing w:after="0"/>
        <w:ind w:left="1080"/>
        <w:rPr>
          <w:b/>
          <w:bCs/>
          <w:w w:val="105"/>
          <w:lang w:val="fr-CA"/>
        </w:rPr>
      </w:pPr>
    </w:p>
    <w:p w14:paraId="06FFC884" w14:textId="0F33FA51" w:rsidR="00001339" w:rsidRPr="00A317D7" w:rsidRDefault="0023507F" w:rsidP="00001339">
      <w:pPr>
        <w:spacing w:after="0"/>
        <w:rPr>
          <w:rFonts w:eastAsia="Times New Roman" w:cstheme="minorHAnsi"/>
          <w:kern w:val="0"/>
          <w:lang w:val="fr-CA" w:eastAsia="en-CA"/>
          <w14:ligatures w14:val="none"/>
        </w:rPr>
      </w:pPr>
      <w:r w:rsidRPr="0023507F">
        <w:rPr>
          <w:rFonts w:eastAsia="Times New Roman" w:cstheme="minorHAnsi"/>
          <w:kern w:val="0"/>
          <w:lang w:val="fr-CA" w:eastAsia="en-CA"/>
          <w14:ligatures w14:val="none"/>
        </w:rPr>
        <w:t>Les systèmes d</w:t>
      </w:r>
      <w:r w:rsidR="00C62E0C">
        <w:rPr>
          <w:rFonts w:eastAsia="Times New Roman" w:cstheme="minorHAnsi"/>
          <w:kern w:val="0"/>
          <w:lang w:val="fr-CA" w:eastAsia="en-CA"/>
          <w14:ligatures w14:val="none"/>
        </w:rPr>
        <w:t>’</w:t>
      </w:r>
      <w:r w:rsidRPr="0023507F">
        <w:rPr>
          <w:rFonts w:eastAsia="Times New Roman" w:cstheme="minorHAnsi"/>
          <w:kern w:val="0"/>
          <w:lang w:val="fr-CA" w:eastAsia="en-CA"/>
          <w14:ligatures w14:val="none"/>
        </w:rPr>
        <w:t xml:space="preserve">IA </w:t>
      </w:r>
      <w:r w:rsidR="007C7B36" w:rsidRPr="007C7B36">
        <w:rPr>
          <w:rFonts w:eastAsia="Times New Roman" w:cstheme="minorHAnsi"/>
          <w:kern w:val="0"/>
          <w:lang w:val="fr-CA" w:eastAsia="en-CA"/>
          <w14:ligatures w14:val="none"/>
        </w:rPr>
        <w:t xml:space="preserve">dans le </w:t>
      </w:r>
      <w:r w:rsidR="00093642">
        <w:rPr>
          <w:lang w:val="fr-CA"/>
        </w:rPr>
        <w:t>système</w:t>
      </w:r>
      <w:r w:rsidR="00093642" w:rsidRPr="004E2CCD">
        <w:rPr>
          <w:lang w:val="fr-CA"/>
        </w:rPr>
        <w:t xml:space="preserve"> de </w:t>
      </w:r>
      <w:r w:rsidR="007C7B36" w:rsidRPr="007C7B36">
        <w:rPr>
          <w:rFonts w:eastAsia="Times New Roman" w:cstheme="minorHAnsi"/>
          <w:kern w:val="0"/>
          <w:lang w:val="fr-CA" w:eastAsia="en-CA"/>
          <w14:ligatures w14:val="none"/>
        </w:rPr>
        <w:t xml:space="preserve">justice pénale </w:t>
      </w:r>
      <w:r w:rsidRPr="0023507F">
        <w:rPr>
          <w:rFonts w:eastAsia="Times New Roman" w:cstheme="minorHAnsi"/>
          <w:kern w:val="0"/>
          <w:lang w:val="fr-CA" w:eastAsia="en-CA"/>
          <w14:ligatures w14:val="none"/>
        </w:rPr>
        <w:t>soulèvent plusieurs risques en matière de surveillance, notamment</w:t>
      </w:r>
      <w:r>
        <w:rPr>
          <w:rFonts w:eastAsia="Times New Roman" w:cstheme="minorHAnsi"/>
          <w:kern w:val="0"/>
          <w:lang w:val="fr-CA" w:eastAsia="en-CA"/>
          <w14:ligatures w14:val="none"/>
        </w:rPr>
        <w:t> </w:t>
      </w:r>
      <w:r w:rsidR="00F464D4" w:rsidRPr="00A317D7">
        <w:rPr>
          <w:rFonts w:eastAsia="Times New Roman" w:cstheme="minorHAnsi"/>
          <w:kern w:val="0"/>
          <w:lang w:val="fr-CA" w:eastAsia="en-CA"/>
          <w14:ligatures w14:val="none"/>
        </w:rPr>
        <w:t xml:space="preserve">: </w:t>
      </w:r>
    </w:p>
    <w:p w14:paraId="1DBC1665" w14:textId="77777777" w:rsidR="00001339" w:rsidRPr="00A317D7" w:rsidRDefault="00001339" w:rsidP="00001339">
      <w:pPr>
        <w:spacing w:after="0"/>
        <w:rPr>
          <w:rFonts w:eastAsia="Times New Roman" w:cstheme="minorHAnsi"/>
          <w:kern w:val="0"/>
          <w:lang w:val="fr-CA" w:eastAsia="en-CA"/>
          <w14:ligatures w14:val="none"/>
        </w:rPr>
      </w:pPr>
    </w:p>
    <w:p w14:paraId="20C7C623" w14:textId="67E0ECCC" w:rsidR="00AD6E34" w:rsidRPr="00A317D7" w:rsidRDefault="007C7B36" w:rsidP="00E81E71">
      <w:pPr>
        <w:pStyle w:val="ListParagraph"/>
        <w:numPr>
          <w:ilvl w:val="0"/>
          <w:numId w:val="23"/>
        </w:numPr>
        <w:spacing w:after="0"/>
        <w:rPr>
          <w:w w:val="105"/>
          <w:lang w:val="fr-CA"/>
        </w:rPr>
      </w:pPr>
      <w:r>
        <w:rPr>
          <w:b/>
          <w:bCs/>
          <w:w w:val="105"/>
          <w:lang w:val="fr-CA"/>
        </w:rPr>
        <w:t xml:space="preserve">Lacunes en matière </w:t>
      </w:r>
      <w:r w:rsidR="00662089">
        <w:rPr>
          <w:b/>
          <w:bCs/>
          <w:w w:val="105"/>
          <w:lang w:val="fr-CA"/>
        </w:rPr>
        <w:t>de gouvernance</w:t>
      </w:r>
      <w:r w:rsidR="00F464D4" w:rsidRPr="00A317D7">
        <w:rPr>
          <w:b/>
          <w:bCs/>
          <w:w w:val="105"/>
          <w:lang w:val="fr-CA"/>
        </w:rPr>
        <w:t xml:space="preserve">. </w:t>
      </w:r>
      <w:r w:rsidR="00662089" w:rsidRPr="00662089">
        <w:rPr>
          <w:w w:val="105"/>
          <w:lang w:val="fr-CA"/>
        </w:rPr>
        <w:t xml:space="preserve">Sans politiques juridiques claires et cohérentes </w:t>
      </w:r>
      <w:r>
        <w:rPr>
          <w:w w:val="105"/>
          <w:lang w:val="fr-CA"/>
        </w:rPr>
        <w:t xml:space="preserve">et sans </w:t>
      </w:r>
      <w:r w:rsidR="00E81E71" w:rsidRPr="00E81E71">
        <w:rPr>
          <w:w w:val="105"/>
          <w:lang w:val="fr-CA"/>
        </w:rPr>
        <w:t>barrière de protection</w:t>
      </w:r>
      <w:r w:rsidR="00662089" w:rsidRPr="00662089">
        <w:rPr>
          <w:w w:val="105"/>
          <w:lang w:val="fr-CA"/>
        </w:rPr>
        <w:t>, il pourrait y avoir des lacunes dans la responsabilité juridique de l</w:t>
      </w:r>
      <w:r w:rsidR="00C62E0C">
        <w:rPr>
          <w:w w:val="105"/>
          <w:lang w:val="fr-CA"/>
        </w:rPr>
        <w:t>’</w:t>
      </w:r>
      <w:r w:rsidR="00662089" w:rsidRPr="00662089">
        <w:rPr>
          <w:w w:val="105"/>
          <w:lang w:val="fr-CA"/>
        </w:rPr>
        <w:t>IA. Par exemple, tous les services de police ne disposeraient pas nécessairement de politiques en matière d</w:t>
      </w:r>
      <w:r w:rsidR="00C62E0C">
        <w:rPr>
          <w:w w:val="105"/>
          <w:lang w:val="fr-CA"/>
        </w:rPr>
        <w:t>’</w:t>
      </w:r>
      <w:r w:rsidR="00662089" w:rsidRPr="00662089">
        <w:rPr>
          <w:w w:val="105"/>
          <w:lang w:val="fr-CA"/>
        </w:rPr>
        <w:t>IA</w:t>
      </w:r>
      <w:r w:rsidR="00AD6E34" w:rsidRPr="00A317D7">
        <w:rPr>
          <w:w w:val="105"/>
          <w:lang w:val="fr-CA"/>
        </w:rPr>
        <w:t xml:space="preserve">. </w:t>
      </w:r>
    </w:p>
    <w:p w14:paraId="7CF01E95" w14:textId="27F2FE35" w:rsidR="00ED2E3E" w:rsidRPr="00A317D7" w:rsidRDefault="00662089" w:rsidP="00662089">
      <w:pPr>
        <w:pStyle w:val="ListParagraph"/>
        <w:numPr>
          <w:ilvl w:val="0"/>
          <w:numId w:val="23"/>
        </w:numPr>
        <w:spacing w:after="0"/>
        <w:rPr>
          <w:w w:val="105"/>
          <w:lang w:val="fr-CA"/>
        </w:rPr>
      </w:pPr>
      <w:r w:rsidRPr="00662089">
        <w:rPr>
          <w:b/>
          <w:bCs/>
          <w:w w:val="105"/>
          <w:lang w:val="fr-CA"/>
        </w:rPr>
        <w:t>Contrôle judiciaire incohérent ou incomplet</w:t>
      </w:r>
      <w:r w:rsidR="00AD6E34" w:rsidRPr="00662089">
        <w:rPr>
          <w:b/>
          <w:bCs/>
          <w:w w:val="105"/>
          <w:lang w:val="fr-CA"/>
        </w:rPr>
        <w:t xml:space="preserve">. </w:t>
      </w:r>
      <w:r w:rsidRPr="00662089">
        <w:rPr>
          <w:w w:val="105"/>
          <w:lang w:val="fr-CA"/>
        </w:rPr>
        <w:t>Faute de règles cohérentes, les tribunaux pourraient être amenés à trancher au cas par cas des questions complexes liées à l</w:t>
      </w:r>
      <w:r w:rsidR="00C62E0C">
        <w:rPr>
          <w:w w:val="105"/>
          <w:lang w:val="fr-CA"/>
        </w:rPr>
        <w:t>’</w:t>
      </w:r>
      <w:r w:rsidRPr="00662089">
        <w:rPr>
          <w:w w:val="105"/>
          <w:lang w:val="fr-CA"/>
        </w:rPr>
        <w:t>IA, ce qui risquerait d</w:t>
      </w:r>
      <w:r w:rsidR="00C62E0C">
        <w:rPr>
          <w:w w:val="105"/>
          <w:lang w:val="fr-CA"/>
        </w:rPr>
        <w:t>’</w:t>
      </w:r>
      <w:r w:rsidRPr="00662089">
        <w:rPr>
          <w:w w:val="105"/>
          <w:lang w:val="fr-CA"/>
        </w:rPr>
        <w:t>entra</w:t>
      </w:r>
      <w:r w:rsidR="007C7B36">
        <w:rPr>
          <w:w w:val="105"/>
          <w:lang w:val="fr-CA"/>
        </w:rPr>
        <w:t>i</w:t>
      </w:r>
      <w:r w:rsidRPr="00662089">
        <w:rPr>
          <w:w w:val="105"/>
          <w:lang w:val="fr-CA"/>
        </w:rPr>
        <w:t>ner une surveillance incohérente ou incomplète, des retards et une augmentation des co</w:t>
      </w:r>
      <w:r w:rsidR="007C7B36">
        <w:rPr>
          <w:w w:val="105"/>
          <w:lang w:val="fr-CA"/>
        </w:rPr>
        <w:t>u</w:t>
      </w:r>
      <w:r w:rsidRPr="00662089">
        <w:rPr>
          <w:w w:val="105"/>
          <w:lang w:val="fr-CA"/>
        </w:rPr>
        <w:t>ts liés aux litiges</w:t>
      </w:r>
      <w:r w:rsidR="00F464D4" w:rsidRPr="00A317D7">
        <w:rPr>
          <w:w w:val="105"/>
          <w:lang w:val="fr-CA"/>
        </w:rPr>
        <w:t xml:space="preserve">. </w:t>
      </w:r>
    </w:p>
    <w:p w14:paraId="43A16E25" w14:textId="5E9C6785" w:rsidR="00AD6E34" w:rsidRPr="00A317D7" w:rsidRDefault="00662089" w:rsidP="00662089">
      <w:pPr>
        <w:pStyle w:val="ListParagraph"/>
        <w:numPr>
          <w:ilvl w:val="0"/>
          <w:numId w:val="23"/>
        </w:numPr>
        <w:spacing w:after="0"/>
        <w:rPr>
          <w:w w:val="105"/>
          <w:lang w:val="fr-CA"/>
        </w:rPr>
      </w:pPr>
      <w:r w:rsidRPr="00662089">
        <w:rPr>
          <w:b/>
          <w:bCs/>
          <w:lang w:val="fr-CA"/>
        </w:rPr>
        <w:t>Perte de l</w:t>
      </w:r>
      <w:r w:rsidR="00C62E0C">
        <w:rPr>
          <w:b/>
          <w:bCs/>
          <w:lang w:val="fr-CA"/>
        </w:rPr>
        <w:t>’</w:t>
      </w:r>
      <w:r w:rsidRPr="00662089">
        <w:rPr>
          <w:b/>
          <w:bCs/>
          <w:lang w:val="fr-CA"/>
        </w:rPr>
        <w:t>indépendance judiciaire/réduction du pouvoir discrétionnaire</w:t>
      </w:r>
      <w:r w:rsidR="00ED2E3E" w:rsidRPr="00A317D7">
        <w:rPr>
          <w:b/>
          <w:bCs/>
          <w:lang w:val="fr-CA"/>
        </w:rPr>
        <w:t>.</w:t>
      </w:r>
      <w:r w:rsidR="00ED2E3E" w:rsidRPr="00A317D7">
        <w:rPr>
          <w:lang w:val="fr-CA"/>
        </w:rPr>
        <w:t xml:space="preserve"> </w:t>
      </w:r>
      <w:r w:rsidRPr="00662089">
        <w:rPr>
          <w:lang w:val="fr-CA"/>
        </w:rPr>
        <w:t>Une dépendance excessive à l</w:t>
      </w:r>
      <w:r w:rsidR="00C62E0C">
        <w:rPr>
          <w:lang w:val="fr-CA"/>
        </w:rPr>
        <w:t>’</w:t>
      </w:r>
      <w:r w:rsidRPr="00662089">
        <w:rPr>
          <w:lang w:val="fr-CA"/>
        </w:rPr>
        <w:t>égard des prédictions de l</w:t>
      </w:r>
      <w:r w:rsidR="00C62E0C">
        <w:rPr>
          <w:lang w:val="fr-CA"/>
        </w:rPr>
        <w:t>’</w:t>
      </w:r>
      <w:r w:rsidRPr="00662089">
        <w:rPr>
          <w:lang w:val="fr-CA"/>
        </w:rPr>
        <w:t>IA peut compromettre l</w:t>
      </w:r>
      <w:r w:rsidR="00C62E0C">
        <w:rPr>
          <w:lang w:val="fr-CA"/>
        </w:rPr>
        <w:t>’</w:t>
      </w:r>
      <w:r w:rsidRPr="00662089">
        <w:rPr>
          <w:lang w:val="fr-CA"/>
        </w:rPr>
        <w:t>apparence ou la réalité de l</w:t>
      </w:r>
      <w:r w:rsidR="00C62E0C">
        <w:rPr>
          <w:lang w:val="fr-CA"/>
        </w:rPr>
        <w:t>’</w:t>
      </w:r>
      <w:r w:rsidRPr="00662089">
        <w:rPr>
          <w:lang w:val="fr-CA"/>
        </w:rPr>
        <w:t>indépendance judiciaire. Le biais d</w:t>
      </w:r>
      <w:r w:rsidR="00C62E0C">
        <w:rPr>
          <w:lang w:val="fr-CA"/>
        </w:rPr>
        <w:t>’</w:t>
      </w:r>
      <w:r w:rsidRPr="00662089">
        <w:rPr>
          <w:lang w:val="fr-CA"/>
        </w:rPr>
        <w:t>automatisation peut conduire les décideurs à limiter leur pouvoir discrétionnaire, même lorsqu</w:t>
      </w:r>
      <w:r w:rsidR="00C62E0C">
        <w:rPr>
          <w:lang w:val="fr-CA"/>
        </w:rPr>
        <w:t>’</w:t>
      </w:r>
      <w:r w:rsidRPr="00662089">
        <w:rPr>
          <w:lang w:val="fr-CA"/>
        </w:rPr>
        <w:t>il y a une «</w:t>
      </w:r>
      <w:r w:rsidR="00C62E0C">
        <w:rPr>
          <w:lang w:val="fr-CA"/>
        </w:rPr>
        <w:t> </w:t>
      </w:r>
      <w:r w:rsidRPr="00662089">
        <w:rPr>
          <w:lang w:val="fr-CA"/>
        </w:rPr>
        <w:t>intervention humaine</w:t>
      </w:r>
      <w:r w:rsidR="00C62E0C">
        <w:rPr>
          <w:lang w:val="fr-CA"/>
        </w:rPr>
        <w:t> </w:t>
      </w:r>
      <w:r w:rsidRPr="00662089">
        <w:rPr>
          <w:lang w:val="fr-CA"/>
        </w:rPr>
        <w:t>».</w:t>
      </w:r>
      <w:r w:rsidR="00AD6E34" w:rsidRPr="00A317D7">
        <w:rPr>
          <w:lang w:val="fr-CA"/>
        </w:rPr>
        <w:t xml:space="preserve"> </w:t>
      </w:r>
    </w:p>
    <w:p w14:paraId="777F33CA" w14:textId="7923AE89" w:rsidR="00ED2E3E" w:rsidRPr="00A317D7" w:rsidRDefault="00662089" w:rsidP="00AA31BD">
      <w:pPr>
        <w:pStyle w:val="ListParagraph"/>
        <w:numPr>
          <w:ilvl w:val="0"/>
          <w:numId w:val="23"/>
        </w:numPr>
        <w:spacing w:before="100" w:beforeAutospacing="1" w:after="0"/>
        <w:rPr>
          <w:w w:val="105"/>
          <w:lang w:val="fr-CA"/>
        </w:rPr>
      </w:pPr>
      <w:r w:rsidRPr="00662089">
        <w:rPr>
          <w:rFonts w:cstheme="minorHAnsi"/>
          <w:b/>
          <w:bCs/>
          <w:w w:val="105"/>
          <w:lang w:val="fr-CA"/>
        </w:rPr>
        <w:lastRenderedPageBreak/>
        <w:t>Manque d</w:t>
      </w:r>
      <w:r w:rsidR="00C62E0C">
        <w:rPr>
          <w:rFonts w:cstheme="minorHAnsi"/>
          <w:b/>
          <w:bCs/>
          <w:w w:val="105"/>
          <w:lang w:val="fr-CA"/>
        </w:rPr>
        <w:t>’</w:t>
      </w:r>
      <w:r w:rsidRPr="00662089">
        <w:rPr>
          <w:rFonts w:cstheme="minorHAnsi"/>
          <w:b/>
          <w:bCs/>
          <w:w w:val="105"/>
          <w:lang w:val="fr-CA"/>
        </w:rPr>
        <w:t xml:space="preserve">engagement </w:t>
      </w:r>
      <w:r w:rsidR="00263F3E">
        <w:rPr>
          <w:rFonts w:cstheme="minorHAnsi"/>
          <w:b/>
          <w:bCs/>
          <w:w w:val="105"/>
          <w:lang w:val="fr-CA"/>
        </w:rPr>
        <w:t xml:space="preserve">du </w:t>
      </w:r>
      <w:r w:rsidRPr="00662089">
        <w:rPr>
          <w:rFonts w:cstheme="minorHAnsi"/>
          <w:b/>
          <w:bCs/>
          <w:w w:val="105"/>
          <w:lang w:val="fr-CA"/>
        </w:rPr>
        <w:t>public</w:t>
      </w:r>
      <w:r w:rsidR="002465D7" w:rsidRPr="0023507F">
        <w:rPr>
          <w:rFonts w:cstheme="minorHAnsi"/>
          <w:b/>
          <w:bCs/>
          <w:w w:val="105"/>
          <w:lang w:val="fr-CA"/>
        </w:rPr>
        <w:t>.</w:t>
      </w:r>
      <w:r w:rsidR="002465D7" w:rsidRPr="0023507F">
        <w:rPr>
          <w:rFonts w:cstheme="minorHAnsi"/>
          <w:w w:val="105"/>
          <w:lang w:val="fr-CA"/>
        </w:rPr>
        <w:t xml:space="preserve"> </w:t>
      </w:r>
      <w:r w:rsidRPr="00662089">
        <w:rPr>
          <w:rFonts w:cstheme="minorHAnsi"/>
          <w:color w:val="212121"/>
          <w:lang w:val="fr-CA"/>
        </w:rPr>
        <w:t>De nombreux systèmes d</w:t>
      </w:r>
      <w:r w:rsidR="00C62E0C">
        <w:rPr>
          <w:rFonts w:cstheme="minorHAnsi"/>
          <w:color w:val="212121"/>
          <w:lang w:val="fr-CA"/>
        </w:rPr>
        <w:t>’</w:t>
      </w:r>
      <w:r w:rsidRPr="00662089">
        <w:rPr>
          <w:rFonts w:cstheme="minorHAnsi"/>
          <w:color w:val="212121"/>
          <w:lang w:val="fr-CA"/>
        </w:rPr>
        <w:t xml:space="preserve">IA </w:t>
      </w:r>
      <w:r w:rsidR="00AA31BD" w:rsidRPr="00AA31BD">
        <w:rPr>
          <w:rFonts w:cstheme="minorHAnsi"/>
          <w:color w:val="212121"/>
          <w:lang w:val="fr-CA"/>
        </w:rPr>
        <w:t xml:space="preserve">dans le </w:t>
      </w:r>
      <w:r w:rsidR="00093642">
        <w:rPr>
          <w:lang w:val="fr-CA"/>
        </w:rPr>
        <w:t>système</w:t>
      </w:r>
      <w:r w:rsidR="00093642" w:rsidRPr="004E2CCD">
        <w:rPr>
          <w:lang w:val="fr-CA"/>
        </w:rPr>
        <w:t xml:space="preserve"> de </w:t>
      </w:r>
      <w:r w:rsidR="00AA31BD" w:rsidRPr="00AA31BD">
        <w:rPr>
          <w:rFonts w:cstheme="minorHAnsi"/>
          <w:color w:val="212121"/>
          <w:lang w:val="fr-CA"/>
        </w:rPr>
        <w:t xml:space="preserve">justice pénale </w:t>
      </w:r>
      <w:r w:rsidRPr="00662089">
        <w:rPr>
          <w:rFonts w:cstheme="minorHAnsi"/>
          <w:color w:val="212121"/>
          <w:lang w:val="fr-CA"/>
        </w:rPr>
        <w:t>ont été critiqués par des communautés qui estiment ne pas avoir été consultées ni informées au sujet de systèmes qui les concernent</w:t>
      </w:r>
      <w:r w:rsidR="002465D7" w:rsidRPr="00A317D7">
        <w:rPr>
          <w:rFonts w:ascii="Aptos" w:hAnsi="Aptos"/>
          <w:color w:val="212121"/>
          <w:lang w:val="fr-CA"/>
        </w:rPr>
        <w:t>.</w:t>
      </w:r>
      <w:r w:rsidR="002465D7" w:rsidRPr="00A317D7">
        <w:rPr>
          <w:b/>
          <w:bCs/>
          <w:w w:val="105"/>
          <w:lang w:val="fr-CA"/>
        </w:rPr>
        <w:t xml:space="preserve"> </w:t>
      </w:r>
    </w:p>
    <w:p w14:paraId="10C85E8F" w14:textId="32C668ED" w:rsidR="00516AD8" w:rsidRPr="00A317D7" w:rsidRDefault="00F966D2" w:rsidP="00ED2E3E">
      <w:pPr>
        <w:spacing w:before="100" w:beforeAutospacing="1" w:after="0"/>
        <w:rPr>
          <w:w w:val="105"/>
          <w:lang w:val="fr-CA"/>
        </w:rPr>
      </w:pPr>
      <w:r w:rsidRPr="00AA31BD">
        <w:rPr>
          <w:lang w:val="fr-CA"/>
        </w:rPr>
        <w:t xml:space="preserve">Ces risques pourraient porter atteinte aux droits garantis par la </w:t>
      </w:r>
      <w:r w:rsidRPr="00263F3E">
        <w:rPr>
          <w:i/>
          <w:lang w:val="fr-CA"/>
        </w:rPr>
        <w:t>Charte</w:t>
      </w:r>
      <w:r w:rsidRPr="00AA31BD">
        <w:rPr>
          <w:lang w:val="fr-CA"/>
        </w:rPr>
        <w:t>, à l</w:t>
      </w:r>
      <w:r w:rsidR="00C62E0C" w:rsidRPr="00AA31BD">
        <w:rPr>
          <w:lang w:val="fr-CA"/>
        </w:rPr>
        <w:t>’</w:t>
      </w:r>
      <w:r w:rsidRPr="00AA31BD">
        <w:rPr>
          <w:lang w:val="fr-CA"/>
        </w:rPr>
        <w:t>équité procédurale, à la fiabilité de la preuve et à la jurisprudence</w:t>
      </w:r>
      <w:r w:rsidR="00DD3915" w:rsidRPr="00A317D7">
        <w:rPr>
          <w:lang w:val="fr-CA"/>
        </w:rPr>
        <w:t>.</w:t>
      </w:r>
    </w:p>
    <w:p w14:paraId="6F93F91E" w14:textId="77777777" w:rsidR="006220C0" w:rsidRPr="00A317D7" w:rsidRDefault="006220C0" w:rsidP="00ED2E3E">
      <w:pPr>
        <w:pStyle w:val="ListParagraph"/>
        <w:spacing w:after="0"/>
        <w:rPr>
          <w:b/>
          <w:w w:val="105"/>
          <w:lang w:val="fr-CA"/>
        </w:rPr>
      </w:pPr>
    </w:p>
    <w:p w14:paraId="5E7E8073" w14:textId="76448372" w:rsidR="00AD6E34" w:rsidRPr="00331AAB" w:rsidRDefault="00263F3E" w:rsidP="006220C0">
      <w:pPr>
        <w:pStyle w:val="ListParagraph"/>
        <w:numPr>
          <w:ilvl w:val="0"/>
          <w:numId w:val="17"/>
        </w:numPr>
        <w:spacing w:after="0"/>
        <w:rPr>
          <w:b/>
          <w:bCs/>
          <w:w w:val="105"/>
          <w:lang w:val="fr-CA"/>
        </w:rPr>
      </w:pPr>
      <w:r>
        <w:rPr>
          <w:b/>
          <w:bCs/>
          <w:w w:val="105"/>
          <w:lang w:val="fr-CA"/>
        </w:rPr>
        <w:t>Erreurs judiciaires</w:t>
      </w:r>
      <w:r w:rsidR="006220C0" w:rsidRPr="00331AAB">
        <w:rPr>
          <w:b/>
          <w:bCs/>
          <w:w w:val="105"/>
          <w:lang w:val="fr-CA"/>
        </w:rPr>
        <w:t>/Acc</w:t>
      </w:r>
      <w:r w:rsidR="00331AAB" w:rsidRPr="00331AAB">
        <w:rPr>
          <w:b/>
          <w:bCs/>
          <w:w w:val="105"/>
          <w:lang w:val="fr-CA"/>
        </w:rPr>
        <w:t xml:space="preserve">ès à la </w:t>
      </w:r>
      <w:r w:rsidR="00331AAB">
        <w:rPr>
          <w:b/>
          <w:bCs/>
          <w:w w:val="105"/>
          <w:lang w:val="fr-CA"/>
        </w:rPr>
        <w:t>j</w:t>
      </w:r>
      <w:r w:rsidR="006220C0" w:rsidRPr="00331AAB">
        <w:rPr>
          <w:b/>
          <w:bCs/>
          <w:w w:val="105"/>
          <w:lang w:val="fr-CA"/>
        </w:rPr>
        <w:t>ustice</w:t>
      </w:r>
      <w:r w:rsidR="00001339" w:rsidRPr="00A317D7">
        <w:rPr>
          <w:b/>
          <w:bCs/>
          <w:w w:val="105"/>
          <w:lang w:val="fr-CA"/>
        </w:rPr>
        <w:br/>
      </w:r>
    </w:p>
    <w:p w14:paraId="6BFA711F" w14:textId="16EBFB04" w:rsidR="002465D7" w:rsidRPr="00A317D7" w:rsidRDefault="00F966D2" w:rsidP="00AD6E34">
      <w:pPr>
        <w:rPr>
          <w:lang w:val="fr-CA"/>
        </w:rPr>
      </w:pPr>
      <w:r w:rsidRPr="00F966D2">
        <w:rPr>
          <w:lang w:val="fr-CA"/>
        </w:rPr>
        <w:t>Tous les risques susmentionnés pourraient entra</w:t>
      </w:r>
      <w:r w:rsidR="00263F3E">
        <w:rPr>
          <w:lang w:val="fr-CA"/>
        </w:rPr>
        <w:t>i</w:t>
      </w:r>
      <w:r w:rsidRPr="00F966D2">
        <w:rPr>
          <w:lang w:val="fr-CA"/>
        </w:rPr>
        <w:t>ner des erreurs judiciaires à l</w:t>
      </w:r>
      <w:r w:rsidR="00C62E0C">
        <w:rPr>
          <w:lang w:val="fr-CA"/>
        </w:rPr>
        <w:t>’</w:t>
      </w:r>
      <w:r w:rsidRPr="00F966D2">
        <w:rPr>
          <w:lang w:val="fr-CA"/>
        </w:rPr>
        <w:t>égard des personnes accusées, notamment des risques d</w:t>
      </w:r>
      <w:r w:rsidR="00C62E0C">
        <w:rPr>
          <w:lang w:val="fr-CA"/>
        </w:rPr>
        <w:t>’</w:t>
      </w:r>
      <w:r w:rsidRPr="00F966D2">
        <w:rPr>
          <w:lang w:val="fr-CA"/>
        </w:rPr>
        <w:t xml:space="preserve">arrestation arbitraire, de détention illégale et de violation des droits garantis par la </w:t>
      </w:r>
      <w:r w:rsidRPr="00263F3E">
        <w:rPr>
          <w:i/>
          <w:lang w:val="fr-CA"/>
        </w:rPr>
        <w:t>Charte</w:t>
      </w:r>
      <w:r w:rsidRPr="00F966D2">
        <w:rPr>
          <w:lang w:val="fr-CA"/>
        </w:rPr>
        <w:t>, du droit à la vie privée et du droit à une procédure équitable</w:t>
      </w:r>
      <w:r w:rsidR="002465D7" w:rsidRPr="00A317D7">
        <w:rPr>
          <w:lang w:val="fr-CA"/>
        </w:rPr>
        <w:t xml:space="preserve">.  </w:t>
      </w:r>
    </w:p>
    <w:p w14:paraId="1CBCF4C5" w14:textId="33D5EE62" w:rsidR="00001339" w:rsidRPr="00A317D7" w:rsidRDefault="00F966D2" w:rsidP="002465D7">
      <w:pPr>
        <w:rPr>
          <w:rFonts w:ascii="Aptos" w:hAnsi="Aptos"/>
          <w:color w:val="212121"/>
          <w:lang w:val="fr-CA"/>
        </w:rPr>
      </w:pPr>
      <w:r w:rsidRPr="00F966D2">
        <w:rPr>
          <w:rFonts w:cstheme="minorHAnsi"/>
          <w:color w:val="212121"/>
          <w:lang w:val="fr-CA"/>
        </w:rPr>
        <w:t>Les systèmes d</w:t>
      </w:r>
      <w:r w:rsidR="00C62E0C">
        <w:rPr>
          <w:rFonts w:cstheme="minorHAnsi"/>
          <w:color w:val="212121"/>
          <w:lang w:val="fr-CA"/>
        </w:rPr>
        <w:t>’</w:t>
      </w:r>
      <w:r w:rsidRPr="00F966D2">
        <w:rPr>
          <w:rFonts w:cstheme="minorHAnsi"/>
          <w:color w:val="212121"/>
          <w:lang w:val="fr-CA"/>
        </w:rPr>
        <w:t xml:space="preserve">IA dans </w:t>
      </w:r>
      <w:r w:rsidR="00263F3E" w:rsidRPr="00263F3E">
        <w:rPr>
          <w:rFonts w:cstheme="minorHAnsi"/>
          <w:color w:val="212121"/>
          <w:lang w:val="fr-CA"/>
        </w:rPr>
        <w:t xml:space="preserve">le </w:t>
      </w:r>
      <w:r w:rsidR="00093642">
        <w:rPr>
          <w:lang w:val="fr-CA"/>
        </w:rPr>
        <w:t>système</w:t>
      </w:r>
      <w:r w:rsidR="00093642" w:rsidRPr="004E2CCD">
        <w:rPr>
          <w:lang w:val="fr-CA"/>
        </w:rPr>
        <w:t xml:space="preserve"> de </w:t>
      </w:r>
      <w:r w:rsidR="00263F3E" w:rsidRPr="00263F3E">
        <w:rPr>
          <w:rFonts w:cstheme="minorHAnsi"/>
          <w:color w:val="212121"/>
          <w:lang w:val="fr-CA"/>
        </w:rPr>
        <w:t xml:space="preserve">justice pénale </w:t>
      </w:r>
      <w:r w:rsidRPr="00F966D2">
        <w:rPr>
          <w:rFonts w:cstheme="minorHAnsi"/>
          <w:color w:val="212121"/>
          <w:lang w:val="fr-CA"/>
        </w:rPr>
        <w:t>soulèvent également des préoccupations systémiques en matière d</w:t>
      </w:r>
      <w:r w:rsidR="00C62E0C">
        <w:rPr>
          <w:rFonts w:cstheme="minorHAnsi"/>
          <w:color w:val="212121"/>
          <w:lang w:val="fr-CA"/>
        </w:rPr>
        <w:t>’</w:t>
      </w:r>
      <w:r w:rsidRPr="00F966D2">
        <w:rPr>
          <w:rFonts w:cstheme="minorHAnsi"/>
          <w:color w:val="212121"/>
          <w:lang w:val="fr-CA"/>
        </w:rPr>
        <w:t>accès à la justice, notamment la manière dont les personnes accusées (en particulier celles qui sont représentées par un avocat de l</w:t>
      </w:r>
      <w:r w:rsidR="00C62E0C">
        <w:rPr>
          <w:rFonts w:cstheme="minorHAnsi"/>
          <w:color w:val="212121"/>
          <w:lang w:val="fr-CA"/>
        </w:rPr>
        <w:t>’</w:t>
      </w:r>
      <w:r w:rsidRPr="00F966D2">
        <w:rPr>
          <w:rFonts w:cstheme="minorHAnsi"/>
          <w:color w:val="212121"/>
          <w:lang w:val="fr-CA"/>
        </w:rPr>
        <w:t>aide juridique ou qui se représentent elles-mêmes) pourront contester efficacement les systèmes d</w:t>
      </w:r>
      <w:r w:rsidR="00C62E0C">
        <w:rPr>
          <w:rFonts w:cstheme="minorHAnsi"/>
          <w:color w:val="212121"/>
          <w:lang w:val="fr-CA"/>
        </w:rPr>
        <w:t>’</w:t>
      </w:r>
      <w:r w:rsidRPr="00F966D2">
        <w:rPr>
          <w:rFonts w:cstheme="minorHAnsi"/>
          <w:color w:val="212121"/>
          <w:lang w:val="fr-CA"/>
        </w:rPr>
        <w:t>IA</w:t>
      </w:r>
      <w:r w:rsidR="002465D7" w:rsidRPr="00A317D7">
        <w:rPr>
          <w:rFonts w:ascii="Aptos" w:hAnsi="Aptos"/>
          <w:color w:val="212121"/>
          <w:lang w:val="fr-CA"/>
        </w:rPr>
        <w:t xml:space="preserve">. </w:t>
      </w:r>
    </w:p>
    <w:p w14:paraId="22ACD989" w14:textId="668A7FCB" w:rsidR="00B549D7" w:rsidRPr="00A317D7" w:rsidRDefault="00D873AD" w:rsidP="00965500">
      <w:pPr>
        <w:pStyle w:val="Heading1"/>
        <w:numPr>
          <w:ilvl w:val="0"/>
          <w:numId w:val="21"/>
        </w:numPr>
        <w:spacing w:before="0"/>
        <w:rPr>
          <w:lang w:val="fr-CA"/>
        </w:rPr>
      </w:pPr>
      <w:bookmarkStart w:id="20" w:name="_Toc194406401"/>
      <w:bookmarkStart w:id="21" w:name="_Toc197353485"/>
      <w:bookmarkStart w:id="22" w:name="_Toc197599884"/>
      <w:r>
        <w:rPr>
          <w:lang w:val="fr-CA"/>
        </w:rPr>
        <w:t>Les avantages et les risques de l’IA en c</w:t>
      </w:r>
      <w:r w:rsidR="00B549D7" w:rsidRPr="00A317D7">
        <w:rPr>
          <w:lang w:val="fr-CA"/>
        </w:rPr>
        <w:t>ontext</w:t>
      </w:r>
      <w:bookmarkEnd w:id="20"/>
      <w:r>
        <w:rPr>
          <w:lang w:val="fr-CA"/>
        </w:rPr>
        <w:t>e</w:t>
      </w:r>
      <w:bookmarkEnd w:id="21"/>
      <w:bookmarkEnd w:id="22"/>
      <w:r w:rsidR="00B549D7" w:rsidRPr="00A317D7">
        <w:rPr>
          <w:lang w:val="fr-CA"/>
        </w:rPr>
        <w:t xml:space="preserve"> </w:t>
      </w:r>
    </w:p>
    <w:p w14:paraId="7886A85F" w14:textId="77777777" w:rsidR="00B549D7" w:rsidRPr="00A317D7" w:rsidRDefault="00B549D7" w:rsidP="00305C53">
      <w:pPr>
        <w:spacing w:after="0"/>
        <w:rPr>
          <w:rFonts w:eastAsia="Times New Roman"/>
          <w:lang w:val="fr-CA"/>
        </w:rPr>
      </w:pPr>
    </w:p>
    <w:p w14:paraId="5F22F361" w14:textId="3C9EAC34" w:rsidR="00B549D7" w:rsidRPr="00A317D7" w:rsidRDefault="00672020" w:rsidP="00784133">
      <w:pPr>
        <w:rPr>
          <w:lang w:val="fr-CA"/>
        </w:rPr>
      </w:pPr>
      <w:r w:rsidRPr="00672020">
        <w:rPr>
          <w:rFonts w:eastAsia="Times New Roman"/>
          <w:lang w:val="fr-CA"/>
        </w:rPr>
        <w:t>Lorsqu</w:t>
      </w:r>
      <w:r w:rsidR="00C62E0C">
        <w:rPr>
          <w:rFonts w:eastAsia="Times New Roman"/>
          <w:lang w:val="fr-CA"/>
        </w:rPr>
        <w:t>’</w:t>
      </w:r>
      <w:r w:rsidRPr="00672020">
        <w:rPr>
          <w:rFonts w:eastAsia="Times New Roman"/>
          <w:lang w:val="fr-CA"/>
        </w:rPr>
        <w:t>on évalue les avantages et les risques de l</w:t>
      </w:r>
      <w:r w:rsidR="00C62E0C">
        <w:rPr>
          <w:rFonts w:eastAsia="Times New Roman"/>
          <w:lang w:val="fr-CA"/>
        </w:rPr>
        <w:t>’</w:t>
      </w:r>
      <w:r w:rsidRPr="00672020">
        <w:rPr>
          <w:rFonts w:eastAsia="Times New Roman"/>
          <w:lang w:val="fr-CA"/>
        </w:rPr>
        <w:t xml:space="preserve">IA dans </w:t>
      </w:r>
      <w:r w:rsidR="00FA50CA" w:rsidRPr="00FA50CA">
        <w:rPr>
          <w:rFonts w:eastAsia="Times New Roman"/>
          <w:lang w:val="fr-CA"/>
        </w:rPr>
        <w:t xml:space="preserve">le </w:t>
      </w:r>
      <w:r w:rsidR="00093642">
        <w:rPr>
          <w:lang w:val="fr-CA"/>
        </w:rPr>
        <w:t>système</w:t>
      </w:r>
      <w:r w:rsidR="00093642" w:rsidRPr="004E2CCD">
        <w:rPr>
          <w:lang w:val="fr-CA"/>
        </w:rPr>
        <w:t xml:space="preserve"> de </w:t>
      </w:r>
      <w:r w:rsidR="00FA50CA" w:rsidRPr="00FA50CA">
        <w:rPr>
          <w:rFonts w:eastAsia="Times New Roman"/>
          <w:lang w:val="fr-CA"/>
        </w:rPr>
        <w:t>justice pénale</w:t>
      </w:r>
      <w:r w:rsidRPr="00672020">
        <w:rPr>
          <w:rFonts w:eastAsia="Times New Roman"/>
          <w:lang w:val="fr-CA"/>
        </w:rPr>
        <w:t>, il est important de tenir compte des variations au sein de ces systèmes et entre eux. Ces variations peuvent avoir des implications très diverses pour la sécurité publique, les enquêtes policières et les droits individuels. Par exemple, tous les systèmes de reconnaissance faciale comportent des risques en matière de surveillance, mais l</w:t>
      </w:r>
      <w:r w:rsidR="00C62E0C">
        <w:rPr>
          <w:rFonts w:eastAsia="Times New Roman"/>
          <w:lang w:val="fr-CA"/>
        </w:rPr>
        <w:t>’</w:t>
      </w:r>
      <w:r w:rsidRPr="00672020">
        <w:rPr>
          <w:rFonts w:eastAsia="Times New Roman"/>
          <w:lang w:val="fr-CA"/>
        </w:rPr>
        <w:t>ampleur de ces risques dépend en grande partie de la manière dont les images sont recueillies, du lieu où elles le sont et de la base de données à laquelle elles sont comparées. Il existe également de nombreuses variations au sein des systèmes de maintien de l</w:t>
      </w:r>
      <w:r w:rsidR="00C62E0C">
        <w:rPr>
          <w:rFonts w:eastAsia="Times New Roman"/>
          <w:lang w:val="fr-CA"/>
        </w:rPr>
        <w:t>’</w:t>
      </w:r>
      <w:r w:rsidRPr="00672020">
        <w:rPr>
          <w:rFonts w:eastAsia="Times New Roman"/>
          <w:lang w:val="fr-CA"/>
        </w:rPr>
        <w:t>ordre prédictif et entre eux</w:t>
      </w:r>
      <w:r w:rsidR="00B549D7" w:rsidRPr="00A317D7">
        <w:rPr>
          <w:rStyle w:val="EndnoteReference"/>
          <w:lang w:val="fr-CA"/>
        </w:rPr>
        <w:endnoteReference w:id="28"/>
      </w:r>
      <w:r>
        <w:rPr>
          <w:rFonts w:eastAsia="Times New Roman"/>
          <w:lang w:val="fr-CA"/>
        </w:rPr>
        <w:t>.</w:t>
      </w:r>
      <w:r w:rsidR="00BE6D0C" w:rsidRPr="00A317D7">
        <w:rPr>
          <w:lang w:val="fr-CA"/>
        </w:rPr>
        <w:t xml:space="preserve"> </w:t>
      </w:r>
    </w:p>
    <w:p w14:paraId="568962C9" w14:textId="11557158" w:rsidR="00B549D7" w:rsidRPr="00A317D7" w:rsidRDefault="00672020" w:rsidP="00412B4E">
      <w:pPr>
        <w:spacing w:after="0"/>
        <w:rPr>
          <w:lang w:val="fr-CA"/>
        </w:rPr>
      </w:pPr>
      <w:r w:rsidRPr="00672020">
        <w:rPr>
          <w:lang w:val="fr-CA"/>
        </w:rPr>
        <w:t>Il est également important de noter que les technologies d</w:t>
      </w:r>
      <w:r w:rsidR="00C62E0C">
        <w:rPr>
          <w:lang w:val="fr-CA"/>
        </w:rPr>
        <w:t>’</w:t>
      </w:r>
      <w:r w:rsidRPr="00672020">
        <w:rPr>
          <w:lang w:val="fr-CA"/>
        </w:rPr>
        <w:t xml:space="preserve">IA </w:t>
      </w:r>
      <w:r w:rsidR="00093642" w:rsidRPr="00093642">
        <w:rPr>
          <w:lang w:val="fr-CA"/>
        </w:rPr>
        <w:t xml:space="preserve">dans le </w:t>
      </w:r>
      <w:r w:rsidR="00093642">
        <w:rPr>
          <w:lang w:val="fr-CA"/>
        </w:rPr>
        <w:t>système</w:t>
      </w:r>
      <w:r w:rsidR="00093642" w:rsidRPr="004E2CCD">
        <w:rPr>
          <w:lang w:val="fr-CA"/>
        </w:rPr>
        <w:t xml:space="preserve"> de </w:t>
      </w:r>
      <w:r w:rsidR="00093642" w:rsidRPr="00093642">
        <w:rPr>
          <w:lang w:val="fr-CA"/>
        </w:rPr>
        <w:t xml:space="preserve">justice pénale </w:t>
      </w:r>
      <w:r w:rsidRPr="00672020">
        <w:rPr>
          <w:lang w:val="fr-CA"/>
        </w:rPr>
        <w:t>ne sont pas statiques. Par exemple, un rapport récent de l</w:t>
      </w:r>
      <w:r w:rsidR="00C62E0C">
        <w:rPr>
          <w:lang w:val="fr-CA"/>
        </w:rPr>
        <w:t>’</w:t>
      </w:r>
      <w:r w:rsidRPr="00672020">
        <w:rPr>
          <w:lang w:val="fr-CA"/>
        </w:rPr>
        <w:t>Académie nationale des sciences des États-Unis souligne que le maintien de l</w:t>
      </w:r>
      <w:r w:rsidR="00C62E0C">
        <w:rPr>
          <w:lang w:val="fr-CA"/>
        </w:rPr>
        <w:t>’</w:t>
      </w:r>
      <w:r w:rsidRPr="00672020">
        <w:rPr>
          <w:lang w:val="fr-CA"/>
        </w:rPr>
        <w:t>ordre prédictif évolue et que bon nombre des premiers systèmes de maintien de l</w:t>
      </w:r>
      <w:r w:rsidR="00C62E0C">
        <w:rPr>
          <w:lang w:val="fr-CA"/>
        </w:rPr>
        <w:t>’</w:t>
      </w:r>
      <w:r w:rsidRPr="00672020">
        <w:rPr>
          <w:lang w:val="fr-CA"/>
        </w:rPr>
        <w:t>ordre prédictif «</w:t>
      </w:r>
      <w:r w:rsidR="00C62E0C">
        <w:rPr>
          <w:lang w:val="fr-CA"/>
        </w:rPr>
        <w:t> </w:t>
      </w:r>
      <w:r w:rsidRPr="00672020">
        <w:rPr>
          <w:lang w:val="fr-CA"/>
        </w:rPr>
        <w:t>ont fait leur temps</w:t>
      </w:r>
      <w:r w:rsidR="00C62E0C">
        <w:rPr>
          <w:lang w:val="fr-CA"/>
        </w:rPr>
        <w:t> </w:t>
      </w:r>
      <w:r w:rsidRPr="00672020">
        <w:rPr>
          <w:lang w:val="fr-CA"/>
        </w:rPr>
        <w:t>» face à de vives critiques</w:t>
      </w:r>
      <w:r w:rsidR="00B549D7" w:rsidRPr="00A317D7">
        <w:rPr>
          <w:rStyle w:val="EndnoteReference"/>
          <w:lang w:val="fr-CA"/>
        </w:rPr>
        <w:endnoteReference w:id="29"/>
      </w:r>
      <w:r>
        <w:rPr>
          <w:lang w:val="fr-CA"/>
        </w:rPr>
        <w:t>.</w:t>
      </w:r>
      <w:r w:rsidR="00B549D7" w:rsidRPr="00A317D7">
        <w:rPr>
          <w:lang w:val="fr-CA"/>
        </w:rPr>
        <w:t xml:space="preserve"> </w:t>
      </w:r>
    </w:p>
    <w:p w14:paraId="705702AF" w14:textId="029FF777" w:rsidR="00B549D7" w:rsidRPr="00D873AD" w:rsidRDefault="00D873AD" w:rsidP="008D728C">
      <w:pPr>
        <w:pStyle w:val="Heading1"/>
        <w:numPr>
          <w:ilvl w:val="0"/>
          <w:numId w:val="21"/>
        </w:numPr>
        <w:rPr>
          <w:lang w:val="fr-CA"/>
        </w:rPr>
      </w:pPr>
      <w:bookmarkStart w:id="23" w:name="_Toc197353486"/>
      <w:bookmarkStart w:id="24" w:name="_Toc173918240"/>
      <w:bookmarkStart w:id="25" w:name="_Toc188900897"/>
      <w:bookmarkStart w:id="26" w:name="_Toc194406402"/>
      <w:bookmarkStart w:id="27" w:name="_Toc197599885"/>
      <w:r w:rsidRPr="00D873AD">
        <w:rPr>
          <w:lang w:val="fr-CA"/>
        </w:rPr>
        <w:t xml:space="preserve">Aperçu des </w:t>
      </w:r>
      <w:r w:rsidR="008D728C" w:rsidRPr="008D728C">
        <w:rPr>
          <w:lang w:val="fr-CA"/>
        </w:rPr>
        <w:t>document</w:t>
      </w:r>
      <w:r w:rsidR="008D728C">
        <w:rPr>
          <w:lang w:val="fr-CA"/>
        </w:rPr>
        <w:t>s</w:t>
      </w:r>
      <w:r w:rsidR="008D728C" w:rsidRPr="008D728C">
        <w:rPr>
          <w:lang w:val="fr-CA"/>
        </w:rPr>
        <w:t xml:space="preserve"> thématique</w:t>
      </w:r>
      <w:r w:rsidR="008D728C">
        <w:rPr>
          <w:lang w:val="fr-CA"/>
        </w:rPr>
        <w:t>s</w:t>
      </w:r>
      <w:r w:rsidR="008D728C" w:rsidRPr="008D728C">
        <w:rPr>
          <w:lang w:val="fr-CA"/>
        </w:rPr>
        <w:t xml:space="preserve"> </w:t>
      </w:r>
      <w:r w:rsidRPr="00D873AD">
        <w:rPr>
          <w:lang w:val="fr-CA"/>
        </w:rPr>
        <w:t xml:space="preserve">du </w:t>
      </w:r>
      <w:r>
        <w:rPr>
          <w:lang w:val="fr-CA"/>
        </w:rPr>
        <w:t xml:space="preserve">projet </w:t>
      </w:r>
      <w:r w:rsidRPr="00D873AD">
        <w:rPr>
          <w:lang w:val="fr-CA"/>
        </w:rPr>
        <w:t>sur l’IA dans le système de justice pénale</w:t>
      </w:r>
      <w:bookmarkEnd w:id="23"/>
      <w:bookmarkEnd w:id="27"/>
      <w:r w:rsidRPr="00D873AD">
        <w:rPr>
          <w:lang w:val="fr-CA"/>
        </w:rPr>
        <w:t xml:space="preserve"> </w:t>
      </w:r>
      <w:bookmarkEnd w:id="24"/>
      <w:bookmarkEnd w:id="25"/>
      <w:bookmarkEnd w:id="26"/>
    </w:p>
    <w:p w14:paraId="08131CC4" w14:textId="77777777" w:rsidR="00B549D7" w:rsidRPr="00D873AD" w:rsidRDefault="00B549D7" w:rsidP="0049610A">
      <w:pPr>
        <w:spacing w:after="0"/>
        <w:rPr>
          <w:lang w:val="fr-CA"/>
        </w:rPr>
      </w:pPr>
    </w:p>
    <w:p w14:paraId="53D30E16" w14:textId="4AC93628" w:rsidR="00B549D7" w:rsidRPr="00A317D7" w:rsidRDefault="002C1073" w:rsidP="003E2307">
      <w:pPr>
        <w:spacing w:after="0"/>
        <w:rPr>
          <w:rFonts w:cstheme="minorHAnsi"/>
          <w:i/>
          <w:iCs/>
          <w:lang w:val="fr-CA"/>
        </w:rPr>
      </w:pPr>
      <w:bookmarkStart w:id="28" w:name="_Toc188900898"/>
      <w:r w:rsidRPr="002C1073">
        <w:rPr>
          <w:lang w:val="fr-CA"/>
        </w:rPr>
        <w:t>Le projet de la CDO sur l</w:t>
      </w:r>
      <w:r w:rsidR="00C62E0C">
        <w:rPr>
          <w:lang w:val="fr-CA"/>
        </w:rPr>
        <w:t>’</w:t>
      </w:r>
      <w:r w:rsidRPr="002C1073">
        <w:rPr>
          <w:lang w:val="fr-CA"/>
        </w:rPr>
        <w:t>IA dans le système de justice pénale comprend une introduction et quatre documents thématiques. Chaque document thématique examine l</w:t>
      </w:r>
      <w:r w:rsidR="00C62E0C">
        <w:rPr>
          <w:lang w:val="fr-CA"/>
        </w:rPr>
        <w:t>’</w:t>
      </w:r>
      <w:r w:rsidRPr="002C1073">
        <w:rPr>
          <w:lang w:val="fr-CA"/>
        </w:rPr>
        <w:t>utilisation de l</w:t>
      </w:r>
      <w:r w:rsidR="00C62E0C">
        <w:rPr>
          <w:lang w:val="fr-CA"/>
        </w:rPr>
        <w:t>’</w:t>
      </w:r>
      <w:r w:rsidRPr="002C1073">
        <w:rPr>
          <w:lang w:val="fr-CA"/>
        </w:rPr>
        <w:t>IA dans une phase distincte du processus pénal</w:t>
      </w:r>
      <w:r w:rsidR="003E2307" w:rsidRPr="00A317D7">
        <w:rPr>
          <w:lang w:val="fr-CA"/>
        </w:rPr>
        <w:t>.</w:t>
      </w:r>
    </w:p>
    <w:p w14:paraId="0FD435E6" w14:textId="77777777" w:rsidR="00B549D7" w:rsidRPr="00A317D7" w:rsidRDefault="00B549D7" w:rsidP="00B549D7">
      <w:pPr>
        <w:spacing w:after="0"/>
        <w:rPr>
          <w:lang w:val="fr-CA" w:eastAsia="en-CA"/>
        </w:rPr>
      </w:pPr>
    </w:p>
    <w:p w14:paraId="3738225F" w14:textId="242F73AD" w:rsidR="00B549D7" w:rsidRPr="001B7CD2" w:rsidRDefault="001B7CD2" w:rsidP="00AD6AD7">
      <w:pPr>
        <w:rPr>
          <w:lang w:val="fr-CA" w:eastAsia="en-CA"/>
        </w:rPr>
      </w:pPr>
      <w:r w:rsidRPr="001B7CD2">
        <w:rPr>
          <w:lang w:val="fr-CA" w:eastAsia="en-CA"/>
        </w:rPr>
        <w:t xml:space="preserve">Tous les documents thématiques sont disponibles </w:t>
      </w:r>
      <w:r>
        <w:rPr>
          <w:lang w:val="fr-CA" w:eastAsia="en-CA"/>
        </w:rPr>
        <w:t xml:space="preserve">sur le </w:t>
      </w:r>
      <w:hyperlink r:id="rId33" w:history="1">
        <w:r w:rsidR="009003DB" w:rsidRPr="001B7CD2">
          <w:rPr>
            <w:rStyle w:val="Hyperlink"/>
            <w:lang w:val="fr-CA" w:eastAsia="en-CA"/>
          </w:rPr>
          <w:t>site Web</w:t>
        </w:r>
      </w:hyperlink>
      <w:r>
        <w:rPr>
          <w:lang w:val="fr-CA" w:eastAsia="en-CA"/>
        </w:rPr>
        <w:t xml:space="preserve"> du projet de la CDO.</w:t>
      </w:r>
      <w:r w:rsidR="00B549D7" w:rsidRPr="001B7CD2">
        <w:rPr>
          <w:lang w:val="fr-CA" w:eastAsia="en-CA"/>
        </w:rPr>
        <w:t xml:space="preserve"> </w:t>
      </w:r>
    </w:p>
    <w:p w14:paraId="77B695D4" w14:textId="6E55660B" w:rsidR="003E2307" w:rsidRPr="00A317D7" w:rsidRDefault="00331AAB" w:rsidP="003E2307">
      <w:pPr>
        <w:spacing w:after="0"/>
        <w:ind w:left="1440" w:hanging="1440"/>
        <w:rPr>
          <w:b/>
          <w:bCs/>
          <w:lang w:val="fr-CA" w:eastAsia="en-CA"/>
        </w:rPr>
      </w:pPr>
      <w:r>
        <w:rPr>
          <w:b/>
          <w:bCs/>
          <w:lang w:val="fr-CA" w:eastAsia="en-CA"/>
        </w:rPr>
        <w:t xml:space="preserve">Rapport </w:t>
      </w:r>
      <w:r w:rsidR="003E2307" w:rsidRPr="00A317D7">
        <w:rPr>
          <w:b/>
          <w:bCs/>
          <w:lang w:val="fr-CA" w:eastAsia="en-CA"/>
        </w:rPr>
        <w:t>1</w:t>
      </w:r>
      <w:r>
        <w:rPr>
          <w:b/>
          <w:bCs/>
          <w:lang w:val="fr-CA" w:eastAsia="en-CA"/>
        </w:rPr>
        <w:t> </w:t>
      </w:r>
      <w:r w:rsidR="003E2307" w:rsidRPr="00A317D7">
        <w:rPr>
          <w:b/>
          <w:bCs/>
          <w:lang w:val="fr-CA" w:eastAsia="en-CA"/>
        </w:rPr>
        <w:t xml:space="preserve">: </w:t>
      </w:r>
      <w:r w:rsidR="003E2307" w:rsidRPr="00A317D7">
        <w:rPr>
          <w:b/>
          <w:bCs/>
          <w:lang w:val="fr-CA" w:eastAsia="en-CA"/>
        </w:rPr>
        <w:tab/>
        <w:t xml:space="preserve">Introduction </w:t>
      </w:r>
      <w:r>
        <w:rPr>
          <w:b/>
          <w:bCs/>
          <w:lang w:val="fr-CA" w:eastAsia="en-CA"/>
        </w:rPr>
        <w:t xml:space="preserve">au projet de la CDO </w:t>
      </w:r>
      <w:r w:rsidRPr="00331AAB">
        <w:rPr>
          <w:b/>
          <w:bCs/>
          <w:lang w:val="fr-CA" w:eastAsia="en-CA"/>
        </w:rPr>
        <w:t>sur l’IA dans le système de justice pénale</w:t>
      </w:r>
    </w:p>
    <w:p w14:paraId="0493ACED" w14:textId="77777777" w:rsidR="003E2307" w:rsidRPr="00A317D7" w:rsidRDefault="003E2307" w:rsidP="003E2307">
      <w:pPr>
        <w:spacing w:after="0"/>
        <w:ind w:left="1440" w:hanging="1440"/>
        <w:rPr>
          <w:b/>
          <w:bCs/>
          <w:lang w:val="fr-CA" w:eastAsia="en-CA"/>
        </w:rPr>
      </w:pPr>
    </w:p>
    <w:p w14:paraId="5A53A2D3" w14:textId="0D69E296" w:rsidR="003E2307" w:rsidRPr="001B7CD2" w:rsidRDefault="001B7CD2" w:rsidP="003E2307">
      <w:pPr>
        <w:spacing w:after="0"/>
        <w:rPr>
          <w:color w:val="000000" w:themeColor="text1"/>
          <w:lang w:val="fr-CA"/>
        </w:rPr>
      </w:pPr>
      <w:r w:rsidRPr="001B7CD2">
        <w:rPr>
          <w:lang w:val="fr-CA" w:eastAsia="en-CA"/>
        </w:rPr>
        <w:lastRenderedPageBreak/>
        <w:t>Le premier document est une introduction et un résumé du projet de la CDO sur l’IA dans le système de justice pénale</w:t>
      </w:r>
      <w:r w:rsidR="003E2307" w:rsidRPr="001B7CD2">
        <w:rPr>
          <w:lang w:val="fr-CA" w:eastAsia="en-CA"/>
        </w:rPr>
        <w:t xml:space="preserve">. </w:t>
      </w:r>
      <w:r w:rsidRPr="001B7CD2">
        <w:rPr>
          <w:lang w:val="fr-CA" w:eastAsia="en-CA"/>
        </w:rPr>
        <w:t xml:space="preserve">Ce rapport a été rédigé par </w:t>
      </w:r>
      <w:r w:rsidRPr="001B7CD2">
        <w:rPr>
          <w:color w:val="000000" w:themeColor="text1"/>
          <w:lang w:val="fr-CA"/>
        </w:rPr>
        <w:t>le</w:t>
      </w:r>
      <w:r>
        <w:rPr>
          <w:color w:val="000000" w:themeColor="text1"/>
          <w:lang w:val="fr-CA"/>
        </w:rPr>
        <w:t xml:space="preserve"> directeur général de la </w:t>
      </w:r>
      <w:r w:rsidR="00DF11B0" w:rsidRPr="001B7CD2">
        <w:rPr>
          <w:color w:val="000000" w:themeColor="text1"/>
          <w:lang w:val="fr-CA"/>
        </w:rPr>
        <w:t>CDO</w:t>
      </w:r>
      <w:r w:rsidR="003E2307" w:rsidRPr="001B7CD2">
        <w:rPr>
          <w:color w:val="000000" w:themeColor="text1"/>
          <w:lang w:val="fr-CA"/>
        </w:rPr>
        <w:t xml:space="preserve">, Nye Thomas. </w:t>
      </w:r>
    </w:p>
    <w:p w14:paraId="1509C83A" w14:textId="559A6F43" w:rsidR="003E2307" w:rsidRPr="001B7CD2" w:rsidRDefault="003E2307" w:rsidP="003E2307">
      <w:pPr>
        <w:spacing w:after="0"/>
        <w:ind w:left="1440" w:hanging="1440"/>
        <w:rPr>
          <w:lang w:val="fr-CA" w:eastAsia="en-CA"/>
        </w:rPr>
      </w:pPr>
    </w:p>
    <w:p w14:paraId="05629D60" w14:textId="6CA86EC1" w:rsidR="00341AC8" w:rsidRPr="00A317D7" w:rsidRDefault="001B7CD2" w:rsidP="00341AC8">
      <w:pPr>
        <w:spacing w:after="0"/>
        <w:rPr>
          <w:lang w:val="fr-CA"/>
        </w:rPr>
      </w:pPr>
      <w:r w:rsidRPr="001B7CD2">
        <w:rPr>
          <w:lang w:val="fr-CA" w:eastAsia="en-CA"/>
        </w:rPr>
        <w:t xml:space="preserve">Ce rapport </w:t>
      </w:r>
      <w:r w:rsidR="00B02437">
        <w:rPr>
          <w:lang w:val="fr-CA" w:eastAsia="en-CA"/>
        </w:rPr>
        <w:t>cerne</w:t>
      </w:r>
      <w:r w:rsidRPr="001B7CD2">
        <w:rPr>
          <w:lang w:val="fr-CA" w:eastAsia="en-CA"/>
        </w:rPr>
        <w:t xml:space="preserve"> les systèmes d</w:t>
      </w:r>
      <w:r w:rsidR="00C62E0C">
        <w:rPr>
          <w:lang w:val="fr-CA" w:eastAsia="en-CA"/>
        </w:rPr>
        <w:t>’</w:t>
      </w:r>
      <w:r w:rsidRPr="001B7CD2">
        <w:rPr>
          <w:lang w:val="fr-CA" w:eastAsia="en-CA"/>
        </w:rPr>
        <w:t xml:space="preserve">IA actuellement utilisés dans le </w:t>
      </w:r>
      <w:r w:rsidR="00512281">
        <w:rPr>
          <w:lang w:val="fr-CA" w:eastAsia="en-CA"/>
        </w:rPr>
        <w:t xml:space="preserve">secteur </w:t>
      </w:r>
      <w:r w:rsidRPr="001B7CD2">
        <w:rPr>
          <w:lang w:val="fr-CA" w:eastAsia="en-CA"/>
        </w:rPr>
        <w:t>de la justice pénale et résume leurs avantages et leurs risques respectifs. Il résume également les initiatives internationales et canadiennes en matière de gouvernance de l</w:t>
      </w:r>
      <w:r w:rsidR="00C62E0C">
        <w:rPr>
          <w:lang w:val="fr-CA" w:eastAsia="en-CA"/>
        </w:rPr>
        <w:t>’</w:t>
      </w:r>
      <w:r w:rsidRPr="001B7CD2">
        <w:rPr>
          <w:lang w:val="fr-CA" w:eastAsia="en-CA"/>
        </w:rPr>
        <w:t xml:space="preserve">IA dans le </w:t>
      </w:r>
      <w:r w:rsidR="00512281">
        <w:rPr>
          <w:lang w:val="fr-CA" w:eastAsia="en-CA"/>
        </w:rPr>
        <w:t xml:space="preserve">secteur </w:t>
      </w:r>
      <w:r w:rsidRPr="001B7CD2">
        <w:rPr>
          <w:lang w:val="fr-CA" w:eastAsia="en-CA"/>
        </w:rPr>
        <w:t>pénal. Il se termine par une évaluation de la «</w:t>
      </w:r>
      <w:r w:rsidR="00C62E0C">
        <w:rPr>
          <w:lang w:val="fr-CA" w:eastAsia="en-CA"/>
        </w:rPr>
        <w:t> </w:t>
      </w:r>
      <w:r w:rsidRPr="001B7CD2">
        <w:rPr>
          <w:lang w:val="fr-CA" w:eastAsia="en-CA"/>
        </w:rPr>
        <w:t>fiabilité de l</w:t>
      </w:r>
      <w:r w:rsidR="00C62E0C">
        <w:rPr>
          <w:lang w:val="fr-CA" w:eastAsia="en-CA"/>
        </w:rPr>
        <w:t>’</w:t>
      </w:r>
      <w:r w:rsidRPr="001B7CD2">
        <w:rPr>
          <w:lang w:val="fr-CA" w:eastAsia="en-CA"/>
        </w:rPr>
        <w:t xml:space="preserve">IA </w:t>
      </w:r>
      <w:r w:rsidR="00512281" w:rsidRPr="00512281">
        <w:rPr>
          <w:lang w:val="fr-CA" w:eastAsia="en-CA"/>
        </w:rPr>
        <w:t>dans le système de justice pénale</w:t>
      </w:r>
      <w:r w:rsidR="00C62E0C">
        <w:rPr>
          <w:lang w:val="fr-CA" w:eastAsia="en-CA"/>
        </w:rPr>
        <w:t> </w:t>
      </w:r>
      <w:r>
        <w:rPr>
          <w:lang w:val="fr-CA" w:eastAsia="en-CA"/>
        </w:rPr>
        <w:t>» au Canada et en Ontario</w:t>
      </w:r>
      <w:r w:rsidR="00EB09CE" w:rsidRPr="00A317D7">
        <w:rPr>
          <w:lang w:val="fr-CA" w:eastAsia="en-CA"/>
        </w:rPr>
        <w:t xml:space="preserve">. </w:t>
      </w:r>
    </w:p>
    <w:p w14:paraId="7BA28E50" w14:textId="77777777" w:rsidR="003E2307" w:rsidRPr="00A317D7" w:rsidRDefault="003E2307" w:rsidP="00341AC8">
      <w:pPr>
        <w:spacing w:after="0"/>
        <w:rPr>
          <w:lang w:val="fr-CA" w:eastAsia="en-CA"/>
        </w:rPr>
      </w:pPr>
    </w:p>
    <w:p w14:paraId="748236DB" w14:textId="1A9164C6" w:rsidR="00B549D7" w:rsidRPr="00A317D7" w:rsidRDefault="00331AAB" w:rsidP="009C2ED0">
      <w:pPr>
        <w:spacing w:after="0"/>
        <w:rPr>
          <w:b/>
          <w:bCs/>
          <w:lang w:val="fr-CA" w:eastAsia="en-CA"/>
        </w:rPr>
      </w:pPr>
      <w:r>
        <w:rPr>
          <w:b/>
          <w:bCs/>
          <w:lang w:val="fr-CA" w:eastAsia="en-CA"/>
        </w:rPr>
        <w:t xml:space="preserve">Rapport </w:t>
      </w:r>
      <w:r w:rsidR="009C2ED0" w:rsidRPr="00A317D7">
        <w:rPr>
          <w:b/>
          <w:bCs/>
          <w:lang w:val="fr-CA" w:eastAsia="en-CA"/>
        </w:rPr>
        <w:t>2</w:t>
      </w:r>
      <w:r>
        <w:rPr>
          <w:b/>
          <w:bCs/>
          <w:lang w:val="fr-CA" w:eastAsia="en-CA"/>
        </w:rPr>
        <w:t> </w:t>
      </w:r>
      <w:r w:rsidR="009C2ED0" w:rsidRPr="00A317D7">
        <w:rPr>
          <w:b/>
          <w:bCs/>
          <w:lang w:val="fr-CA" w:eastAsia="en-CA"/>
        </w:rPr>
        <w:t>:</w:t>
      </w:r>
      <w:r w:rsidR="009C2ED0" w:rsidRPr="00A317D7">
        <w:rPr>
          <w:b/>
          <w:bCs/>
          <w:lang w:val="fr-CA" w:eastAsia="en-CA"/>
        </w:rPr>
        <w:tab/>
      </w:r>
      <w:bookmarkEnd w:id="28"/>
      <w:r w:rsidRPr="00331AAB">
        <w:rPr>
          <w:b/>
          <w:bCs/>
          <w:lang w:val="fr-CA" w:eastAsia="en-CA"/>
        </w:rPr>
        <w:t>L’utilisation de l’IA par les forces de l’ordre</w:t>
      </w:r>
    </w:p>
    <w:p w14:paraId="18A28A83" w14:textId="77777777" w:rsidR="00B549D7" w:rsidRPr="00A317D7" w:rsidRDefault="00B549D7" w:rsidP="00CE221D">
      <w:pPr>
        <w:pStyle w:val="Heading2"/>
        <w:spacing w:before="0"/>
        <w:rPr>
          <w:sz w:val="24"/>
          <w:szCs w:val="24"/>
          <w:lang w:val="fr-CA" w:eastAsia="en-CA"/>
        </w:rPr>
      </w:pPr>
    </w:p>
    <w:p w14:paraId="3F79AFD4" w14:textId="659036D4" w:rsidR="00B549D7" w:rsidRPr="00A317D7" w:rsidRDefault="001B7CD2" w:rsidP="00ED74D8">
      <w:pPr>
        <w:spacing w:after="0"/>
        <w:rPr>
          <w:color w:val="000000" w:themeColor="text1"/>
          <w:lang w:val="fr-CA"/>
        </w:rPr>
      </w:pPr>
      <w:r w:rsidRPr="001B7CD2">
        <w:rPr>
          <w:color w:val="000000" w:themeColor="text1"/>
          <w:lang w:val="fr-CA"/>
        </w:rPr>
        <w:t>Le deuxième document du projet examine l</w:t>
      </w:r>
      <w:r w:rsidR="00C62E0C">
        <w:rPr>
          <w:color w:val="000000" w:themeColor="text1"/>
          <w:lang w:val="fr-CA"/>
        </w:rPr>
        <w:t>’</w:t>
      </w:r>
      <w:r w:rsidRPr="001B7CD2">
        <w:rPr>
          <w:color w:val="000000" w:themeColor="text1"/>
          <w:lang w:val="fr-CA"/>
        </w:rPr>
        <w:t>utilisation de l</w:t>
      </w:r>
      <w:r w:rsidR="00C62E0C">
        <w:rPr>
          <w:color w:val="000000" w:themeColor="text1"/>
          <w:lang w:val="fr-CA"/>
        </w:rPr>
        <w:t>’</w:t>
      </w:r>
      <w:r w:rsidRPr="001B7CD2">
        <w:rPr>
          <w:color w:val="000000" w:themeColor="text1"/>
          <w:lang w:val="fr-CA"/>
        </w:rPr>
        <w:t>IA par les forces de l</w:t>
      </w:r>
      <w:r w:rsidR="00C62E0C">
        <w:rPr>
          <w:color w:val="000000" w:themeColor="text1"/>
          <w:lang w:val="fr-CA"/>
        </w:rPr>
        <w:t>’</w:t>
      </w:r>
      <w:r w:rsidRPr="001B7CD2">
        <w:rPr>
          <w:color w:val="000000" w:themeColor="text1"/>
          <w:lang w:val="fr-CA"/>
        </w:rPr>
        <w:t xml:space="preserve">ordre. Ce document a été rédigé par </w:t>
      </w:r>
      <w:r w:rsidR="009B3CDC" w:rsidRPr="00A317D7">
        <w:rPr>
          <w:color w:val="000000" w:themeColor="text1"/>
          <w:lang w:val="fr-CA"/>
        </w:rPr>
        <w:t>Ryan Fritsch</w:t>
      </w:r>
      <w:r w:rsidR="009B3CDC">
        <w:rPr>
          <w:color w:val="000000" w:themeColor="text1"/>
          <w:lang w:val="fr-CA"/>
        </w:rPr>
        <w:t xml:space="preserve">, </w:t>
      </w:r>
      <w:r>
        <w:rPr>
          <w:color w:val="000000" w:themeColor="text1"/>
          <w:lang w:val="fr-CA"/>
        </w:rPr>
        <w:t xml:space="preserve">avocat </w:t>
      </w:r>
      <w:r w:rsidR="00B02437">
        <w:rPr>
          <w:color w:val="000000" w:themeColor="text1"/>
          <w:lang w:val="fr-CA"/>
        </w:rPr>
        <w:t xml:space="preserve">à </w:t>
      </w:r>
      <w:r>
        <w:rPr>
          <w:color w:val="000000" w:themeColor="text1"/>
          <w:lang w:val="fr-CA"/>
        </w:rPr>
        <w:t xml:space="preserve">la </w:t>
      </w:r>
      <w:r w:rsidR="00DF11B0">
        <w:rPr>
          <w:color w:val="000000" w:themeColor="text1"/>
          <w:lang w:val="fr-CA"/>
        </w:rPr>
        <w:t>CDO</w:t>
      </w:r>
      <w:r w:rsidR="00B549D7" w:rsidRPr="00A317D7">
        <w:rPr>
          <w:color w:val="000000" w:themeColor="text1"/>
          <w:lang w:val="fr-CA"/>
        </w:rPr>
        <w:t>.</w:t>
      </w:r>
      <w:r w:rsidR="00BE6D0C" w:rsidRPr="00A317D7">
        <w:rPr>
          <w:color w:val="000000" w:themeColor="text1"/>
          <w:lang w:val="fr-CA"/>
        </w:rPr>
        <w:t xml:space="preserve"> </w:t>
      </w:r>
    </w:p>
    <w:p w14:paraId="66E6B581" w14:textId="77777777" w:rsidR="00B549D7" w:rsidRPr="00A317D7" w:rsidRDefault="00B549D7" w:rsidP="00ED74D8">
      <w:pPr>
        <w:spacing w:after="0"/>
        <w:rPr>
          <w:color w:val="000000" w:themeColor="text1"/>
          <w:lang w:val="fr-CA"/>
        </w:rPr>
      </w:pPr>
    </w:p>
    <w:p w14:paraId="414D2DF6" w14:textId="5CB67156" w:rsidR="00B549D7" w:rsidRPr="00A317D7" w:rsidRDefault="001B7CD2" w:rsidP="00ED74D8">
      <w:pPr>
        <w:spacing w:after="0"/>
        <w:rPr>
          <w:color w:val="000000" w:themeColor="text1"/>
          <w:lang w:val="fr-CA"/>
        </w:rPr>
      </w:pPr>
      <w:r w:rsidRPr="001B7CD2">
        <w:rPr>
          <w:color w:val="000000" w:themeColor="text1"/>
          <w:lang w:val="fr-CA"/>
        </w:rPr>
        <w:t xml:space="preserve">Ce </w:t>
      </w:r>
      <w:r>
        <w:rPr>
          <w:color w:val="000000" w:themeColor="text1"/>
          <w:lang w:val="fr-CA"/>
        </w:rPr>
        <w:t xml:space="preserve">rapport </w:t>
      </w:r>
      <w:r w:rsidRPr="001B7CD2">
        <w:rPr>
          <w:color w:val="000000" w:themeColor="text1"/>
          <w:lang w:val="fr-CA"/>
        </w:rPr>
        <w:t>traite du large éventail de technologies basées sur l</w:t>
      </w:r>
      <w:r w:rsidR="00C62E0C">
        <w:rPr>
          <w:color w:val="000000" w:themeColor="text1"/>
          <w:lang w:val="fr-CA"/>
        </w:rPr>
        <w:t>’</w:t>
      </w:r>
      <w:r w:rsidRPr="001B7CD2">
        <w:rPr>
          <w:color w:val="000000" w:themeColor="text1"/>
          <w:lang w:val="fr-CA"/>
        </w:rPr>
        <w:t>IA utilisées par les forces de l</w:t>
      </w:r>
      <w:r w:rsidR="00C62E0C">
        <w:rPr>
          <w:color w:val="000000" w:themeColor="text1"/>
          <w:lang w:val="fr-CA"/>
        </w:rPr>
        <w:t>’</w:t>
      </w:r>
      <w:r w:rsidRPr="001B7CD2">
        <w:rPr>
          <w:color w:val="000000" w:themeColor="text1"/>
          <w:lang w:val="fr-CA"/>
        </w:rPr>
        <w:t>ordre à l</w:t>
      </w:r>
      <w:r w:rsidR="00C62E0C">
        <w:rPr>
          <w:color w:val="000000" w:themeColor="text1"/>
          <w:lang w:val="fr-CA"/>
        </w:rPr>
        <w:t>’</w:t>
      </w:r>
      <w:r w:rsidRPr="001B7CD2">
        <w:rPr>
          <w:color w:val="000000" w:themeColor="text1"/>
          <w:lang w:val="fr-CA"/>
        </w:rPr>
        <w:t>échelle internationale et au Canada, notamment la reconnaissance faciale, le maintien de l</w:t>
      </w:r>
      <w:r w:rsidR="00C62E0C">
        <w:rPr>
          <w:color w:val="000000" w:themeColor="text1"/>
          <w:lang w:val="fr-CA"/>
        </w:rPr>
        <w:t>’</w:t>
      </w:r>
      <w:r w:rsidRPr="001B7CD2">
        <w:rPr>
          <w:color w:val="000000" w:themeColor="text1"/>
          <w:lang w:val="fr-CA"/>
        </w:rPr>
        <w:t>ordre prédictif, la reconnaissance d</w:t>
      </w:r>
      <w:r w:rsidR="00C62E0C">
        <w:rPr>
          <w:color w:val="000000" w:themeColor="text1"/>
          <w:lang w:val="fr-CA"/>
        </w:rPr>
        <w:t>’</w:t>
      </w:r>
      <w:r w:rsidRPr="001B7CD2">
        <w:rPr>
          <w:color w:val="000000" w:themeColor="text1"/>
          <w:lang w:val="fr-CA"/>
        </w:rPr>
        <w:t>objets, les preuves générées par l</w:t>
      </w:r>
      <w:r w:rsidR="00C62E0C">
        <w:rPr>
          <w:color w:val="000000" w:themeColor="text1"/>
          <w:lang w:val="fr-CA"/>
        </w:rPr>
        <w:t>’</w:t>
      </w:r>
      <w:r w:rsidRPr="001B7CD2">
        <w:rPr>
          <w:color w:val="000000" w:themeColor="text1"/>
          <w:lang w:val="fr-CA"/>
        </w:rPr>
        <w:t>IA et autres. Il examine les avantages et les risques de ces systèmes et la manière dont ils soulèvent de nouvelles questions juridiques, sociétales et constitutionnelles</w:t>
      </w:r>
      <w:r w:rsidR="00B549D7" w:rsidRPr="00A317D7">
        <w:rPr>
          <w:lang w:val="fr-CA"/>
        </w:rPr>
        <w:t>.</w:t>
      </w:r>
    </w:p>
    <w:p w14:paraId="48A3DF49" w14:textId="77777777" w:rsidR="00B549D7" w:rsidRPr="00A317D7" w:rsidRDefault="00B549D7" w:rsidP="00CE221D">
      <w:pPr>
        <w:spacing w:after="0" w:line="240" w:lineRule="auto"/>
        <w:rPr>
          <w:lang w:val="fr-CA"/>
        </w:rPr>
      </w:pPr>
    </w:p>
    <w:p w14:paraId="5C94A08A" w14:textId="0588C9BC" w:rsidR="00B549D7" w:rsidRPr="00A317D7" w:rsidRDefault="001B7CD2" w:rsidP="00CE221D">
      <w:pPr>
        <w:spacing w:after="0" w:line="240" w:lineRule="auto"/>
        <w:rPr>
          <w:rFonts w:eastAsia="Times New Roman" w:cstheme="minorHAnsi"/>
          <w:kern w:val="0"/>
          <w:lang w:val="fr-CA" w:eastAsia="en-CA"/>
          <w14:ligatures w14:val="none"/>
        </w:rPr>
      </w:pPr>
      <w:r w:rsidRPr="001B7CD2">
        <w:rPr>
          <w:lang w:val="fr-CA"/>
        </w:rPr>
        <w:t>Le rapport examine également comment l</w:t>
      </w:r>
      <w:r w:rsidR="00C62E0C">
        <w:rPr>
          <w:lang w:val="fr-CA"/>
        </w:rPr>
        <w:t>’</w:t>
      </w:r>
      <w:r w:rsidRPr="001B7CD2">
        <w:rPr>
          <w:lang w:val="fr-CA"/>
        </w:rPr>
        <w:t>IA pourrait influencer l</w:t>
      </w:r>
      <w:r w:rsidR="00C62E0C">
        <w:rPr>
          <w:lang w:val="fr-CA"/>
        </w:rPr>
        <w:t>’</w:t>
      </w:r>
      <w:r w:rsidRPr="001B7CD2">
        <w:rPr>
          <w:lang w:val="fr-CA"/>
        </w:rPr>
        <w:t>évaluation des accusations par le ministère public et la fonction consultative entre le ministère public et les forces de l</w:t>
      </w:r>
      <w:r w:rsidR="00C62E0C">
        <w:rPr>
          <w:lang w:val="fr-CA"/>
        </w:rPr>
        <w:t>’</w:t>
      </w:r>
      <w:r w:rsidRPr="001B7CD2">
        <w:rPr>
          <w:lang w:val="fr-CA"/>
        </w:rPr>
        <w:t xml:space="preserve">ordre, y compris les questions relatives à </w:t>
      </w:r>
      <w:r w:rsidR="009B3CDC">
        <w:rPr>
          <w:lang w:val="fr-CA"/>
        </w:rPr>
        <w:t xml:space="preserve">la recevabilité </w:t>
      </w:r>
      <w:r w:rsidRPr="001B7CD2">
        <w:rPr>
          <w:lang w:val="fr-CA"/>
        </w:rPr>
        <w:t>de l</w:t>
      </w:r>
      <w:r w:rsidR="00C62E0C">
        <w:rPr>
          <w:lang w:val="fr-CA"/>
        </w:rPr>
        <w:t>’</w:t>
      </w:r>
      <w:r w:rsidRPr="001B7CD2">
        <w:rPr>
          <w:lang w:val="fr-CA"/>
        </w:rPr>
        <w:t>IA, aux exigences en matière de divulgation et aux questions de confidentialité.</w:t>
      </w:r>
    </w:p>
    <w:p w14:paraId="6A8DE815" w14:textId="77777777" w:rsidR="00341AC8" w:rsidRPr="00A317D7" w:rsidRDefault="00341AC8" w:rsidP="00CE221D">
      <w:pPr>
        <w:spacing w:after="0" w:line="240" w:lineRule="auto"/>
        <w:rPr>
          <w:rFonts w:eastAsia="Times New Roman" w:cstheme="minorHAnsi"/>
          <w:kern w:val="0"/>
          <w:lang w:val="fr-CA" w:eastAsia="en-CA"/>
          <w14:ligatures w14:val="none"/>
        </w:rPr>
      </w:pPr>
    </w:p>
    <w:p w14:paraId="44B86483" w14:textId="5C9BF64D" w:rsidR="00B549D7" w:rsidRPr="00A317D7" w:rsidRDefault="00331AAB" w:rsidP="009C2ED0">
      <w:pPr>
        <w:spacing w:after="0"/>
        <w:rPr>
          <w:b/>
          <w:bCs/>
          <w:lang w:val="fr-CA" w:eastAsia="en-CA"/>
        </w:rPr>
      </w:pPr>
      <w:bookmarkStart w:id="29" w:name="_Toc188900899"/>
      <w:r>
        <w:rPr>
          <w:b/>
          <w:bCs/>
          <w:lang w:val="fr-CA" w:eastAsia="en-CA"/>
        </w:rPr>
        <w:t xml:space="preserve">Rapport </w:t>
      </w:r>
      <w:r w:rsidR="009C2ED0" w:rsidRPr="00A317D7">
        <w:rPr>
          <w:b/>
          <w:bCs/>
          <w:lang w:val="fr-CA" w:eastAsia="en-CA"/>
        </w:rPr>
        <w:t>3</w:t>
      </w:r>
      <w:r>
        <w:rPr>
          <w:b/>
          <w:bCs/>
          <w:lang w:val="fr-CA" w:eastAsia="en-CA"/>
        </w:rPr>
        <w:t> </w:t>
      </w:r>
      <w:r w:rsidR="009C2ED0" w:rsidRPr="00A317D7">
        <w:rPr>
          <w:b/>
          <w:bCs/>
          <w:lang w:val="fr-CA" w:eastAsia="en-CA"/>
        </w:rPr>
        <w:t>:</w:t>
      </w:r>
      <w:r w:rsidR="009C2ED0" w:rsidRPr="00A317D7">
        <w:rPr>
          <w:b/>
          <w:bCs/>
          <w:lang w:val="fr-CA" w:eastAsia="en-CA"/>
        </w:rPr>
        <w:tab/>
      </w:r>
      <w:bookmarkEnd w:id="29"/>
      <w:r w:rsidRPr="00331AAB">
        <w:rPr>
          <w:b/>
          <w:bCs/>
          <w:lang w:val="fr-CA" w:eastAsia="en-CA"/>
        </w:rPr>
        <w:t>L’IA et l’évaluation du risque associé à la mise en liberté sous caution, à la détermination des peines et à la récidive</w:t>
      </w:r>
    </w:p>
    <w:p w14:paraId="6F96D409" w14:textId="77777777" w:rsidR="00B549D7" w:rsidRPr="00A317D7" w:rsidRDefault="00B549D7" w:rsidP="00CE221D">
      <w:pPr>
        <w:spacing w:after="0"/>
        <w:rPr>
          <w:lang w:val="fr-CA" w:eastAsia="en-CA"/>
        </w:rPr>
      </w:pPr>
    </w:p>
    <w:p w14:paraId="4F860888" w14:textId="15213EE6" w:rsidR="00B549D7" w:rsidRPr="001B7CD2" w:rsidRDefault="001B7CD2" w:rsidP="003D63EF">
      <w:pPr>
        <w:spacing w:after="0"/>
        <w:rPr>
          <w:lang w:val="fr-CA" w:eastAsia="en-CA"/>
        </w:rPr>
      </w:pPr>
      <w:r w:rsidRPr="001B7CD2">
        <w:rPr>
          <w:lang w:val="fr-CA"/>
        </w:rPr>
        <w:t>Le troisième document du projet traite de l</w:t>
      </w:r>
      <w:r w:rsidR="00C62E0C">
        <w:rPr>
          <w:lang w:val="fr-CA"/>
        </w:rPr>
        <w:t>’</w:t>
      </w:r>
      <w:r w:rsidRPr="001B7CD2">
        <w:rPr>
          <w:lang w:val="fr-CA"/>
        </w:rPr>
        <w:t xml:space="preserve">IA, des algorithmes et de la mise en liberté sous caution. Les auteurs de ce document sont </w:t>
      </w:r>
      <w:r w:rsidR="00B549D7" w:rsidRPr="001B7CD2">
        <w:rPr>
          <w:lang w:val="fr-CA" w:eastAsia="en-CA"/>
        </w:rPr>
        <w:t xml:space="preserve">Armando D’Andrea, </w:t>
      </w:r>
      <w:r w:rsidR="00537B27">
        <w:rPr>
          <w:lang w:val="fr-CA" w:eastAsia="en-CA"/>
        </w:rPr>
        <w:t>r</w:t>
      </w:r>
      <w:r w:rsidR="00537B27" w:rsidRPr="00537B27">
        <w:rPr>
          <w:lang w:val="fr-CA" w:eastAsia="en-CA"/>
        </w:rPr>
        <w:t xml:space="preserve">esponsable du comité pénal </w:t>
      </w:r>
      <w:r w:rsidRPr="001B7CD2">
        <w:rPr>
          <w:lang w:val="fr-CA" w:eastAsia="en-CA"/>
        </w:rPr>
        <w:t xml:space="preserve">et </w:t>
      </w:r>
      <w:r>
        <w:rPr>
          <w:lang w:val="fr-CA" w:eastAsia="en-CA"/>
        </w:rPr>
        <w:t>a</w:t>
      </w:r>
      <w:r w:rsidRPr="001B7CD2">
        <w:rPr>
          <w:lang w:val="fr-CA" w:eastAsia="en-CA"/>
        </w:rPr>
        <w:t>n</w:t>
      </w:r>
      <w:r>
        <w:rPr>
          <w:lang w:val="fr-CA" w:eastAsia="en-CA"/>
        </w:rPr>
        <w:t xml:space="preserve">cien </w:t>
      </w:r>
      <w:r w:rsidRPr="001B7CD2">
        <w:rPr>
          <w:lang w:val="fr-CA" w:eastAsia="en-CA"/>
        </w:rPr>
        <w:t>avocat de service en matière criminelle</w:t>
      </w:r>
      <w:r w:rsidR="00B549D7" w:rsidRPr="001B7CD2">
        <w:rPr>
          <w:lang w:val="fr-CA" w:eastAsia="en-CA"/>
        </w:rPr>
        <w:t xml:space="preserve">, </w:t>
      </w:r>
      <w:r>
        <w:rPr>
          <w:lang w:val="fr-CA" w:eastAsia="en-CA"/>
        </w:rPr>
        <w:t xml:space="preserve">Aide juridique Ontario </w:t>
      </w:r>
      <w:r w:rsidRPr="001B7CD2">
        <w:rPr>
          <w:lang w:val="fr-CA" w:eastAsia="en-CA"/>
        </w:rPr>
        <w:t>et</w:t>
      </w:r>
      <w:r w:rsidR="00B549D7" w:rsidRPr="001B7CD2">
        <w:rPr>
          <w:lang w:val="fr-CA" w:eastAsia="en-CA"/>
        </w:rPr>
        <w:t xml:space="preserve"> Gideon Christian, </w:t>
      </w:r>
      <w:r w:rsidR="00537B27">
        <w:rPr>
          <w:lang w:val="fr-CA"/>
        </w:rPr>
        <w:t>faculté de droit</w:t>
      </w:r>
      <w:r w:rsidR="00537B27" w:rsidRPr="00A317D7">
        <w:rPr>
          <w:lang w:val="fr-CA"/>
        </w:rPr>
        <w:t>, Universit</w:t>
      </w:r>
      <w:r w:rsidR="00537B27">
        <w:rPr>
          <w:lang w:val="fr-CA"/>
        </w:rPr>
        <w:t xml:space="preserve">é de </w:t>
      </w:r>
      <w:r w:rsidR="00537B27" w:rsidRPr="00A317D7">
        <w:rPr>
          <w:lang w:val="fr-CA"/>
        </w:rPr>
        <w:t>Calgary</w:t>
      </w:r>
      <w:r w:rsidR="00B549D7" w:rsidRPr="001B7CD2">
        <w:rPr>
          <w:lang w:val="fr-CA" w:eastAsia="en-CA"/>
        </w:rPr>
        <w:t>.</w:t>
      </w:r>
      <w:r w:rsidR="00B549D7" w:rsidRPr="001B7CD2">
        <w:rPr>
          <w:highlight w:val="yellow"/>
          <w:lang w:val="fr-CA" w:eastAsia="en-CA"/>
        </w:rPr>
        <w:t xml:space="preserve"> </w:t>
      </w:r>
    </w:p>
    <w:p w14:paraId="30D4A4C3" w14:textId="141EB03E" w:rsidR="00B549D7" w:rsidRPr="00A317D7" w:rsidRDefault="00537B27" w:rsidP="001B7EFB">
      <w:pPr>
        <w:spacing w:before="100" w:beforeAutospacing="1" w:after="100" w:afterAutospacing="1" w:line="240" w:lineRule="auto"/>
        <w:rPr>
          <w:rFonts w:eastAsia="Times New Roman" w:cstheme="minorHAnsi"/>
          <w:kern w:val="0"/>
          <w:lang w:val="fr-CA" w:eastAsia="en-CA"/>
          <w14:ligatures w14:val="none"/>
        </w:rPr>
      </w:pPr>
      <w:r w:rsidRPr="00537B27">
        <w:rPr>
          <w:rFonts w:eastAsia="Times New Roman" w:cstheme="minorHAnsi"/>
          <w:kern w:val="0"/>
          <w:lang w:val="fr-CA" w:eastAsia="en-CA"/>
          <w14:ligatures w14:val="none"/>
        </w:rPr>
        <w:t>Les décisions relatives à la mise en liberté sous caution, à la détermination de</w:t>
      </w:r>
      <w:r w:rsidR="00512281">
        <w:rPr>
          <w:rFonts w:eastAsia="Times New Roman" w:cstheme="minorHAnsi"/>
          <w:kern w:val="0"/>
          <w:lang w:val="fr-CA" w:eastAsia="en-CA"/>
          <w14:ligatures w14:val="none"/>
        </w:rPr>
        <w:t xml:space="preserve">s </w:t>
      </w:r>
      <w:r w:rsidRPr="00537B27">
        <w:rPr>
          <w:rFonts w:eastAsia="Times New Roman" w:cstheme="minorHAnsi"/>
          <w:kern w:val="0"/>
          <w:lang w:val="fr-CA" w:eastAsia="en-CA"/>
          <w14:ligatures w14:val="none"/>
        </w:rPr>
        <w:t>peine</w:t>
      </w:r>
      <w:r w:rsidR="00512281">
        <w:rPr>
          <w:rFonts w:eastAsia="Times New Roman" w:cstheme="minorHAnsi"/>
          <w:kern w:val="0"/>
          <w:lang w:val="fr-CA" w:eastAsia="en-CA"/>
          <w14:ligatures w14:val="none"/>
        </w:rPr>
        <w:t>s</w:t>
      </w:r>
      <w:r w:rsidRPr="00537B27">
        <w:rPr>
          <w:rFonts w:eastAsia="Times New Roman" w:cstheme="minorHAnsi"/>
          <w:kern w:val="0"/>
          <w:lang w:val="fr-CA" w:eastAsia="en-CA"/>
          <w14:ligatures w14:val="none"/>
        </w:rPr>
        <w:t xml:space="preserve"> et aux mesures postérieures au prononcé d</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 xml:space="preserve">une </w:t>
      </w:r>
      <w:r w:rsidR="009B3CDC">
        <w:rPr>
          <w:rFonts w:eastAsia="Times New Roman" w:cstheme="minorHAnsi"/>
          <w:kern w:val="0"/>
          <w:lang w:val="fr-CA" w:eastAsia="en-CA"/>
          <w14:ligatures w14:val="none"/>
        </w:rPr>
        <w:t>sentence</w:t>
      </w:r>
      <w:r>
        <w:rPr>
          <w:rFonts w:eastAsia="Times New Roman" w:cstheme="minorHAnsi"/>
          <w:kern w:val="0"/>
          <w:lang w:val="fr-CA" w:eastAsia="en-CA"/>
          <w14:ligatures w14:val="none"/>
        </w:rPr>
        <w:t xml:space="preserve"> </w:t>
      </w:r>
      <w:r w:rsidRPr="00537B27">
        <w:rPr>
          <w:rFonts w:eastAsia="Times New Roman" w:cstheme="minorHAnsi"/>
          <w:kern w:val="0"/>
          <w:lang w:val="fr-CA" w:eastAsia="en-CA"/>
          <w14:ligatures w14:val="none"/>
        </w:rPr>
        <w:t>s</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appuient depuis longtemps sur des évaluations professionnelles des risques afin de prédire le danger potentiel qu</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un accusé ou un délinquant représente pour le public. Cependant, les évaluations des risques basées sur l</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IA apportent de nouvelles complications, telles que l</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impossibilité de contrinterroger les algorithmes en bo</w:t>
      </w:r>
      <w:r w:rsidR="00512281">
        <w:rPr>
          <w:rFonts w:eastAsia="Times New Roman" w:cstheme="minorHAnsi"/>
          <w:kern w:val="0"/>
          <w:lang w:val="fr-CA" w:eastAsia="en-CA"/>
          <w14:ligatures w14:val="none"/>
        </w:rPr>
        <w:t>i</w:t>
      </w:r>
      <w:r w:rsidRPr="00537B27">
        <w:rPr>
          <w:rFonts w:eastAsia="Times New Roman" w:cstheme="minorHAnsi"/>
          <w:kern w:val="0"/>
          <w:lang w:val="fr-CA" w:eastAsia="en-CA"/>
          <w14:ligatures w14:val="none"/>
        </w:rPr>
        <w:t>te noire</w:t>
      </w:r>
      <w:r w:rsidR="00C62E0C">
        <w:rPr>
          <w:rFonts w:eastAsia="Times New Roman" w:cstheme="minorHAnsi"/>
          <w:kern w:val="0"/>
          <w:lang w:val="fr-CA" w:eastAsia="en-CA"/>
          <w14:ligatures w14:val="none"/>
        </w:rPr>
        <w:t> </w:t>
      </w:r>
      <w:r w:rsidRPr="00537B27">
        <w:rPr>
          <w:rFonts w:eastAsia="Times New Roman" w:cstheme="minorHAnsi"/>
          <w:kern w:val="0"/>
          <w:lang w:val="fr-CA" w:eastAsia="en-CA"/>
          <w14:ligatures w14:val="none"/>
        </w:rPr>
        <w:t xml:space="preserve">; la déférence </w:t>
      </w:r>
      <w:r w:rsidR="00512281">
        <w:rPr>
          <w:rFonts w:eastAsia="Times New Roman" w:cstheme="minorHAnsi"/>
          <w:kern w:val="0"/>
          <w:lang w:val="fr-CA" w:eastAsia="en-CA"/>
          <w14:ligatures w14:val="none"/>
        </w:rPr>
        <w:t xml:space="preserve">à la </w:t>
      </w:r>
      <w:r w:rsidRPr="00537B27">
        <w:rPr>
          <w:rFonts w:eastAsia="Times New Roman" w:cstheme="minorHAnsi"/>
          <w:kern w:val="0"/>
          <w:lang w:val="fr-CA" w:eastAsia="en-CA"/>
          <w14:ligatures w14:val="none"/>
        </w:rPr>
        <w:t>technologie lorsque les humains s</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en remettent excessivement aux recommandations générées par l</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IA</w:t>
      </w:r>
      <w:r w:rsidR="00C62E0C">
        <w:rPr>
          <w:rFonts w:eastAsia="Times New Roman" w:cstheme="minorHAnsi"/>
          <w:kern w:val="0"/>
          <w:lang w:val="fr-CA" w:eastAsia="en-CA"/>
          <w14:ligatures w14:val="none"/>
        </w:rPr>
        <w:t> </w:t>
      </w:r>
      <w:r w:rsidRPr="00537B27">
        <w:rPr>
          <w:rFonts w:eastAsia="Times New Roman" w:cstheme="minorHAnsi"/>
          <w:kern w:val="0"/>
          <w:lang w:val="fr-CA" w:eastAsia="en-CA"/>
          <w14:ligatures w14:val="none"/>
        </w:rPr>
        <w:t>; la nécessité d</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équilibrer la protection des secrets commerciaux</w:t>
      </w:r>
      <w:r w:rsidR="00AA33F0">
        <w:rPr>
          <w:rFonts w:eastAsia="Times New Roman" w:cstheme="minorHAnsi"/>
          <w:kern w:val="0"/>
          <w:lang w:val="fr-CA" w:eastAsia="en-CA"/>
          <w14:ligatures w14:val="none"/>
        </w:rPr>
        <w:t xml:space="preserve">, </w:t>
      </w:r>
      <w:r w:rsidRPr="00537B27">
        <w:rPr>
          <w:rFonts w:eastAsia="Times New Roman" w:cstheme="minorHAnsi"/>
          <w:kern w:val="0"/>
          <w:lang w:val="fr-CA" w:eastAsia="en-CA"/>
          <w14:ligatures w14:val="none"/>
        </w:rPr>
        <w:t xml:space="preserve">les droits garantis par la </w:t>
      </w:r>
      <w:r w:rsidRPr="00512281">
        <w:rPr>
          <w:rFonts w:eastAsia="Times New Roman" w:cstheme="minorHAnsi"/>
          <w:i/>
          <w:kern w:val="0"/>
          <w:lang w:val="fr-CA" w:eastAsia="en-CA"/>
          <w14:ligatures w14:val="none"/>
        </w:rPr>
        <w:t>Charte</w:t>
      </w:r>
      <w:r w:rsidRPr="00537B27">
        <w:rPr>
          <w:rFonts w:eastAsia="Times New Roman" w:cstheme="minorHAnsi"/>
          <w:kern w:val="0"/>
          <w:lang w:val="fr-CA" w:eastAsia="en-CA"/>
          <w14:ligatures w14:val="none"/>
        </w:rPr>
        <w:t xml:space="preserve"> et le droit à l</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application régulière de la loi</w:t>
      </w:r>
      <w:r w:rsidR="00C62E0C">
        <w:rPr>
          <w:rFonts w:eastAsia="Times New Roman" w:cstheme="minorHAnsi"/>
          <w:kern w:val="0"/>
          <w:lang w:val="fr-CA" w:eastAsia="en-CA"/>
          <w14:ligatures w14:val="none"/>
        </w:rPr>
        <w:t> </w:t>
      </w:r>
      <w:r w:rsidRPr="00537B27">
        <w:rPr>
          <w:rFonts w:eastAsia="Times New Roman" w:cstheme="minorHAnsi"/>
          <w:kern w:val="0"/>
          <w:lang w:val="fr-CA" w:eastAsia="en-CA"/>
          <w14:ligatures w14:val="none"/>
        </w:rPr>
        <w:t>; et le risque que les systèmes d</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IA perpétuent les préjugés systém</w:t>
      </w:r>
      <w:r>
        <w:rPr>
          <w:rFonts w:eastAsia="Times New Roman" w:cstheme="minorHAnsi"/>
          <w:kern w:val="0"/>
          <w:lang w:val="fr-CA" w:eastAsia="en-CA"/>
          <w14:ligatures w14:val="none"/>
        </w:rPr>
        <w:t>iques racistes et colonialistes</w:t>
      </w:r>
      <w:r w:rsidR="00B549D7" w:rsidRPr="00A317D7">
        <w:rPr>
          <w:rFonts w:eastAsia="Times New Roman" w:cstheme="minorHAnsi"/>
          <w:kern w:val="0"/>
          <w:lang w:val="fr-CA" w:eastAsia="en-CA"/>
          <w14:ligatures w14:val="none"/>
        </w:rPr>
        <w:t>.</w:t>
      </w:r>
    </w:p>
    <w:p w14:paraId="45F97FB2" w14:textId="43A43237" w:rsidR="000E025D" w:rsidRPr="00A317D7" w:rsidRDefault="00537B27" w:rsidP="009D767E">
      <w:pPr>
        <w:spacing w:before="100" w:beforeAutospacing="1" w:after="100" w:afterAutospacing="1" w:line="240" w:lineRule="auto"/>
        <w:rPr>
          <w:rFonts w:eastAsia="Times New Roman" w:cstheme="minorHAnsi"/>
          <w:kern w:val="0"/>
          <w:lang w:val="fr-CA" w:eastAsia="en-CA"/>
          <w14:ligatures w14:val="none"/>
        </w:rPr>
      </w:pPr>
      <w:r w:rsidRPr="00537B27">
        <w:rPr>
          <w:rFonts w:eastAsia="Times New Roman" w:cstheme="minorHAnsi"/>
          <w:kern w:val="0"/>
          <w:lang w:val="fr-CA" w:eastAsia="en-CA"/>
          <w14:ligatures w14:val="none"/>
        </w:rPr>
        <w:t>Le rapport examine également la nature particulière des audiences de mise en liberté sous caution, qui ont tendance à être plus rapides et informelles, ainsi que des audiences de détermination de</w:t>
      </w:r>
      <w:r w:rsidR="00AA33F0">
        <w:rPr>
          <w:rFonts w:eastAsia="Times New Roman" w:cstheme="minorHAnsi"/>
          <w:kern w:val="0"/>
          <w:lang w:val="fr-CA" w:eastAsia="en-CA"/>
          <w14:ligatures w14:val="none"/>
        </w:rPr>
        <w:t xml:space="preserve">s </w:t>
      </w:r>
      <w:r w:rsidRPr="00537B27">
        <w:rPr>
          <w:rFonts w:eastAsia="Times New Roman" w:cstheme="minorHAnsi"/>
          <w:kern w:val="0"/>
          <w:lang w:val="fr-CA" w:eastAsia="en-CA"/>
          <w14:ligatures w14:val="none"/>
        </w:rPr>
        <w:t>peine</w:t>
      </w:r>
      <w:r w:rsidR="00AA33F0">
        <w:rPr>
          <w:rFonts w:eastAsia="Times New Roman" w:cstheme="minorHAnsi"/>
          <w:kern w:val="0"/>
          <w:lang w:val="fr-CA" w:eastAsia="en-CA"/>
          <w14:ligatures w14:val="none"/>
        </w:rPr>
        <w:t>s</w:t>
      </w:r>
      <w:r w:rsidRPr="00537B27">
        <w:rPr>
          <w:rFonts w:eastAsia="Times New Roman" w:cstheme="minorHAnsi"/>
          <w:kern w:val="0"/>
          <w:lang w:val="fr-CA" w:eastAsia="en-CA"/>
          <w14:ligatures w14:val="none"/>
        </w:rPr>
        <w:t xml:space="preserve"> et des audiences postérieures au prononcé d</w:t>
      </w:r>
      <w:r w:rsidR="00C62E0C">
        <w:rPr>
          <w:rFonts w:eastAsia="Times New Roman" w:cstheme="minorHAnsi"/>
          <w:kern w:val="0"/>
          <w:lang w:val="fr-CA" w:eastAsia="en-CA"/>
          <w14:ligatures w14:val="none"/>
        </w:rPr>
        <w:t>’</w:t>
      </w:r>
      <w:r w:rsidRPr="00537B27">
        <w:rPr>
          <w:rFonts w:eastAsia="Times New Roman" w:cstheme="minorHAnsi"/>
          <w:kern w:val="0"/>
          <w:lang w:val="fr-CA" w:eastAsia="en-CA"/>
          <w14:ligatures w14:val="none"/>
        </w:rPr>
        <w:t xml:space="preserve">une </w:t>
      </w:r>
      <w:r w:rsidR="009B3CDC">
        <w:rPr>
          <w:rFonts w:eastAsia="Times New Roman" w:cstheme="minorHAnsi"/>
          <w:kern w:val="0"/>
          <w:lang w:val="fr-CA" w:eastAsia="en-CA"/>
          <w14:ligatures w14:val="none"/>
        </w:rPr>
        <w:t>sentence</w:t>
      </w:r>
      <w:r w:rsidRPr="00537B27">
        <w:rPr>
          <w:rFonts w:eastAsia="Times New Roman" w:cstheme="minorHAnsi"/>
          <w:kern w:val="0"/>
          <w:lang w:val="fr-CA" w:eastAsia="en-CA"/>
          <w14:ligatures w14:val="none"/>
        </w:rPr>
        <w:t>, dans lesquelles la présomption</w:t>
      </w:r>
      <w:r>
        <w:rPr>
          <w:rFonts w:eastAsia="Times New Roman" w:cstheme="minorHAnsi"/>
          <w:kern w:val="0"/>
          <w:lang w:val="fr-CA" w:eastAsia="en-CA"/>
          <w14:ligatures w14:val="none"/>
        </w:rPr>
        <w:t xml:space="preserve"> d</w:t>
      </w:r>
      <w:r w:rsidR="00C62E0C">
        <w:rPr>
          <w:rFonts w:eastAsia="Times New Roman" w:cstheme="minorHAnsi"/>
          <w:kern w:val="0"/>
          <w:lang w:val="fr-CA" w:eastAsia="en-CA"/>
          <w14:ligatures w14:val="none"/>
        </w:rPr>
        <w:t>’</w:t>
      </w:r>
      <w:r>
        <w:rPr>
          <w:rFonts w:eastAsia="Times New Roman" w:cstheme="minorHAnsi"/>
          <w:kern w:val="0"/>
          <w:lang w:val="fr-CA" w:eastAsia="en-CA"/>
          <w14:ligatures w14:val="none"/>
        </w:rPr>
        <w:t>innocence ne s</w:t>
      </w:r>
      <w:r w:rsidR="00C62E0C">
        <w:rPr>
          <w:rFonts w:eastAsia="Times New Roman" w:cstheme="minorHAnsi"/>
          <w:kern w:val="0"/>
          <w:lang w:val="fr-CA" w:eastAsia="en-CA"/>
          <w14:ligatures w14:val="none"/>
        </w:rPr>
        <w:t>’</w:t>
      </w:r>
      <w:r>
        <w:rPr>
          <w:rFonts w:eastAsia="Times New Roman" w:cstheme="minorHAnsi"/>
          <w:kern w:val="0"/>
          <w:lang w:val="fr-CA" w:eastAsia="en-CA"/>
          <w14:ligatures w14:val="none"/>
        </w:rPr>
        <w:t>applique plus</w:t>
      </w:r>
      <w:r w:rsidR="00B549D7" w:rsidRPr="00A317D7">
        <w:rPr>
          <w:rFonts w:eastAsia="Times New Roman" w:cstheme="minorHAnsi"/>
          <w:kern w:val="0"/>
          <w:lang w:val="fr-CA" w:eastAsia="en-CA"/>
          <w14:ligatures w14:val="none"/>
        </w:rPr>
        <w:t>.</w:t>
      </w:r>
    </w:p>
    <w:p w14:paraId="7A07AEBC" w14:textId="7254028A" w:rsidR="00B549D7" w:rsidRPr="00A317D7" w:rsidRDefault="00331AAB" w:rsidP="00AA74AE">
      <w:pPr>
        <w:spacing w:after="0"/>
        <w:rPr>
          <w:b/>
          <w:bCs/>
          <w:lang w:val="fr-CA" w:eastAsia="en-CA"/>
        </w:rPr>
      </w:pPr>
      <w:bookmarkStart w:id="30" w:name="_Toc188900900"/>
      <w:r>
        <w:rPr>
          <w:b/>
          <w:bCs/>
          <w:lang w:val="fr-CA" w:eastAsia="en-CA"/>
        </w:rPr>
        <w:lastRenderedPageBreak/>
        <w:t xml:space="preserve">Rapport </w:t>
      </w:r>
      <w:r w:rsidR="00AA74AE" w:rsidRPr="00A317D7">
        <w:rPr>
          <w:b/>
          <w:bCs/>
          <w:lang w:val="fr-CA" w:eastAsia="en-CA"/>
        </w:rPr>
        <w:t>4</w:t>
      </w:r>
      <w:r>
        <w:rPr>
          <w:b/>
          <w:bCs/>
          <w:lang w:val="fr-CA" w:eastAsia="en-CA"/>
        </w:rPr>
        <w:t> </w:t>
      </w:r>
      <w:r w:rsidR="00AA74AE" w:rsidRPr="00A317D7">
        <w:rPr>
          <w:b/>
          <w:bCs/>
          <w:lang w:val="fr-CA" w:eastAsia="en-CA"/>
        </w:rPr>
        <w:t>:</w:t>
      </w:r>
      <w:r w:rsidR="00AA74AE" w:rsidRPr="00A317D7">
        <w:rPr>
          <w:b/>
          <w:bCs/>
          <w:lang w:val="fr-CA" w:eastAsia="en-CA"/>
        </w:rPr>
        <w:tab/>
      </w:r>
      <w:bookmarkEnd w:id="30"/>
      <w:r w:rsidRPr="00331AAB">
        <w:rPr>
          <w:b/>
          <w:bCs/>
          <w:lang w:val="fr-CA" w:eastAsia="en-CA"/>
        </w:rPr>
        <w:t>L’IA durant le procès et en appel</w:t>
      </w:r>
    </w:p>
    <w:p w14:paraId="47564BA0" w14:textId="77777777" w:rsidR="00B549D7" w:rsidRPr="00A317D7" w:rsidRDefault="00B549D7" w:rsidP="00CE221D">
      <w:pPr>
        <w:spacing w:after="0" w:line="240" w:lineRule="auto"/>
        <w:rPr>
          <w:rFonts w:eastAsia="Times New Roman" w:cstheme="minorHAnsi"/>
          <w:kern w:val="0"/>
          <w:lang w:val="fr-CA" w:eastAsia="en-CA"/>
          <w14:ligatures w14:val="none"/>
        </w:rPr>
      </w:pPr>
    </w:p>
    <w:p w14:paraId="4D76A0DC" w14:textId="11B00789" w:rsidR="00B549D7" w:rsidRPr="00756CC8" w:rsidRDefault="00756CC8" w:rsidP="00756CC8">
      <w:pPr>
        <w:spacing w:after="0" w:line="240" w:lineRule="auto"/>
        <w:rPr>
          <w:rFonts w:eastAsia="Times New Roman" w:cstheme="minorHAnsi"/>
          <w:kern w:val="0"/>
          <w:lang w:val="fr-CA" w:eastAsia="en-CA"/>
          <w14:ligatures w14:val="none"/>
        </w:rPr>
      </w:pPr>
      <w:r w:rsidRPr="00756CC8">
        <w:rPr>
          <w:lang w:val="fr-CA"/>
        </w:rPr>
        <w:t>Le quatrième document du projet traite de l</w:t>
      </w:r>
      <w:r w:rsidR="00C62E0C">
        <w:rPr>
          <w:lang w:val="fr-CA"/>
        </w:rPr>
        <w:t>’</w:t>
      </w:r>
      <w:r w:rsidRPr="00756CC8">
        <w:rPr>
          <w:lang w:val="fr-CA"/>
        </w:rPr>
        <w:t>IA dans les procès pénaux et les procédures d</w:t>
      </w:r>
      <w:r w:rsidR="00C62E0C">
        <w:rPr>
          <w:lang w:val="fr-CA"/>
        </w:rPr>
        <w:t>’</w:t>
      </w:r>
      <w:r w:rsidRPr="00756CC8">
        <w:rPr>
          <w:lang w:val="fr-CA"/>
        </w:rPr>
        <w:t xml:space="preserve">appel. </w:t>
      </w:r>
      <w:r w:rsidR="00C62E0C">
        <w:rPr>
          <w:lang w:val="fr-CA"/>
        </w:rPr>
        <w:t>Ce document a été rédigé par Paula Thompson, Initiatives stratégiques, ministère du Procureur général, et par Eric Neubauer, avocat de la défense, Neubauer Law, et coprésident, Criminal Lawyers Association Technology Committee.</w:t>
      </w:r>
    </w:p>
    <w:p w14:paraId="0C91A91A" w14:textId="77777777" w:rsidR="00B549D7" w:rsidRPr="00756CC8" w:rsidRDefault="00B549D7" w:rsidP="00CE221D">
      <w:pPr>
        <w:spacing w:after="0" w:line="240" w:lineRule="auto"/>
        <w:rPr>
          <w:rFonts w:eastAsia="Times New Roman" w:cstheme="minorHAnsi"/>
          <w:kern w:val="0"/>
          <w:lang w:val="fr-CA" w:eastAsia="en-CA"/>
          <w14:ligatures w14:val="none"/>
        </w:rPr>
      </w:pPr>
    </w:p>
    <w:p w14:paraId="756BB9A1" w14:textId="61AFA9EC" w:rsidR="00B549D7" w:rsidRPr="00231574" w:rsidRDefault="00231574" w:rsidP="00CE221D">
      <w:pPr>
        <w:spacing w:after="0" w:line="240" w:lineRule="auto"/>
        <w:rPr>
          <w:rFonts w:eastAsia="Times New Roman" w:cstheme="minorHAnsi"/>
          <w:kern w:val="0"/>
          <w:lang w:val="fr-CA" w:eastAsia="en-CA"/>
          <w14:ligatures w14:val="none"/>
        </w:rPr>
      </w:pPr>
      <w:r w:rsidRPr="00231574">
        <w:rPr>
          <w:rFonts w:eastAsia="Times New Roman" w:cstheme="minorHAnsi"/>
          <w:kern w:val="0"/>
          <w:lang w:val="fr-CA" w:eastAsia="en-CA"/>
          <w14:ligatures w14:val="none"/>
        </w:rPr>
        <w:t>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IA soulève de nouvelles questions fondamentales pour garantir 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équité des procès et la protection de la liberté et des droits constitutionnels. Les procès et les appels garantissent une procédure équitable et transparente en s</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 xml:space="preserve">appuyant sur la </w:t>
      </w:r>
      <w:r w:rsidRPr="00AA33F0">
        <w:rPr>
          <w:rFonts w:eastAsia="Times New Roman" w:cstheme="minorHAnsi"/>
          <w:i/>
          <w:kern w:val="0"/>
          <w:lang w:val="fr-CA" w:eastAsia="en-CA"/>
          <w14:ligatures w14:val="none"/>
        </w:rPr>
        <w:t>Charte des droits et libertés</w:t>
      </w:r>
      <w:r w:rsidRPr="00231574">
        <w:rPr>
          <w:rFonts w:eastAsia="Times New Roman" w:cstheme="minorHAnsi"/>
          <w:kern w:val="0"/>
          <w:lang w:val="fr-CA" w:eastAsia="en-CA"/>
          <w14:ligatures w14:val="none"/>
        </w:rPr>
        <w:t>, les principes de common law qui régissent 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interprétation des cas et 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équité procédurale, ainsi que le droit de la preuve. 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introduction de l</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IA, tant comme preuve que comme outil d</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 xml:space="preserve">analyse utilisé par les parties au litige et les fonctionnaires judiciaires, soulève de nouvelles préoccupations en matière de divulgation, </w:t>
      </w:r>
      <w:r w:rsidR="009B3CDC">
        <w:rPr>
          <w:rFonts w:eastAsia="Times New Roman" w:cstheme="minorHAnsi"/>
          <w:kern w:val="0"/>
          <w:lang w:val="fr-CA" w:eastAsia="en-CA"/>
          <w14:ligatures w14:val="none"/>
        </w:rPr>
        <w:t>de recevabilité</w:t>
      </w:r>
      <w:r w:rsidRPr="00231574">
        <w:rPr>
          <w:rFonts w:eastAsia="Times New Roman" w:cstheme="minorHAnsi"/>
          <w:kern w:val="0"/>
          <w:lang w:val="fr-CA" w:eastAsia="en-CA"/>
          <w14:ligatures w14:val="none"/>
        </w:rPr>
        <w:t>, de partialité et d</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accès à la justice</w:t>
      </w:r>
      <w:r w:rsidR="00C62E0C">
        <w:rPr>
          <w:rFonts w:eastAsia="Times New Roman" w:cstheme="minorHAnsi"/>
          <w:kern w:val="0"/>
          <w:lang w:val="fr-CA" w:eastAsia="en-CA"/>
          <w14:ligatures w14:val="none"/>
        </w:rPr>
        <w:t>,</w:t>
      </w:r>
      <w:r w:rsidRPr="00231574">
        <w:rPr>
          <w:rFonts w:eastAsia="Times New Roman" w:cstheme="minorHAnsi"/>
          <w:kern w:val="0"/>
          <w:lang w:val="fr-CA" w:eastAsia="en-CA"/>
          <w14:ligatures w14:val="none"/>
        </w:rPr>
        <w:t xml:space="preserve"> qui ne sont pas directement abordées par la législation et la jurisprudence existantes</w:t>
      </w:r>
      <w:r w:rsidR="00B549D7" w:rsidRPr="00231574">
        <w:rPr>
          <w:rFonts w:eastAsia="Times New Roman" w:cstheme="minorHAnsi"/>
          <w:kern w:val="0"/>
          <w:lang w:val="fr-CA" w:eastAsia="en-CA"/>
          <w14:ligatures w14:val="none"/>
        </w:rPr>
        <w:t xml:space="preserve">. </w:t>
      </w:r>
    </w:p>
    <w:p w14:paraId="54D9075A" w14:textId="77777777" w:rsidR="00B549D7" w:rsidRPr="00231574" w:rsidRDefault="00B549D7" w:rsidP="00CE221D">
      <w:pPr>
        <w:spacing w:after="0"/>
        <w:rPr>
          <w:lang w:val="fr-CA" w:eastAsia="en-CA"/>
        </w:rPr>
      </w:pPr>
    </w:p>
    <w:p w14:paraId="38D962EB" w14:textId="66D9166F" w:rsidR="00B549D7" w:rsidRPr="00A317D7" w:rsidRDefault="00331AAB" w:rsidP="00AA74AE">
      <w:pPr>
        <w:spacing w:after="0"/>
        <w:rPr>
          <w:b/>
          <w:bCs/>
          <w:lang w:val="fr-CA" w:eastAsia="en-CA"/>
        </w:rPr>
      </w:pPr>
      <w:bookmarkStart w:id="31" w:name="_Toc188900901"/>
      <w:r>
        <w:rPr>
          <w:b/>
          <w:bCs/>
          <w:lang w:val="fr-CA" w:eastAsia="en-CA"/>
        </w:rPr>
        <w:t xml:space="preserve">Rapport </w:t>
      </w:r>
      <w:r w:rsidR="00AA74AE" w:rsidRPr="00A317D7">
        <w:rPr>
          <w:b/>
          <w:bCs/>
          <w:lang w:val="fr-CA" w:eastAsia="en-CA"/>
        </w:rPr>
        <w:t>5</w:t>
      </w:r>
      <w:r>
        <w:rPr>
          <w:b/>
          <w:bCs/>
          <w:lang w:val="fr-CA" w:eastAsia="en-CA"/>
        </w:rPr>
        <w:t> </w:t>
      </w:r>
      <w:r w:rsidR="00AA74AE" w:rsidRPr="00A317D7">
        <w:rPr>
          <w:b/>
          <w:bCs/>
          <w:lang w:val="fr-CA" w:eastAsia="en-CA"/>
        </w:rPr>
        <w:t>:</w:t>
      </w:r>
      <w:r w:rsidR="00AA74AE" w:rsidRPr="00A317D7">
        <w:rPr>
          <w:b/>
          <w:bCs/>
          <w:lang w:val="fr-CA" w:eastAsia="en-CA"/>
        </w:rPr>
        <w:tab/>
      </w:r>
      <w:bookmarkEnd w:id="31"/>
      <w:r w:rsidRPr="00331AAB">
        <w:rPr>
          <w:b/>
          <w:bCs/>
          <w:lang w:val="fr-CA" w:eastAsia="en-CA"/>
        </w:rPr>
        <w:t>L’IA et les mécanismes de surveillance systémique</w:t>
      </w:r>
    </w:p>
    <w:p w14:paraId="5F11A6DB" w14:textId="77777777" w:rsidR="00B549D7" w:rsidRPr="00A317D7" w:rsidRDefault="00B549D7" w:rsidP="00CE221D">
      <w:pPr>
        <w:spacing w:after="0" w:line="240" w:lineRule="auto"/>
        <w:rPr>
          <w:rFonts w:eastAsia="Times New Roman" w:cstheme="minorHAnsi"/>
          <w:kern w:val="0"/>
          <w:lang w:val="fr-CA" w:eastAsia="en-CA"/>
          <w14:ligatures w14:val="none"/>
        </w:rPr>
      </w:pPr>
    </w:p>
    <w:p w14:paraId="4ADD1470" w14:textId="10BA0A19" w:rsidR="00B549D7" w:rsidRPr="00E3741E" w:rsidRDefault="00E3741E" w:rsidP="00CE221D">
      <w:pPr>
        <w:spacing w:after="0"/>
        <w:rPr>
          <w:rFonts w:eastAsia="Times New Roman" w:cstheme="minorHAnsi"/>
          <w:kern w:val="0"/>
          <w:lang w:val="fr-CA" w:eastAsia="en-CA"/>
          <w14:ligatures w14:val="none"/>
        </w:rPr>
      </w:pPr>
      <w:r w:rsidRPr="00E3741E">
        <w:rPr>
          <w:rFonts w:cstheme="minorHAnsi"/>
          <w:lang w:val="fr-CA"/>
        </w:rPr>
        <w:t xml:space="preserve">Le dernier document du projet traite de la surveillance systémique. Les auteurs de ce document sont </w:t>
      </w:r>
      <w:r w:rsidR="00F84F97" w:rsidRPr="00E3741E">
        <w:rPr>
          <w:rFonts w:eastAsia="Times New Roman" w:cstheme="minorHAnsi"/>
          <w:kern w:val="0"/>
          <w:lang w:val="fr-CA" w:eastAsia="en-CA"/>
          <w14:ligatures w14:val="none"/>
        </w:rPr>
        <w:t xml:space="preserve">Brenda McPhail, </w:t>
      </w:r>
      <w:r w:rsidRPr="00E3741E">
        <w:rPr>
          <w:rFonts w:eastAsia="Times New Roman" w:cstheme="minorHAnsi"/>
          <w:kern w:val="0"/>
          <w:lang w:val="fr-CA" w:eastAsia="en-CA"/>
          <w14:ligatures w14:val="none"/>
        </w:rPr>
        <w:t>conseillère principale en technologie et en politiques, bureau de la Commissaire à l’information et à la protection de la vie privée de l’Ontario</w:t>
      </w:r>
      <w:r w:rsidR="00C62E0C">
        <w:rPr>
          <w:rFonts w:eastAsia="Times New Roman" w:cstheme="minorHAnsi"/>
          <w:kern w:val="0"/>
          <w:lang w:val="fr-CA" w:eastAsia="en-CA"/>
          <w14:ligatures w14:val="none"/>
        </w:rPr>
        <w:t> </w:t>
      </w:r>
      <w:r w:rsidR="00F84F97" w:rsidRPr="00E3741E">
        <w:rPr>
          <w:rFonts w:eastAsia="Times New Roman" w:cstheme="minorHAnsi"/>
          <w:kern w:val="0"/>
          <w:lang w:val="fr-CA" w:eastAsia="en-CA"/>
          <w14:ligatures w14:val="none"/>
        </w:rPr>
        <w:t xml:space="preserve">; Marcus Pratt, </w:t>
      </w:r>
      <w:r w:rsidRPr="00E3741E">
        <w:rPr>
          <w:rFonts w:eastAsia="Times New Roman" w:cstheme="minorHAnsi"/>
          <w:kern w:val="0"/>
          <w:lang w:val="fr-CA" w:eastAsia="en-CA"/>
          <w14:ligatures w14:val="none"/>
        </w:rPr>
        <w:t>conseiller principal, Service des politiques, Aide juridique Ontario</w:t>
      </w:r>
      <w:r>
        <w:rPr>
          <w:rFonts w:eastAsia="Times New Roman" w:cstheme="minorHAnsi"/>
          <w:kern w:val="0"/>
          <w:lang w:val="fr-CA" w:eastAsia="en-CA"/>
          <w14:ligatures w14:val="none"/>
        </w:rPr>
        <w:t xml:space="preserve"> et </w:t>
      </w:r>
      <w:r w:rsidR="00F84F97" w:rsidRPr="00E3741E">
        <w:rPr>
          <w:rFonts w:eastAsia="Times New Roman" w:cstheme="minorHAnsi"/>
          <w:kern w:val="0"/>
          <w:lang w:val="fr-CA" w:eastAsia="en-CA"/>
          <w14:ligatures w14:val="none"/>
        </w:rPr>
        <w:t xml:space="preserve">Jagtaran Singh, </w:t>
      </w:r>
      <w:r w:rsidRPr="00E3741E">
        <w:rPr>
          <w:rFonts w:eastAsia="Times New Roman" w:cstheme="minorHAnsi"/>
          <w:kern w:val="0"/>
          <w:lang w:val="fr-CA" w:eastAsia="en-CA"/>
          <w14:ligatures w14:val="none"/>
        </w:rPr>
        <w:t>conseiller juridique, Commission ontarienne des droits de la personne</w:t>
      </w:r>
      <w:r w:rsidR="00B549D7" w:rsidRPr="00E3741E">
        <w:rPr>
          <w:rFonts w:eastAsia="Times New Roman" w:cstheme="minorHAnsi"/>
          <w:kern w:val="0"/>
          <w:lang w:val="fr-CA" w:eastAsia="en-CA"/>
          <w14:ligatures w14:val="none"/>
        </w:rPr>
        <w:t>.</w:t>
      </w:r>
    </w:p>
    <w:p w14:paraId="17A99F4A" w14:textId="77777777" w:rsidR="00B549D7" w:rsidRPr="00E3741E" w:rsidRDefault="00B549D7" w:rsidP="00CE221D">
      <w:pPr>
        <w:spacing w:after="0"/>
        <w:rPr>
          <w:lang w:val="fr-CA"/>
        </w:rPr>
      </w:pPr>
    </w:p>
    <w:p w14:paraId="6C35D324" w14:textId="1F91B70E" w:rsidR="00485C5F" w:rsidRPr="00A317D7" w:rsidRDefault="0025743C" w:rsidP="00485C5F">
      <w:pPr>
        <w:spacing w:after="0" w:line="240" w:lineRule="auto"/>
        <w:rPr>
          <w:rFonts w:eastAsia="Times New Roman" w:cstheme="minorHAnsi"/>
          <w:kern w:val="0"/>
          <w:lang w:val="fr-CA" w:eastAsia="en-CA"/>
          <w14:ligatures w14:val="none"/>
        </w:rPr>
      </w:pPr>
      <w:r w:rsidRPr="0025743C">
        <w:rPr>
          <w:rFonts w:eastAsia="Times New Roman" w:cstheme="minorHAnsi"/>
          <w:kern w:val="0"/>
          <w:lang w:val="fr-CA" w:eastAsia="en-CA"/>
          <w14:ligatures w14:val="none"/>
        </w:rPr>
        <w:t>Sans cadres juridiques, r</w:t>
      </w:r>
      <w:r>
        <w:rPr>
          <w:rFonts w:eastAsia="Times New Roman" w:cstheme="minorHAnsi"/>
          <w:kern w:val="0"/>
          <w:lang w:val="fr-CA" w:eastAsia="en-CA"/>
          <w14:ligatures w14:val="none"/>
        </w:rPr>
        <w:t>è</w:t>
      </w:r>
      <w:r w:rsidRPr="0025743C">
        <w:rPr>
          <w:rFonts w:eastAsia="Times New Roman" w:cstheme="minorHAnsi"/>
          <w:kern w:val="0"/>
          <w:lang w:val="fr-CA" w:eastAsia="en-CA"/>
          <w14:ligatures w14:val="none"/>
        </w:rPr>
        <w:t>glementaires et politiques solides, le droit pénal est limité dans sa capacité à superviser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utilisation de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 xml:space="preserve">IA par les acteurs étatiques et à atténuer les abus potentiels. Bien que le projet de loi fédéral C-27 et la </w:t>
      </w:r>
      <w:r w:rsidRPr="0025743C">
        <w:rPr>
          <w:rFonts w:eastAsia="Times New Roman" w:cstheme="minorHAnsi"/>
          <w:i/>
          <w:kern w:val="0"/>
          <w:lang w:val="fr-CA" w:eastAsia="en-CA"/>
          <w14:ligatures w14:val="none"/>
        </w:rPr>
        <w:t xml:space="preserve">Loi </w:t>
      </w:r>
      <w:r w:rsidR="00BC468E">
        <w:rPr>
          <w:rFonts w:eastAsia="Times New Roman" w:cstheme="minorHAnsi"/>
          <w:i/>
          <w:kern w:val="0"/>
          <w:lang w:val="fr-CA" w:eastAsia="en-CA"/>
          <w14:ligatures w14:val="none"/>
        </w:rPr>
        <w:t xml:space="preserve">de 2024 </w:t>
      </w:r>
      <w:r w:rsidRPr="0025743C">
        <w:rPr>
          <w:rFonts w:eastAsia="Times New Roman" w:cstheme="minorHAnsi"/>
          <w:i/>
          <w:kern w:val="0"/>
          <w:lang w:val="fr-CA" w:eastAsia="en-CA"/>
          <w14:ligatures w14:val="none"/>
        </w:rPr>
        <w:t>visant à renforcer la sécurité et la confiance en matière de numérique</w:t>
      </w:r>
      <w:r>
        <w:rPr>
          <w:rFonts w:eastAsia="Times New Roman" w:cstheme="minorHAnsi"/>
          <w:kern w:val="0"/>
          <w:lang w:val="fr-CA" w:eastAsia="en-CA"/>
          <w14:ligatures w14:val="none"/>
        </w:rPr>
        <w:t xml:space="preserve"> </w:t>
      </w:r>
      <w:r w:rsidR="00BC468E">
        <w:rPr>
          <w:rFonts w:eastAsia="Times New Roman" w:cstheme="minorHAnsi"/>
          <w:kern w:val="0"/>
          <w:lang w:val="fr-CA" w:eastAsia="en-CA"/>
          <w14:ligatures w14:val="none"/>
        </w:rPr>
        <w:t>(</w:t>
      </w:r>
      <w:r w:rsidR="00BC468E" w:rsidRPr="00BC468E">
        <w:rPr>
          <w:rFonts w:eastAsia="Times New Roman" w:cstheme="minorHAnsi"/>
          <w:i/>
          <w:kern w:val="0"/>
          <w:lang w:val="fr-CA" w:eastAsia="en-CA"/>
          <w14:ligatures w14:val="none"/>
        </w:rPr>
        <w:t>LRSCN</w:t>
      </w:r>
      <w:r w:rsidR="00BC468E">
        <w:rPr>
          <w:rFonts w:eastAsia="Times New Roman" w:cstheme="minorHAnsi"/>
          <w:kern w:val="0"/>
          <w:lang w:val="fr-CA" w:eastAsia="en-CA"/>
          <w14:ligatures w14:val="none"/>
        </w:rPr>
        <w:t xml:space="preserve">) </w:t>
      </w:r>
      <w:r w:rsidRPr="0025743C">
        <w:rPr>
          <w:rFonts w:eastAsia="Times New Roman" w:cstheme="minorHAnsi"/>
          <w:kern w:val="0"/>
          <w:lang w:val="fr-CA" w:eastAsia="en-CA"/>
          <w14:ligatures w14:val="none"/>
        </w:rPr>
        <w:t>de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Ontario contiennent certaines mesures r</w:t>
      </w:r>
      <w:r w:rsidR="00C62E0C">
        <w:rPr>
          <w:rFonts w:eastAsia="Times New Roman" w:cstheme="minorHAnsi"/>
          <w:kern w:val="0"/>
          <w:lang w:val="fr-CA" w:eastAsia="en-CA"/>
          <w14:ligatures w14:val="none"/>
        </w:rPr>
        <w:t>è</w:t>
      </w:r>
      <w:r w:rsidRPr="0025743C">
        <w:rPr>
          <w:rFonts w:eastAsia="Times New Roman" w:cstheme="minorHAnsi"/>
          <w:kern w:val="0"/>
          <w:lang w:val="fr-CA" w:eastAsia="en-CA"/>
          <w14:ligatures w14:val="none"/>
        </w:rPr>
        <w:t>glementaires importantes, leur application au droit pénal est limitée. Parmi les principaux problèmes, citons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absence de recours en cas de violation des droits,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absence d</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 xml:space="preserve">organismes de contrôle indépendants et la conception relativement restrictive des droits à la vie privée qui ressort de la législation et de la jurisprudence actuelles. Les nouvelles </w:t>
      </w:r>
      <w:r w:rsidR="009B3CDC">
        <w:rPr>
          <w:rFonts w:eastAsia="Times New Roman" w:cstheme="minorHAnsi"/>
          <w:kern w:val="0"/>
          <w:lang w:val="fr-CA" w:eastAsia="en-CA"/>
          <w14:ligatures w14:val="none"/>
        </w:rPr>
        <w:t>lois</w:t>
      </w:r>
      <w:r w:rsidRPr="0025743C">
        <w:rPr>
          <w:rFonts w:eastAsia="Times New Roman" w:cstheme="minorHAnsi"/>
          <w:kern w:val="0"/>
          <w:lang w:val="fr-CA" w:eastAsia="en-CA"/>
          <w14:ligatures w14:val="none"/>
        </w:rPr>
        <w:t xml:space="preserve"> et les projets de loi de certain</w:t>
      </w:r>
      <w:r w:rsidR="009B3CDC">
        <w:rPr>
          <w:rFonts w:eastAsia="Times New Roman" w:cstheme="minorHAnsi"/>
          <w:kern w:val="0"/>
          <w:lang w:val="fr-CA" w:eastAsia="en-CA"/>
          <w14:ligatures w14:val="none"/>
        </w:rPr>
        <w:t>e</w:t>
      </w:r>
      <w:r w:rsidRPr="0025743C">
        <w:rPr>
          <w:rFonts w:eastAsia="Times New Roman" w:cstheme="minorHAnsi"/>
          <w:kern w:val="0"/>
          <w:lang w:val="fr-CA" w:eastAsia="en-CA"/>
          <w14:ligatures w14:val="none"/>
        </w:rPr>
        <w:t xml:space="preserve">s </w:t>
      </w:r>
      <w:r w:rsidR="009B3CDC">
        <w:rPr>
          <w:rFonts w:eastAsia="Times New Roman" w:cstheme="minorHAnsi"/>
          <w:kern w:val="0"/>
          <w:lang w:val="fr-CA" w:eastAsia="en-CA"/>
          <w14:ligatures w14:val="none"/>
        </w:rPr>
        <w:t>juridictions</w:t>
      </w:r>
      <w:r w:rsidRPr="0025743C">
        <w:rPr>
          <w:rFonts w:eastAsia="Times New Roman" w:cstheme="minorHAnsi"/>
          <w:kern w:val="0"/>
          <w:lang w:val="fr-CA" w:eastAsia="en-CA"/>
          <w14:ligatures w14:val="none"/>
        </w:rPr>
        <w:t>, comme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 xml:space="preserve">Union européenne et les États-Unis, peuvent offrir des pistes, mais ces approches présentent également des lacunes. </w:t>
      </w:r>
      <w:r w:rsidR="009B3CDC">
        <w:rPr>
          <w:rFonts w:eastAsia="Times New Roman" w:cstheme="minorHAnsi"/>
          <w:kern w:val="0"/>
          <w:lang w:val="fr-CA" w:eastAsia="en-CA"/>
          <w14:ligatures w14:val="none"/>
        </w:rPr>
        <w:t xml:space="preserve">De plus, le </w:t>
      </w:r>
      <w:r w:rsidRPr="0025743C">
        <w:rPr>
          <w:rFonts w:eastAsia="Times New Roman" w:cstheme="minorHAnsi"/>
          <w:kern w:val="0"/>
          <w:lang w:val="fr-CA" w:eastAsia="en-CA"/>
          <w14:ligatures w14:val="none"/>
        </w:rPr>
        <w:t>document examine comment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IA mettra à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épreuve le droit à une défense complète et à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accès à la justice, notamment le temps et les ressources financières nécessaires aux avocats de la défense pour contester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utilisation de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 xml:space="preserve">IA dans le cadre de la mise en liberté sous caution ou de la détermination </w:t>
      </w:r>
      <w:r w:rsidR="00BC468E">
        <w:rPr>
          <w:rFonts w:eastAsia="Times New Roman" w:cstheme="minorHAnsi"/>
          <w:kern w:val="0"/>
          <w:lang w:val="fr-CA" w:eastAsia="en-CA"/>
          <w14:ligatures w14:val="none"/>
        </w:rPr>
        <w:t xml:space="preserve">des </w:t>
      </w:r>
      <w:r w:rsidRPr="0025743C">
        <w:rPr>
          <w:rFonts w:eastAsia="Times New Roman" w:cstheme="minorHAnsi"/>
          <w:kern w:val="0"/>
          <w:lang w:val="fr-CA" w:eastAsia="en-CA"/>
          <w14:ligatures w14:val="none"/>
        </w:rPr>
        <w:t>peine</w:t>
      </w:r>
      <w:r w:rsidR="00BC468E">
        <w:rPr>
          <w:rFonts w:eastAsia="Times New Roman" w:cstheme="minorHAnsi"/>
          <w:kern w:val="0"/>
          <w:lang w:val="fr-CA" w:eastAsia="en-CA"/>
          <w14:ligatures w14:val="none"/>
        </w:rPr>
        <w:t>s</w:t>
      </w:r>
      <w:r w:rsidRPr="0025743C">
        <w:rPr>
          <w:rFonts w:eastAsia="Times New Roman" w:cstheme="minorHAnsi"/>
          <w:kern w:val="0"/>
          <w:lang w:val="fr-CA" w:eastAsia="en-CA"/>
          <w14:ligatures w14:val="none"/>
        </w:rPr>
        <w:t>, ou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admission de preuves issues de l</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IA lors d</w:t>
      </w:r>
      <w:r w:rsidR="00C62E0C">
        <w:rPr>
          <w:rFonts w:eastAsia="Times New Roman" w:cstheme="minorHAnsi"/>
          <w:kern w:val="0"/>
          <w:lang w:val="fr-CA" w:eastAsia="en-CA"/>
          <w14:ligatures w14:val="none"/>
        </w:rPr>
        <w:t>’</w:t>
      </w:r>
      <w:r w:rsidRPr="0025743C">
        <w:rPr>
          <w:rFonts w:eastAsia="Times New Roman" w:cstheme="minorHAnsi"/>
          <w:kern w:val="0"/>
          <w:lang w:val="fr-CA" w:eastAsia="en-CA"/>
          <w14:ligatures w14:val="none"/>
        </w:rPr>
        <w:t>un procès</w:t>
      </w:r>
      <w:r w:rsidR="00EA5FC7" w:rsidRPr="00A317D7">
        <w:rPr>
          <w:lang w:val="fr-CA"/>
        </w:rPr>
        <w:t>.</w:t>
      </w:r>
    </w:p>
    <w:p w14:paraId="5D23D95B" w14:textId="26166CCF" w:rsidR="00B549D7" w:rsidRPr="00A317D7" w:rsidRDefault="004E2CCD" w:rsidP="00093642">
      <w:pPr>
        <w:pStyle w:val="Heading1"/>
        <w:numPr>
          <w:ilvl w:val="0"/>
          <w:numId w:val="21"/>
        </w:numPr>
        <w:rPr>
          <w:lang w:val="fr-CA"/>
        </w:rPr>
      </w:pPr>
      <w:bookmarkStart w:id="32" w:name="_Toc188900903"/>
      <w:bookmarkStart w:id="33" w:name="_Toc188902171"/>
      <w:bookmarkStart w:id="34" w:name="_Toc194406403"/>
      <w:bookmarkStart w:id="35" w:name="_Toc197353487"/>
      <w:bookmarkStart w:id="36" w:name="_Toc197599886"/>
      <w:r>
        <w:rPr>
          <w:lang w:val="fr-CA"/>
        </w:rPr>
        <w:t xml:space="preserve">Une </w:t>
      </w:r>
      <w:r w:rsidRPr="004E2CCD">
        <w:rPr>
          <w:lang w:val="fr-CA"/>
        </w:rPr>
        <w:t xml:space="preserve">IA fiable dans </w:t>
      </w:r>
      <w:r w:rsidR="00093642">
        <w:rPr>
          <w:lang w:val="fr-CA"/>
        </w:rPr>
        <w:t xml:space="preserve">le </w:t>
      </w:r>
      <w:r w:rsidR="00093642" w:rsidRPr="00093642">
        <w:rPr>
          <w:lang w:val="fr-CA"/>
        </w:rPr>
        <w:t xml:space="preserve">système de </w:t>
      </w:r>
      <w:r w:rsidRPr="004E2CCD">
        <w:rPr>
          <w:lang w:val="fr-CA"/>
        </w:rPr>
        <w:t>justice pénale</w:t>
      </w:r>
      <w:bookmarkEnd w:id="36"/>
      <w:r w:rsidRPr="004E2CCD">
        <w:rPr>
          <w:lang w:val="fr-CA"/>
        </w:rPr>
        <w:t xml:space="preserve"> </w:t>
      </w:r>
      <w:bookmarkEnd w:id="32"/>
      <w:bookmarkEnd w:id="33"/>
      <w:bookmarkEnd w:id="34"/>
      <w:bookmarkEnd w:id="35"/>
    </w:p>
    <w:p w14:paraId="43565738" w14:textId="77777777" w:rsidR="00B549D7" w:rsidRPr="00A317D7" w:rsidRDefault="00B549D7" w:rsidP="0002605E">
      <w:pPr>
        <w:spacing w:after="0"/>
        <w:rPr>
          <w:lang w:val="fr-CA"/>
        </w:rPr>
      </w:pPr>
    </w:p>
    <w:p w14:paraId="625CCD0B" w14:textId="22ADF0F9" w:rsidR="00B549D7" w:rsidRPr="005E60C1" w:rsidRDefault="005E60C1" w:rsidP="0002605E">
      <w:pPr>
        <w:spacing w:after="0"/>
        <w:rPr>
          <w:lang w:val="fr-CA"/>
        </w:rPr>
      </w:pPr>
      <w:bookmarkStart w:id="37" w:name="_Hlk101271966"/>
      <w:r w:rsidRPr="005E60C1">
        <w:rPr>
          <w:lang w:val="fr-CA"/>
        </w:rPr>
        <w:t>Les avantages, les risques et les préjudices potentiels de l</w:t>
      </w:r>
      <w:r w:rsidR="00C62E0C">
        <w:rPr>
          <w:lang w:val="fr-CA"/>
        </w:rPr>
        <w:t>’</w:t>
      </w:r>
      <w:r w:rsidRPr="005E60C1">
        <w:rPr>
          <w:lang w:val="fr-CA"/>
        </w:rPr>
        <w:t xml:space="preserve">IA dans le </w:t>
      </w:r>
      <w:r w:rsidR="00A17D04">
        <w:rPr>
          <w:lang w:val="fr-CA"/>
        </w:rPr>
        <w:t xml:space="preserve">système </w:t>
      </w:r>
      <w:r w:rsidRPr="005E60C1">
        <w:rPr>
          <w:lang w:val="fr-CA"/>
        </w:rPr>
        <w:t>de justice pénale sont largement reconnus par les gouvernements, les services de police, les procureurs, les avocats de la défense, les universitaires et les ONG du monde entier</w:t>
      </w:r>
      <w:r w:rsidR="00B549D7" w:rsidRPr="00A317D7">
        <w:rPr>
          <w:rStyle w:val="EndnoteReference"/>
          <w:lang w:val="fr-CA"/>
        </w:rPr>
        <w:endnoteReference w:id="30"/>
      </w:r>
      <w:r>
        <w:rPr>
          <w:lang w:val="fr-CA"/>
        </w:rPr>
        <w:t>.</w:t>
      </w:r>
      <w:r w:rsidR="00B549D7" w:rsidRPr="00A317D7">
        <w:rPr>
          <w:lang w:val="fr-CA"/>
        </w:rPr>
        <w:t xml:space="preserve"> </w:t>
      </w:r>
      <w:r w:rsidRPr="005E60C1">
        <w:rPr>
          <w:lang w:val="fr-CA"/>
        </w:rPr>
        <w:t>Cette reconnaissance a donné lieu à un large éventail de lois, de politiques et de cadres fondés sur le principe selon lequel les avantages de l</w:t>
      </w:r>
      <w:r w:rsidR="00C62E0C">
        <w:rPr>
          <w:lang w:val="fr-CA"/>
        </w:rPr>
        <w:t>’</w:t>
      </w:r>
      <w:r w:rsidRPr="005E60C1">
        <w:rPr>
          <w:lang w:val="fr-CA"/>
        </w:rPr>
        <w:t>IA dépendent de règles spécifiques et complexes qui atténuent les risques et les préjudices</w:t>
      </w:r>
      <w:r w:rsidR="00B549D7" w:rsidRPr="005E60C1">
        <w:rPr>
          <w:lang w:val="fr-CA"/>
        </w:rPr>
        <w:t>.</w:t>
      </w:r>
      <w:r w:rsidR="00BE6D0C" w:rsidRPr="005E60C1">
        <w:rPr>
          <w:lang w:val="fr-CA"/>
        </w:rPr>
        <w:t xml:space="preserve"> </w:t>
      </w:r>
    </w:p>
    <w:p w14:paraId="1D3306B3" w14:textId="77777777" w:rsidR="00B549D7" w:rsidRPr="005E60C1" w:rsidRDefault="00B549D7" w:rsidP="0002605E">
      <w:pPr>
        <w:spacing w:after="0"/>
        <w:rPr>
          <w:lang w:val="fr-CA"/>
        </w:rPr>
      </w:pPr>
    </w:p>
    <w:p w14:paraId="72629601" w14:textId="5263EAA8" w:rsidR="00B549D7" w:rsidRPr="005E60C1" w:rsidRDefault="005E60C1" w:rsidP="00724051">
      <w:pPr>
        <w:spacing w:after="0"/>
        <w:rPr>
          <w:lang w:val="fr-CA"/>
        </w:rPr>
      </w:pPr>
      <w:r w:rsidRPr="005E60C1">
        <w:rPr>
          <w:lang w:val="fr-CA"/>
        </w:rPr>
        <w:lastRenderedPageBreak/>
        <w:t>Il existe un large éventail d</w:t>
      </w:r>
      <w:r w:rsidR="00C62E0C">
        <w:rPr>
          <w:lang w:val="fr-CA"/>
        </w:rPr>
        <w:t>’</w:t>
      </w:r>
      <w:r w:rsidRPr="005E60C1">
        <w:rPr>
          <w:lang w:val="fr-CA"/>
        </w:rPr>
        <w:t>initiatives en matière d</w:t>
      </w:r>
      <w:r w:rsidR="00C62E0C">
        <w:rPr>
          <w:lang w:val="fr-CA"/>
        </w:rPr>
        <w:t>’</w:t>
      </w:r>
      <w:r w:rsidRPr="005E60C1">
        <w:rPr>
          <w:lang w:val="fr-CA"/>
        </w:rPr>
        <w:t xml:space="preserve">IA </w:t>
      </w:r>
      <w:r w:rsidR="00A17D04">
        <w:rPr>
          <w:lang w:val="fr-CA"/>
        </w:rPr>
        <w:t xml:space="preserve">fiable </w:t>
      </w:r>
      <w:r w:rsidRPr="005E60C1">
        <w:rPr>
          <w:lang w:val="fr-CA"/>
        </w:rPr>
        <w:t xml:space="preserve">dans le </w:t>
      </w:r>
      <w:r w:rsidR="00A17D04">
        <w:rPr>
          <w:lang w:val="fr-CA"/>
        </w:rPr>
        <w:t xml:space="preserve">système de justice </w:t>
      </w:r>
      <w:r w:rsidRPr="005E60C1">
        <w:rPr>
          <w:lang w:val="fr-CA"/>
        </w:rPr>
        <w:t>pénal</w:t>
      </w:r>
      <w:r w:rsidR="00A17D04">
        <w:rPr>
          <w:lang w:val="fr-CA"/>
        </w:rPr>
        <w:t>e</w:t>
      </w:r>
      <w:r w:rsidRPr="005E60C1">
        <w:rPr>
          <w:lang w:val="fr-CA"/>
        </w:rPr>
        <w:t xml:space="preserve"> en Europe et aux États-Unis. Par exemple, </w:t>
      </w:r>
      <w:r w:rsidR="00A17D04">
        <w:rPr>
          <w:lang w:val="fr-CA"/>
        </w:rPr>
        <w:t xml:space="preserve">le règlement </w:t>
      </w:r>
      <w:r w:rsidRPr="005E60C1">
        <w:rPr>
          <w:lang w:val="fr-CA"/>
        </w:rPr>
        <w:t>sur l</w:t>
      </w:r>
      <w:r w:rsidR="00C62E0C">
        <w:rPr>
          <w:lang w:val="fr-CA"/>
        </w:rPr>
        <w:t>’</w:t>
      </w:r>
      <w:r w:rsidRPr="005E60C1">
        <w:rPr>
          <w:lang w:val="fr-CA"/>
        </w:rPr>
        <w:t>intelligence artificielle de l</w:t>
      </w:r>
      <w:r w:rsidR="00C62E0C">
        <w:rPr>
          <w:lang w:val="fr-CA"/>
        </w:rPr>
        <w:t>’</w:t>
      </w:r>
      <w:r w:rsidRPr="005E60C1">
        <w:rPr>
          <w:lang w:val="fr-CA"/>
        </w:rPr>
        <w:t xml:space="preserve">Union européenne (règlement </w:t>
      </w:r>
      <w:r w:rsidR="00C62E0C">
        <w:rPr>
          <w:lang w:val="fr-CA"/>
        </w:rPr>
        <w:t xml:space="preserve">de l’UE </w:t>
      </w:r>
      <w:r w:rsidRPr="005E60C1">
        <w:rPr>
          <w:lang w:val="fr-CA"/>
        </w:rPr>
        <w:t xml:space="preserve">sur l’IA) </w:t>
      </w:r>
      <w:r w:rsidR="006C515F">
        <w:rPr>
          <w:lang w:val="fr-CA"/>
        </w:rPr>
        <w:t xml:space="preserve">contient des interdictions </w:t>
      </w:r>
      <w:r w:rsidR="006C515F" w:rsidRPr="006C515F">
        <w:rPr>
          <w:lang w:val="fr-CA"/>
        </w:rPr>
        <w:t>relative</w:t>
      </w:r>
      <w:r w:rsidR="006C515F">
        <w:rPr>
          <w:lang w:val="fr-CA"/>
        </w:rPr>
        <w:t xml:space="preserve">s </w:t>
      </w:r>
      <w:r w:rsidR="006C515F" w:rsidRPr="006C515F">
        <w:rPr>
          <w:lang w:val="fr-CA"/>
        </w:rPr>
        <w:t xml:space="preserve">à </w:t>
      </w:r>
      <w:r w:rsidR="006C515F">
        <w:rPr>
          <w:lang w:val="fr-CA"/>
        </w:rPr>
        <w:t xml:space="preserve">plusieurs </w:t>
      </w:r>
      <w:r w:rsidRPr="005E60C1">
        <w:rPr>
          <w:lang w:val="fr-CA"/>
        </w:rPr>
        <w:t>systèmes d</w:t>
      </w:r>
      <w:r w:rsidR="00C62E0C">
        <w:rPr>
          <w:lang w:val="fr-CA"/>
        </w:rPr>
        <w:t>’</w:t>
      </w:r>
      <w:r w:rsidRPr="005E60C1">
        <w:rPr>
          <w:lang w:val="fr-CA"/>
        </w:rPr>
        <w:t xml:space="preserve">IA dans </w:t>
      </w:r>
      <w:r w:rsidR="00A17D04" w:rsidRPr="005E60C1">
        <w:rPr>
          <w:lang w:val="fr-CA"/>
        </w:rPr>
        <w:t xml:space="preserve">le </w:t>
      </w:r>
      <w:r w:rsidR="00A17D04">
        <w:rPr>
          <w:lang w:val="fr-CA"/>
        </w:rPr>
        <w:t xml:space="preserve">secteur </w:t>
      </w:r>
      <w:r w:rsidR="00A17D04" w:rsidRPr="005E60C1">
        <w:rPr>
          <w:lang w:val="fr-CA"/>
        </w:rPr>
        <w:t>pénal</w:t>
      </w:r>
      <w:r w:rsidRPr="005E60C1">
        <w:rPr>
          <w:lang w:val="fr-CA"/>
        </w:rPr>
        <w:t>, notamment la surveillance biométrique en temps réel et certains systèmes de maintien de l</w:t>
      </w:r>
      <w:r w:rsidR="00C62E0C">
        <w:rPr>
          <w:lang w:val="fr-CA"/>
        </w:rPr>
        <w:t>’</w:t>
      </w:r>
      <w:r w:rsidRPr="005E60C1">
        <w:rPr>
          <w:lang w:val="fr-CA"/>
        </w:rPr>
        <w:t>ordre prédictif</w:t>
      </w:r>
      <w:r w:rsidR="00B549D7" w:rsidRPr="00A317D7">
        <w:rPr>
          <w:rStyle w:val="EndnoteReference"/>
          <w:rFonts w:ascii="Calibri" w:eastAsia="Calibri" w:hAnsi="Calibri" w:cs="Calibri"/>
          <w:kern w:val="0"/>
          <w:u w:color="000000"/>
          <w:bdr w:val="nil"/>
          <w:shd w:val="clear" w:color="auto" w:fill="FFFFFF"/>
          <w:lang w:val="fr-CA"/>
          <w14:ligatures w14:val="none"/>
        </w:rPr>
        <w:endnoteReference w:id="31"/>
      </w:r>
      <w:r>
        <w:rPr>
          <w:lang w:val="fr-CA"/>
        </w:rPr>
        <w:t>.</w:t>
      </w:r>
      <w:r w:rsidR="00B549D7" w:rsidRPr="00A317D7">
        <w:rPr>
          <w:rFonts w:ascii="Calibri" w:eastAsia="Calibri" w:hAnsi="Calibri" w:cs="Calibri"/>
          <w:kern w:val="0"/>
          <w:u w:color="000000"/>
          <w:bdr w:val="nil"/>
          <w:shd w:val="clear" w:color="auto" w:fill="FFFFFF"/>
          <w:lang w:val="fr-CA"/>
          <w14:ligatures w14:val="none"/>
        </w:rPr>
        <w:t xml:space="preserve"> </w:t>
      </w:r>
      <w:r w:rsidRPr="005E60C1">
        <w:rPr>
          <w:rFonts w:ascii="Calibri" w:eastAsia="Calibri" w:hAnsi="Calibri" w:cs="Calibri"/>
          <w:kern w:val="0"/>
          <w:u w:color="000000"/>
          <w:bdr w:val="nil"/>
          <w:shd w:val="clear" w:color="auto" w:fill="FFFFFF"/>
          <w:lang w:val="fr-CA"/>
          <w14:ligatures w14:val="none"/>
        </w:rPr>
        <w:t>Le règlement de l</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UE sur l</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IA identifie également plusieurs outils d</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IA utilisés dans le domaine de «</w:t>
      </w:r>
      <w:r w:rsidR="00C62E0C">
        <w:rPr>
          <w:rFonts w:ascii="Calibri" w:eastAsia="Calibri" w:hAnsi="Calibri" w:cs="Calibri"/>
          <w:kern w:val="0"/>
          <w:u w:color="000000"/>
          <w:bdr w:val="nil"/>
          <w:shd w:val="clear" w:color="auto" w:fill="FFFFFF"/>
          <w:lang w:val="fr-CA"/>
          <w14:ligatures w14:val="none"/>
        </w:rPr>
        <w:t> </w:t>
      </w:r>
      <w:r w:rsidRPr="005E60C1">
        <w:rPr>
          <w:rFonts w:ascii="Calibri" w:eastAsia="Calibri" w:hAnsi="Calibri" w:cs="Calibri"/>
          <w:kern w:val="0"/>
          <w:u w:color="000000"/>
          <w:bdr w:val="nil"/>
          <w:shd w:val="clear" w:color="auto" w:fill="FFFFFF"/>
          <w:lang w:val="fr-CA"/>
          <w14:ligatures w14:val="none"/>
        </w:rPr>
        <w:t>l</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application de la loi</w:t>
      </w:r>
      <w:r w:rsidR="00C62E0C">
        <w:rPr>
          <w:rFonts w:ascii="Calibri" w:eastAsia="Calibri" w:hAnsi="Calibri" w:cs="Calibri"/>
          <w:kern w:val="0"/>
          <w:u w:color="000000"/>
          <w:bdr w:val="nil"/>
          <w:shd w:val="clear" w:color="auto" w:fill="FFFFFF"/>
          <w:lang w:val="fr-CA"/>
          <w14:ligatures w14:val="none"/>
        </w:rPr>
        <w:t> </w:t>
      </w:r>
      <w:r w:rsidRPr="005E60C1">
        <w:rPr>
          <w:rFonts w:ascii="Calibri" w:eastAsia="Calibri" w:hAnsi="Calibri" w:cs="Calibri"/>
          <w:kern w:val="0"/>
          <w:u w:color="000000"/>
          <w:bdr w:val="nil"/>
          <w:shd w:val="clear" w:color="auto" w:fill="FFFFFF"/>
          <w:lang w:val="fr-CA"/>
          <w14:ligatures w14:val="none"/>
        </w:rPr>
        <w:t>» et de «</w:t>
      </w:r>
      <w:r w:rsidR="00C62E0C">
        <w:rPr>
          <w:rFonts w:ascii="Calibri" w:eastAsia="Calibri" w:hAnsi="Calibri" w:cs="Calibri"/>
          <w:kern w:val="0"/>
          <w:u w:color="000000"/>
          <w:bdr w:val="nil"/>
          <w:shd w:val="clear" w:color="auto" w:fill="FFFFFF"/>
          <w:lang w:val="fr-CA"/>
          <w14:ligatures w14:val="none"/>
        </w:rPr>
        <w:t> </w:t>
      </w:r>
      <w:r w:rsidRPr="005E60C1">
        <w:rPr>
          <w:rFonts w:ascii="Calibri" w:eastAsia="Calibri" w:hAnsi="Calibri" w:cs="Calibri"/>
          <w:kern w:val="0"/>
          <w:u w:color="000000"/>
          <w:bdr w:val="nil"/>
          <w:shd w:val="clear" w:color="auto" w:fill="FFFFFF"/>
          <w:lang w:val="fr-CA"/>
          <w14:ligatures w14:val="none"/>
        </w:rPr>
        <w:t>l</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administration de la justice</w:t>
      </w:r>
      <w:r w:rsidR="00C62E0C">
        <w:rPr>
          <w:rFonts w:ascii="Calibri" w:eastAsia="Calibri" w:hAnsi="Calibri" w:cs="Calibri"/>
          <w:kern w:val="0"/>
          <w:u w:color="000000"/>
          <w:bdr w:val="nil"/>
          <w:shd w:val="clear" w:color="auto" w:fill="FFFFFF"/>
          <w:lang w:val="fr-CA"/>
          <w14:ligatures w14:val="none"/>
        </w:rPr>
        <w:t> </w:t>
      </w:r>
      <w:r w:rsidRPr="005E60C1">
        <w:rPr>
          <w:rFonts w:ascii="Calibri" w:eastAsia="Calibri" w:hAnsi="Calibri" w:cs="Calibri"/>
          <w:kern w:val="0"/>
          <w:u w:color="000000"/>
          <w:bdr w:val="nil"/>
          <w:shd w:val="clear" w:color="auto" w:fill="FFFFFF"/>
          <w:lang w:val="fr-CA"/>
          <w14:ligatures w14:val="none"/>
        </w:rPr>
        <w:t>» comme présentant un risque élevé et donc soumis à des exigences r</w:t>
      </w:r>
      <w:r w:rsidR="00C62E0C">
        <w:rPr>
          <w:rFonts w:ascii="Calibri" w:eastAsia="Calibri" w:hAnsi="Calibri" w:cs="Calibri"/>
          <w:kern w:val="0"/>
          <w:u w:color="000000"/>
          <w:bdr w:val="nil"/>
          <w:shd w:val="clear" w:color="auto" w:fill="FFFFFF"/>
          <w:lang w:val="fr-CA"/>
          <w14:ligatures w14:val="none"/>
        </w:rPr>
        <w:t>è</w:t>
      </w:r>
      <w:r w:rsidRPr="005E60C1">
        <w:rPr>
          <w:rFonts w:ascii="Calibri" w:eastAsia="Calibri" w:hAnsi="Calibri" w:cs="Calibri"/>
          <w:kern w:val="0"/>
          <w:u w:color="000000"/>
          <w:bdr w:val="nil"/>
          <w:shd w:val="clear" w:color="auto" w:fill="FFFFFF"/>
          <w:lang w:val="fr-CA"/>
          <w14:ligatures w14:val="none"/>
        </w:rPr>
        <w:t>glementaires plus détaillées</w:t>
      </w:r>
      <w:r w:rsidR="00B549D7" w:rsidRPr="00A317D7">
        <w:rPr>
          <w:rStyle w:val="EndnoteReference"/>
          <w:rFonts w:ascii="Calibri" w:eastAsia="Calibri" w:hAnsi="Calibri" w:cs="Calibri"/>
          <w:kern w:val="0"/>
          <w:u w:color="000000"/>
          <w:bdr w:val="nil"/>
          <w:shd w:val="clear" w:color="auto" w:fill="FFFFFF"/>
          <w:lang w:val="fr-CA"/>
          <w14:ligatures w14:val="none"/>
        </w:rPr>
        <w:endnoteReference w:id="32"/>
      </w:r>
      <w:r>
        <w:rPr>
          <w:rFonts w:ascii="Calibri" w:eastAsia="Calibri" w:hAnsi="Calibri" w:cs="Calibri"/>
          <w:kern w:val="0"/>
          <w:u w:color="000000"/>
          <w:bdr w:val="nil"/>
          <w:shd w:val="clear" w:color="auto" w:fill="FFFFFF"/>
          <w:lang w:val="fr-CA"/>
          <w14:ligatures w14:val="none"/>
        </w:rPr>
        <w:t>.</w:t>
      </w:r>
      <w:r w:rsidR="00B549D7" w:rsidRPr="005E60C1">
        <w:rPr>
          <w:rFonts w:ascii="Calibri" w:eastAsia="Calibri" w:hAnsi="Calibri" w:cs="Calibri"/>
          <w:kern w:val="0"/>
          <w:u w:color="000000"/>
          <w:bdr w:val="nil"/>
          <w:shd w:val="clear" w:color="auto" w:fill="FFFFFF"/>
          <w:lang w:val="fr-CA"/>
          <w14:ligatures w14:val="none"/>
        </w:rPr>
        <w:t xml:space="preserve"> </w:t>
      </w:r>
      <w:r w:rsidRPr="005E60C1">
        <w:rPr>
          <w:rFonts w:ascii="Calibri" w:eastAsia="Calibri" w:hAnsi="Calibri" w:cs="Calibri"/>
          <w:kern w:val="0"/>
          <w:u w:color="000000"/>
          <w:bdr w:val="nil"/>
          <w:shd w:val="clear" w:color="auto" w:fill="FFFFFF"/>
          <w:lang w:val="fr-CA"/>
          <w14:ligatures w14:val="none"/>
        </w:rPr>
        <w:t>Aux États-Unis, une législation détaillée sur l</w:t>
      </w:r>
      <w:r w:rsidR="00C62E0C">
        <w:rPr>
          <w:rFonts w:ascii="Calibri" w:eastAsia="Calibri" w:hAnsi="Calibri" w:cs="Calibri"/>
          <w:kern w:val="0"/>
          <w:u w:color="000000"/>
          <w:bdr w:val="nil"/>
          <w:shd w:val="clear" w:color="auto" w:fill="FFFFFF"/>
          <w:lang w:val="fr-CA"/>
          <w14:ligatures w14:val="none"/>
        </w:rPr>
        <w:t>’</w:t>
      </w:r>
      <w:r w:rsidRPr="005E60C1">
        <w:rPr>
          <w:rFonts w:ascii="Calibri" w:eastAsia="Calibri" w:hAnsi="Calibri" w:cs="Calibri"/>
          <w:kern w:val="0"/>
          <w:u w:color="000000"/>
          <w:bdr w:val="nil"/>
          <w:shd w:val="clear" w:color="auto" w:fill="FFFFFF"/>
          <w:lang w:val="fr-CA"/>
          <w14:ligatures w14:val="none"/>
        </w:rPr>
        <w:t xml:space="preserve">IA dans le </w:t>
      </w:r>
      <w:r w:rsidR="006C515F">
        <w:rPr>
          <w:rFonts w:ascii="Calibri" w:eastAsia="Calibri" w:hAnsi="Calibri" w:cs="Calibri"/>
          <w:kern w:val="0"/>
          <w:u w:color="000000"/>
          <w:bdr w:val="nil"/>
          <w:shd w:val="clear" w:color="auto" w:fill="FFFFFF"/>
          <w:lang w:val="fr-CA"/>
          <w14:ligatures w14:val="none"/>
        </w:rPr>
        <w:t xml:space="preserve">système </w:t>
      </w:r>
      <w:r w:rsidRPr="005E60C1">
        <w:rPr>
          <w:rFonts w:ascii="Calibri" w:eastAsia="Calibri" w:hAnsi="Calibri" w:cs="Calibri"/>
          <w:kern w:val="0"/>
          <w:u w:color="000000"/>
          <w:bdr w:val="nil"/>
          <w:shd w:val="clear" w:color="auto" w:fill="FFFFFF"/>
          <w:lang w:val="fr-CA"/>
          <w14:ligatures w14:val="none"/>
        </w:rPr>
        <w:t>de justice pénale, des décrets, des politiques et des règles ont été adoptés ou proposés par le gouvernement fédéral, les États, les municipalités, les services de police et des ONG</w:t>
      </w:r>
      <w:r w:rsidR="00B549D7" w:rsidRPr="00A317D7">
        <w:rPr>
          <w:rStyle w:val="EndnoteReference"/>
          <w:rFonts w:ascii="Calibri" w:eastAsia="Calibri" w:hAnsi="Calibri" w:cs="Calibri"/>
          <w:kern w:val="0"/>
          <w:u w:color="000000"/>
          <w:bdr w:val="nil"/>
          <w:shd w:val="clear" w:color="auto" w:fill="FFFFFF"/>
          <w:lang w:val="fr-CA"/>
          <w14:ligatures w14:val="none"/>
        </w:rPr>
        <w:endnoteReference w:id="33"/>
      </w:r>
      <w:r>
        <w:rPr>
          <w:rFonts w:ascii="Calibri" w:eastAsia="Calibri" w:hAnsi="Calibri" w:cs="Calibri"/>
          <w:kern w:val="0"/>
          <w:u w:color="000000"/>
          <w:bdr w:val="nil"/>
          <w:shd w:val="clear" w:color="auto" w:fill="FFFFFF"/>
          <w:lang w:val="fr-CA"/>
          <w14:ligatures w14:val="none"/>
        </w:rPr>
        <w:t>.</w:t>
      </w:r>
      <w:r w:rsidR="00BE6D0C" w:rsidRPr="005E60C1">
        <w:rPr>
          <w:rFonts w:ascii="Calibri" w:eastAsia="Calibri" w:hAnsi="Calibri" w:cs="Calibri"/>
          <w:kern w:val="0"/>
          <w:u w:color="000000"/>
          <w:bdr w:val="nil"/>
          <w:shd w:val="clear" w:color="auto" w:fill="FFFFFF"/>
          <w:lang w:val="fr-CA"/>
          <w14:ligatures w14:val="none"/>
        </w:rPr>
        <w:t xml:space="preserve"> </w:t>
      </w:r>
    </w:p>
    <w:p w14:paraId="154A8E8D" w14:textId="77777777" w:rsidR="00EC0C2B" w:rsidRPr="005E60C1" w:rsidRDefault="00EC0C2B" w:rsidP="00724051">
      <w:pPr>
        <w:spacing w:after="0"/>
        <w:rPr>
          <w:lang w:val="fr-CA"/>
        </w:rPr>
      </w:pPr>
    </w:p>
    <w:p w14:paraId="649661B7" w14:textId="42513F18" w:rsidR="00B549D7" w:rsidRPr="00A317D7" w:rsidRDefault="005A6DC2" w:rsidP="00724051">
      <w:pPr>
        <w:spacing w:after="0"/>
        <w:rPr>
          <w:lang w:val="fr-CA"/>
        </w:rPr>
      </w:pPr>
      <w:r w:rsidRPr="005A6DC2">
        <w:rPr>
          <w:lang w:val="fr-CA"/>
        </w:rPr>
        <w:t>Le thème général de ces initiatives est qu</w:t>
      </w:r>
      <w:r w:rsidR="00C62E0C">
        <w:rPr>
          <w:lang w:val="fr-CA"/>
        </w:rPr>
        <w:t>’</w:t>
      </w:r>
      <w:r w:rsidRPr="005A6DC2">
        <w:rPr>
          <w:lang w:val="fr-CA"/>
        </w:rPr>
        <w:t>il est nécessaire de disposer de règles cohérentes et complètes pour garantir que les systèmes d</w:t>
      </w:r>
      <w:r w:rsidR="00C62E0C">
        <w:rPr>
          <w:lang w:val="fr-CA"/>
        </w:rPr>
        <w:t>’</w:t>
      </w:r>
      <w:r w:rsidRPr="005A6DC2">
        <w:rPr>
          <w:lang w:val="fr-CA"/>
        </w:rPr>
        <w:t xml:space="preserve">IA dans le </w:t>
      </w:r>
      <w:r w:rsidR="00FF0FFA">
        <w:rPr>
          <w:lang w:val="fr-CA"/>
        </w:rPr>
        <w:t xml:space="preserve">secteur </w:t>
      </w:r>
      <w:r w:rsidRPr="005A6DC2">
        <w:rPr>
          <w:lang w:val="fr-CA"/>
        </w:rPr>
        <w:t>pénal soient bénéfiques, légaux et responsables. Cela dit, le contenu et la forme de ces initiatives varient considérablement et peuvent inclure</w:t>
      </w:r>
      <w:r w:rsidR="00FF0FFA">
        <w:rPr>
          <w:lang w:val="fr-CA"/>
        </w:rPr>
        <w:t xml:space="preserve"> ce qui suit</w:t>
      </w:r>
      <w:r>
        <w:rPr>
          <w:lang w:val="fr-CA"/>
        </w:rPr>
        <w:t> </w:t>
      </w:r>
      <w:r w:rsidR="00B549D7" w:rsidRPr="00A317D7">
        <w:rPr>
          <w:lang w:val="fr-CA"/>
        </w:rPr>
        <w:t>:</w:t>
      </w:r>
    </w:p>
    <w:p w14:paraId="782F8CAF" w14:textId="77777777" w:rsidR="00B549D7" w:rsidRPr="00A317D7" w:rsidRDefault="00B549D7" w:rsidP="00724051">
      <w:pPr>
        <w:spacing w:after="0"/>
        <w:rPr>
          <w:lang w:val="fr-CA"/>
        </w:rPr>
      </w:pPr>
    </w:p>
    <w:p w14:paraId="2E70284D" w14:textId="4614F9AE" w:rsidR="005A6DC2" w:rsidRPr="005A6DC2" w:rsidRDefault="009B3CDC" w:rsidP="005A6DC2">
      <w:pPr>
        <w:pStyle w:val="ListParagraph"/>
        <w:numPr>
          <w:ilvl w:val="0"/>
          <w:numId w:val="4"/>
        </w:numPr>
        <w:spacing w:after="240" w:line="240" w:lineRule="auto"/>
        <w:rPr>
          <w:lang w:val="fr-CA"/>
        </w:rPr>
      </w:pPr>
      <w:r>
        <w:rPr>
          <w:lang w:val="fr-CA"/>
        </w:rPr>
        <w:t>Communication</w:t>
      </w:r>
      <w:r w:rsidR="005A6DC2" w:rsidRPr="005A6DC2">
        <w:rPr>
          <w:lang w:val="fr-CA"/>
        </w:rPr>
        <w:t xml:space="preserve"> obligatoire des systèmes d</w:t>
      </w:r>
      <w:r w:rsidR="00C62E0C">
        <w:rPr>
          <w:lang w:val="fr-CA"/>
        </w:rPr>
        <w:t>’</w:t>
      </w:r>
      <w:r w:rsidR="005A6DC2" w:rsidRPr="005A6DC2">
        <w:rPr>
          <w:lang w:val="fr-CA"/>
        </w:rPr>
        <w:t xml:space="preserve">IA dans le </w:t>
      </w:r>
      <w:r w:rsidR="00FF0FFA">
        <w:rPr>
          <w:lang w:val="fr-CA"/>
        </w:rPr>
        <w:t xml:space="preserve">secteur </w:t>
      </w:r>
      <w:r w:rsidR="005A6DC2" w:rsidRPr="005A6DC2">
        <w:rPr>
          <w:lang w:val="fr-CA"/>
        </w:rPr>
        <w:t>pénal, y compris des «</w:t>
      </w:r>
      <w:r w:rsidR="00C62E0C">
        <w:rPr>
          <w:lang w:val="fr-CA"/>
        </w:rPr>
        <w:t> </w:t>
      </w:r>
      <w:r w:rsidR="005A6DC2" w:rsidRPr="005A6DC2">
        <w:rPr>
          <w:lang w:val="fr-CA"/>
        </w:rPr>
        <w:t>registres publics d</w:t>
      </w:r>
      <w:r w:rsidR="00C62E0C">
        <w:rPr>
          <w:lang w:val="fr-CA"/>
        </w:rPr>
        <w:t>’</w:t>
      </w:r>
      <w:r w:rsidR="005A6DC2" w:rsidRPr="005A6DC2">
        <w:rPr>
          <w:lang w:val="fr-CA"/>
        </w:rPr>
        <w:t>IA</w:t>
      </w:r>
      <w:r w:rsidR="00C62E0C">
        <w:rPr>
          <w:lang w:val="fr-CA"/>
        </w:rPr>
        <w:t> </w:t>
      </w:r>
      <w:r w:rsidR="005A6DC2" w:rsidRPr="005A6DC2">
        <w:rPr>
          <w:lang w:val="fr-CA"/>
        </w:rPr>
        <w:t>».</w:t>
      </w:r>
    </w:p>
    <w:p w14:paraId="1FC6DEC7" w14:textId="2DBB53BD" w:rsidR="005A6DC2" w:rsidRPr="005A6DC2" w:rsidRDefault="005A6DC2" w:rsidP="005A6DC2">
      <w:pPr>
        <w:pStyle w:val="ListParagraph"/>
        <w:numPr>
          <w:ilvl w:val="0"/>
          <w:numId w:val="4"/>
        </w:numPr>
        <w:spacing w:after="240" w:line="240" w:lineRule="auto"/>
        <w:rPr>
          <w:lang w:val="fr-CA"/>
        </w:rPr>
      </w:pPr>
      <w:r w:rsidRPr="005A6DC2">
        <w:rPr>
          <w:lang w:val="fr-CA"/>
        </w:rPr>
        <w:t>Interdiction des systèmes d</w:t>
      </w:r>
      <w:r w:rsidR="00C62E0C">
        <w:rPr>
          <w:lang w:val="fr-CA"/>
        </w:rPr>
        <w:t>’</w:t>
      </w:r>
      <w:r w:rsidRPr="005A6DC2">
        <w:rPr>
          <w:lang w:val="fr-CA"/>
        </w:rPr>
        <w:t xml:space="preserve">IA présentant le plus haut risque dans le </w:t>
      </w:r>
      <w:r w:rsidR="00FF0FFA">
        <w:rPr>
          <w:lang w:val="fr-CA"/>
        </w:rPr>
        <w:t xml:space="preserve">secteur </w:t>
      </w:r>
      <w:r w:rsidRPr="005A6DC2">
        <w:rPr>
          <w:lang w:val="fr-CA"/>
        </w:rPr>
        <w:t>pénal</w:t>
      </w:r>
      <w:r w:rsidR="009B3CDC">
        <w:rPr>
          <w:lang w:val="fr-CA"/>
        </w:rPr>
        <w:t>.</w:t>
      </w:r>
    </w:p>
    <w:p w14:paraId="2B5D32BD" w14:textId="16B2512F" w:rsidR="005A6DC2" w:rsidRPr="005A6DC2" w:rsidRDefault="005A6DC2" w:rsidP="005A6DC2">
      <w:pPr>
        <w:pStyle w:val="ListParagraph"/>
        <w:numPr>
          <w:ilvl w:val="0"/>
          <w:numId w:val="4"/>
        </w:numPr>
        <w:spacing w:after="240" w:line="240" w:lineRule="auto"/>
        <w:rPr>
          <w:lang w:val="fr-CA"/>
        </w:rPr>
      </w:pPr>
      <w:r w:rsidRPr="005A6DC2">
        <w:rPr>
          <w:lang w:val="fr-CA"/>
        </w:rPr>
        <w:t>Critères permettant d</w:t>
      </w:r>
      <w:r w:rsidR="00C62E0C">
        <w:rPr>
          <w:lang w:val="fr-CA"/>
        </w:rPr>
        <w:t>’</w:t>
      </w:r>
      <w:r w:rsidRPr="005A6DC2">
        <w:rPr>
          <w:lang w:val="fr-CA"/>
        </w:rPr>
        <w:t>identifier les systèmes interdits ou à haut risque.</w:t>
      </w:r>
    </w:p>
    <w:p w14:paraId="31704A36" w14:textId="47562620" w:rsidR="005A6DC2" w:rsidRPr="005A6DC2" w:rsidRDefault="005A6DC2" w:rsidP="005A6DC2">
      <w:pPr>
        <w:pStyle w:val="ListParagraph"/>
        <w:numPr>
          <w:ilvl w:val="0"/>
          <w:numId w:val="4"/>
        </w:numPr>
        <w:spacing w:after="240" w:line="240" w:lineRule="auto"/>
        <w:rPr>
          <w:lang w:val="fr-CA"/>
        </w:rPr>
      </w:pPr>
      <w:r w:rsidRPr="005A6DC2">
        <w:rPr>
          <w:lang w:val="fr-CA"/>
        </w:rPr>
        <w:t>Limitations de la finalité et de l</w:t>
      </w:r>
      <w:r w:rsidR="00C62E0C">
        <w:rPr>
          <w:lang w:val="fr-CA"/>
        </w:rPr>
        <w:t>’</w:t>
      </w:r>
      <w:r w:rsidRPr="005A6DC2">
        <w:rPr>
          <w:lang w:val="fr-CA"/>
        </w:rPr>
        <w:t>utilisation.</w:t>
      </w:r>
    </w:p>
    <w:p w14:paraId="3BDBD362" w14:textId="2DC93E00" w:rsidR="005A6DC2" w:rsidRPr="005A6DC2" w:rsidRDefault="005A6DC2" w:rsidP="00C00B53">
      <w:pPr>
        <w:pStyle w:val="ListParagraph"/>
        <w:numPr>
          <w:ilvl w:val="0"/>
          <w:numId w:val="4"/>
        </w:numPr>
        <w:spacing w:after="240" w:line="240" w:lineRule="auto"/>
        <w:rPr>
          <w:lang w:val="fr-CA"/>
        </w:rPr>
      </w:pPr>
      <w:r w:rsidRPr="005A6DC2">
        <w:rPr>
          <w:lang w:val="fr-CA"/>
        </w:rPr>
        <w:t xml:space="preserve">Évaluations obligatoires et transparentes de </w:t>
      </w:r>
      <w:r w:rsidR="00C00B53" w:rsidRPr="00C00B53">
        <w:rPr>
          <w:lang w:val="fr-CA"/>
        </w:rPr>
        <w:t xml:space="preserve">l’incidence </w:t>
      </w:r>
      <w:r w:rsidRPr="005A6DC2">
        <w:rPr>
          <w:lang w:val="fr-CA"/>
        </w:rPr>
        <w:t>de l</w:t>
      </w:r>
      <w:r w:rsidR="00C62E0C">
        <w:rPr>
          <w:lang w:val="fr-CA"/>
        </w:rPr>
        <w:t>’</w:t>
      </w:r>
      <w:r w:rsidRPr="005A6DC2">
        <w:rPr>
          <w:lang w:val="fr-CA"/>
        </w:rPr>
        <w:t>IA.</w:t>
      </w:r>
    </w:p>
    <w:p w14:paraId="7B49214D" w14:textId="17EBBAFA" w:rsidR="005A6DC2" w:rsidRPr="005A6DC2" w:rsidRDefault="005A6DC2" w:rsidP="005A6DC2">
      <w:pPr>
        <w:pStyle w:val="ListParagraph"/>
        <w:numPr>
          <w:ilvl w:val="0"/>
          <w:numId w:val="4"/>
        </w:numPr>
        <w:spacing w:after="240" w:line="240" w:lineRule="auto"/>
        <w:rPr>
          <w:lang w:val="fr-CA"/>
        </w:rPr>
      </w:pPr>
      <w:r w:rsidRPr="005A6DC2">
        <w:rPr>
          <w:lang w:val="fr-CA"/>
        </w:rPr>
        <w:t>Exigences en matière d</w:t>
      </w:r>
      <w:r w:rsidR="00C62E0C">
        <w:rPr>
          <w:lang w:val="fr-CA"/>
        </w:rPr>
        <w:t>’</w:t>
      </w:r>
      <w:r w:rsidRPr="005A6DC2">
        <w:rPr>
          <w:lang w:val="fr-CA"/>
        </w:rPr>
        <w:t>atténuation.</w:t>
      </w:r>
    </w:p>
    <w:p w14:paraId="3F8F8AD9" w14:textId="3C24C3AA" w:rsidR="005A6DC2" w:rsidRPr="005A6DC2" w:rsidRDefault="005A6DC2" w:rsidP="005A6DC2">
      <w:pPr>
        <w:pStyle w:val="ListParagraph"/>
        <w:numPr>
          <w:ilvl w:val="0"/>
          <w:numId w:val="4"/>
        </w:numPr>
        <w:spacing w:after="240" w:line="240" w:lineRule="auto"/>
        <w:rPr>
          <w:lang w:val="fr-CA"/>
        </w:rPr>
      </w:pPr>
      <w:r w:rsidRPr="005A6DC2">
        <w:rPr>
          <w:lang w:val="fr-CA"/>
        </w:rPr>
        <w:t xml:space="preserve">Obligations obligatoires de mesurer, </w:t>
      </w:r>
      <w:r w:rsidR="00FF0FFA">
        <w:rPr>
          <w:lang w:val="fr-CA"/>
        </w:rPr>
        <w:t xml:space="preserve">de </w:t>
      </w:r>
      <w:r w:rsidRPr="005A6DC2">
        <w:rPr>
          <w:lang w:val="fr-CA"/>
        </w:rPr>
        <w:t xml:space="preserve">corriger et </w:t>
      </w:r>
      <w:r w:rsidR="00FF0FFA">
        <w:rPr>
          <w:lang w:val="fr-CA"/>
        </w:rPr>
        <w:t xml:space="preserve">de </w:t>
      </w:r>
      <w:r w:rsidRPr="005A6DC2">
        <w:rPr>
          <w:lang w:val="fr-CA"/>
        </w:rPr>
        <w:t>contrôler les biais dans les systèmes d</w:t>
      </w:r>
      <w:r w:rsidR="00C62E0C">
        <w:rPr>
          <w:lang w:val="fr-CA"/>
        </w:rPr>
        <w:t>’</w:t>
      </w:r>
      <w:r w:rsidRPr="005A6DC2">
        <w:rPr>
          <w:lang w:val="fr-CA"/>
        </w:rPr>
        <w:t>IA.</w:t>
      </w:r>
    </w:p>
    <w:p w14:paraId="00CE74B0" w14:textId="2C1FC849" w:rsidR="005A6DC2" w:rsidRPr="005A6DC2" w:rsidRDefault="005A6DC2" w:rsidP="005A6DC2">
      <w:pPr>
        <w:pStyle w:val="ListParagraph"/>
        <w:numPr>
          <w:ilvl w:val="0"/>
          <w:numId w:val="4"/>
        </w:numPr>
        <w:spacing w:after="240" w:line="240" w:lineRule="auto"/>
        <w:rPr>
          <w:lang w:val="fr-CA"/>
        </w:rPr>
      </w:pPr>
      <w:r w:rsidRPr="005A6DC2">
        <w:rPr>
          <w:lang w:val="fr-CA"/>
        </w:rPr>
        <w:t>Garanties procédurales, telles que l</w:t>
      </w:r>
      <w:r w:rsidR="00C62E0C">
        <w:rPr>
          <w:lang w:val="fr-CA"/>
        </w:rPr>
        <w:t>’</w:t>
      </w:r>
      <w:r w:rsidRPr="005A6DC2">
        <w:rPr>
          <w:lang w:val="fr-CA"/>
        </w:rPr>
        <w:t>obligation d</w:t>
      </w:r>
      <w:r w:rsidR="00C62E0C">
        <w:rPr>
          <w:lang w:val="fr-CA"/>
        </w:rPr>
        <w:t>’</w:t>
      </w:r>
      <w:r w:rsidRPr="005A6DC2">
        <w:rPr>
          <w:lang w:val="fr-CA"/>
        </w:rPr>
        <w:t>obtenir un mandat pour les systèmes à haut risque.</w:t>
      </w:r>
    </w:p>
    <w:p w14:paraId="0B5F2CDA" w14:textId="64EA9572" w:rsidR="005A6DC2" w:rsidRPr="005A6DC2" w:rsidRDefault="005A6DC2" w:rsidP="005A6DC2">
      <w:pPr>
        <w:pStyle w:val="ListParagraph"/>
        <w:numPr>
          <w:ilvl w:val="0"/>
          <w:numId w:val="4"/>
        </w:numPr>
        <w:spacing w:after="240" w:line="240" w:lineRule="auto"/>
        <w:rPr>
          <w:lang w:val="fr-CA"/>
        </w:rPr>
      </w:pPr>
      <w:r w:rsidRPr="005A6DC2">
        <w:rPr>
          <w:lang w:val="fr-CA"/>
        </w:rPr>
        <w:t>Exigences obligatoires en matière d</w:t>
      </w:r>
      <w:r w:rsidR="00C62E0C">
        <w:rPr>
          <w:lang w:val="fr-CA"/>
        </w:rPr>
        <w:t>’</w:t>
      </w:r>
      <w:r w:rsidRPr="005A6DC2">
        <w:rPr>
          <w:lang w:val="fr-CA"/>
        </w:rPr>
        <w:t xml:space="preserve">intervention humaine et </w:t>
      </w:r>
      <w:r w:rsidR="00FF0FFA">
        <w:rPr>
          <w:lang w:val="fr-CA"/>
        </w:rPr>
        <w:t>d’apprentissage</w:t>
      </w:r>
      <w:r w:rsidRPr="005A6DC2">
        <w:rPr>
          <w:lang w:val="fr-CA"/>
        </w:rPr>
        <w:t>.</w:t>
      </w:r>
    </w:p>
    <w:p w14:paraId="5D48616A" w14:textId="568CCDBA" w:rsidR="005A6DC2" w:rsidRPr="005A6DC2" w:rsidRDefault="005A6DC2" w:rsidP="005A6DC2">
      <w:pPr>
        <w:pStyle w:val="ListParagraph"/>
        <w:numPr>
          <w:ilvl w:val="0"/>
          <w:numId w:val="4"/>
        </w:numPr>
        <w:spacing w:after="240" w:line="240" w:lineRule="auto"/>
        <w:rPr>
          <w:lang w:val="fr-CA"/>
        </w:rPr>
      </w:pPr>
      <w:r w:rsidRPr="005A6DC2">
        <w:rPr>
          <w:lang w:val="fr-CA"/>
        </w:rPr>
        <w:t>Exigences obligatoires en matière d</w:t>
      </w:r>
      <w:r w:rsidR="00C62E0C">
        <w:rPr>
          <w:lang w:val="fr-CA"/>
        </w:rPr>
        <w:t>’</w:t>
      </w:r>
      <w:r w:rsidRPr="005A6DC2">
        <w:rPr>
          <w:lang w:val="fr-CA"/>
        </w:rPr>
        <w:t>audit et d</w:t>
      </w:r>
      <w:r w:rsidR="00C62E0C">
        <w:rPr>
          <w:lang w:val="fr-CA"/>
        </w:rPr>
        <w:t>’</w:t>
      </w:r>
      <w:r w:rsidRPr="005A6DC2">
        <w:rPr>
          <w:lang w:val="fr-CA"/>
        </w:rPr>
        <w:t>évaluation.</w:t>
      </w:r>
    </w:p>
    <w:p w14:paraId="5D4C9BF1" w14:textId="7808F97A" w:rsidR="00B549D7" w:rsidRPr="00A317D7" w:rsidRDefault="005A6DC2" w:rsidP="005A6DC2">
      <w:pPr>
        <w:pStyle w:val="ListParagraph"/>
        <w:numPr>
          <w:ilvl w:val="0"/>
          <w:numId w:val="4"/>
        </w:numPr>
        <w:spacing w:after="240" w:line="240" w:lineRule="auto"/>
        <w:rPr>
          <w:lang w:val="fr-CA"/>
        </w:rPr>
      </w:pPr>
      <w:r w:rsidRPr="005A6DC2">
        <w:rPr>
          <w:lang w:val="fr-CA"/>
        </w:rPr>
        <w:t xml:space="preserve">Surveillance indépendante des systèmes individuels et </w:t>
      </w:r>
      <w:r w:rsidR="00EC108B">
        <w:rPr>
          <w:lang w:val="fr-CA"/>
        </w:rPr>
        <w:t>gouvernementaux en matière d</w:t>
      </w:r>
      <w:r w:rsidR="00C62E0C">
        <w:rPr>
          <w:lang w:val="fr-CA"/>
        </w:rPr>
        <w:t>’</w:t>
      </w:r>
      <w:r w:rsidRPr="005A6DC2">
        <w:rPr>
          <w:lang w:val="fr-CA"/>
        </w:rPr>
        <w:t>IA en général</w:t>
      </w:r>
      <w:r w:rsidR="00B549D7" w:rsidRPr="00A317D7">
        <w:rPr>
          <w:lang w:val="fr-CA"/>
        </w:rPr>
        <w:t>.</w:t>
      </w:r>
      <w:r w:rsidR="00BE6D0C" w:rsidRPr="00A317D7">
        <w:rPr>
          <w:lang w:val="fr-CA"/>
        </w:rPr>
        <w:t xml:space="preserve"> </w:t>
      </w:r>
    </w:p>
    <w:p w14:paraId="36988CEB" w14:textId="67077B30" w:rsidR="000E025D" w:rsidRPr="00172A17" w:rsidRDefault="00CC0EBB" w:rsidP="000E025D">
      <w:pPr>
        <w:spacing w:after="0" w:line="240" w:lineRule="auto"/>
        <w:rPr>
          <w:lang w:val="fr-CA"/>
        </w:rPr>
      </w:pPr>
      <w:bookmarkStart w:id="38" w:name="_Toc188900914"/>
      <w:bookmarkStart w:id="39" w:name="_Toc188902181"/>
      <w:bookmarkEnd w:id="37"/>
      <w:r>
        <w:rPr>
          <w:lang w:val="fr-CA"/>
        </w:rPr>
        <w:t xml:space="preserve">Pour la </w:t>
      </w:r>
      <w:r w:rsidR="00172A17" w:rsidRPr="00172A17">
        <w:rPr>
          <w:lang w:val="fr-CA"/>
        </w:rPr>
        <w:t>CDO</w:t>
      </w:r>
      <w:r>
        <w:rPr>
          <w:lang w:val="fr-CA"/>
        </w:rPr>
        <w:t>,</w:t>
      </w:r>
      <w:r w:rsidR="00172A17" w:rsidRPr="00172A17">
        <w:rPr>
          <w:lang w:val="fr-CA"/>
        </w:rPr>
        <w:t xml:space="preserve"> </w:t>
      </w:r>
      <w:r>
        <w:rPr>
          <w:lang w:val="fr-CA"/>
        </w:rPr>
        <w:t xml:space="preserve">ni le </w:t>
      </w:r>
      <w:r w:rsidRPr="00172A17">
        <w:rPr>
          <w:lang w:val="fr-CA"/>
        </w:rPr>
        <w:t xml:space="preserve">Canada </w:t>
      </w:r>
      <w:r>
        <w:rPr>
          <w:lang w:val="fr-CA"/>
        </w:rPr>
        <w:t>ni l’</w:t>
      </w:r>
      <w:r w:rsidRPr="00172A17">
        <w:rPr>
          <w:lang w:val="fr-CA"/>
        </w:rPr>
        <w:t xml:space="preserve">Ontario </w:t>
      </w:r>
      <w:r>
        <w:rPr>
          <w:lang w:val="fr-CA"/>
        </w:rPr>
        <w:t xml:space="preserve">ne devrait adopter de jurisprudence ou de </w:t>
      </w:r>
      <w:r w:rsidR="00172A17" w:rsidRPr="00172A17">
        <w:rPr>
          <w:lang w:val="fr-CA"/>
        </w:rPr>
        <w:t xml:space="preserve">cadre unique. </w:t>
      </w:r>
      <w:r>
        <w:rPr>
          <w:lang w:val="fr-CA"/>
        </w:rPr>
        <w:t>L</w:t>
      </w:r>
      <w:r w:rsidR="00172A17" w:rsidRPr="00172A17">
        <w:rPr>
          <w:lang w:val="fr-CA"/>
        </w:rPr>
        <w:t xml:space="preserve">es lois et </w:t>
      </w:r>
      <w:r>
        <w:rPr>
          <w:lang w:val="fr-CA"/>
        </w:rPr>
        <w:t>l</w:t>
      </w:r>
      <w:r w:rsidR="00172A17" w:rsidRPr="00172A17">
        <w:rPr>
          <w:lang w:val="fr-CA"/>
        </w:rPr>
        <w:t xml:space="preserve">es politiques en matière </w:t>
      </w:r>
      <w:r w:rsidR="00105D48">
        <w:rPr>
          <w:lang w:val="fr-CA"/>
        </w:rPr>
        <w:t>d’</w:t>
      </w:r>
      <w:r w:rsidR="00105D48" w:rsidRPr="00105D48">
        <w:rPr>
          <w:lang w:val="fr-CA"/>
        </w:rPr>
        <w:t xml:space="preserve">IA fiable dans le </w:t>
      </w:r>
      <w:r w:rsidR="00093642" w:rsidRPr="00093642">
        <w:rPr>
          <w:lang w:val="fr-CA"/>
        </w:rPr>
        <w:t xml:space="preserve">système de </w:t>
      </w:r>
      <w:r w:rsidR="00105D48" w:rsidRPr="00105D48">
        <w:rPr>
          <w:lang w:val="fr-CA"/>
        </w:rPr>
        <w:t xml:space="preserve">justice pénale </w:t>
      </w:r>
      <w:r w:rsidR="00172A17" w:rsidRPr="00172A17">
        <w:rPr>
          <w:lang w:val="fr-CA"/>
        </w:rPr>
        <w:t xml:space="preserve">doivent être adaptées à nos lois, à notre système de justice pénale et à nos institutions. La CDO estime que les décideurs politiques et les parties prenantes </w:t>
      </w:r>
      <w:r>
        <w:rPr>
          <w:lang w:val="fr-CA"/>
        </w:rPr>
        <w:t xml:space="preserve">du Canada </w:t>
      </w:r>
      <w:r w:rsidR="00172A17" w:rsidRPr="00172A17">
        <w:rPr>
          <w:lang w:val="fr-CA"/>
        </w:rPr>
        <w:t>peuvent tirer d</w:t>
      </w:r>
      <w:r w:rsidR="00C62E0C">
        <w:rPr>
          <w:lang w:val="fr-CA"/>
        </w:rPr>
        <w:t>’</w:t>
      </w:r>
      <w:r w:rsidR="00172A17" w:rsidRPr="00172A17">
        <w:rPr>
          <w:lang w:val="fr-CA"/>
        </w:rPr>
        <w:t>importantes leçons de l</w:t>
      </w:r>
      <w:r w:rsidR="00C62E0C">
        <w:rPr>
          <w:lang w:val="fr-CA"/>
        </w:rPr>
        <w:t>’</w:t>
      </w:r>
      <w:r w:rsidR="00172A17" w:rsidRPr="00172A17">
        <w:rPr>
          <w:lang w:val="fr-CA"/>
        </w:rPr>
        <w:t>expérience d</w:t>
      </w:r>
      <w:r w:rsidR="00C62E0C">
        <w:rPr>
          <w:lang w:val="fr-CA"/>
        </w:rPr>
        <w:t>’</w:t>
      </w:r>
      <w:r w:rsidR="00172A17" w:rsidRPr="00172A17">
        <w:rPr>
          <w:lang w:val="fr-CA"/>
        </w:rPr>
        <w:t xml:space="preserve">autres </w:t>
      </w:r>
      <w:r w:rsidR="009B3CDC">
        <w:rPr>
          <w:lang w:val="fr-CA"/>
        </w:rPr>
        <w:t>juridictions</w:t>
      </w:r>
      <w:r w:rsidR="00B549D7" w:rsidRPr="00172A17">
        <w:rPr>
          <w:lang w:val="fr-CA"/>
        </w:rPr>
        <w:t>.</w:t>
      </w:r>
      <w:r w:rsidR="00BE6D0C" w:rsidRPr="00172A17">
        <w:rPr>
          <w:lang w:val="fr-CA"/>
        </w:rPr>
        <w:t xml:space="preserve"> </w:t>
      </w:r>
    </w:p>
    <w:p w14:paraId="0EDFA60B" w14:textId="77777777" w:rsidR="000E025D" w:rsidRPr="00172A17" w:rsidRDefault="000E025D" w:rsidP="000E025D">
      <w:pPr>
        <w:spacing w:after="0" w:line="240" w:lineRule="auto"/>
        <w:rPr>
          <w:lang w:val="fr-CA"/>
        </w:rPr>
      </w:pPr>
    </w:p>
    <w:p w14:paraId="4EF9E18B" w14:textId="4605C5EB" w:rsidR="00B549D7" w:rsidRPr="00A317D7" w:rsidRDefault="00D873AD" w:rsidP="00D873AD">
      <w:pPr>
        <w:pStyle w:val="Heading1"/>
        <w:numPr>
          <w:ilvl w:val="0"/>
          <w:numId w:val="21"/>
        </w:numPr>
        <w:rPr>
          <w:lang w:val="fr-CA"/>
        </w:rPr>
      </w:pPr>
      <w:bookmarkStart w:id="40" w:name="_Toc197353488"/>
      <w:bookmarkStart w:id="41" w:name="_Toc197599887"/>
      <w:r w:rsidRPr="00D873AD">
        <w:rPr>
          <w:lang w:val="fr-CA"/>
        </w:rPr>
        <w:t>Une IA fiable dans le système de justice pénale canadien</w:t>
      </w:r>
      <w:bookmarkEnd w:id="40"/>
      <w:bookmarkEnd w:id="41"/>
      <w:r w:rsidR="00B549D7" w:rsidRPr="00A317D7">
        <w:rPr>
          <w:lang w:val="fr-CA"/>
        </w:rPr>
        <w:t xml:space="preserve"> </w:t>
      </w:r>
      <w:bookmarkEnd w:id="38"/>
      <w:bookmarkEnd w:id="39"/>
    </w:p>
    <w:p w14:paraId="2130BDB0" w14:textId="77777777" w:rsidR="00B549D7" w:rsidRPr="00A317D7" w:rsidRDefault="00B549D7" w:rsidP="009F0A62">
      <w:pPr>
        <w:spacing w:after="0"/>
        <w:rPr>
          <w:lang w:val="fr-CA"/>
        </w:rPr>
      </w:pPr>
    </w:p>
    <w:p w14:paraId="6F5D406A" w14:textId="57C6B7B0" w:rsidR="00B549D7" w:rsidRPr="00A317D7" w:rsidRDefault="00331AAB" w:rsidP="00F64420">
      <w:pPr>
        <w:pStyle w:val="Heading2"/>
        <w:rPr>
          <w:b w:val="0"/>
          <w:bCs/>
          <w:lang w:val="fr-CA"/>
        </w:rPr>
      </w:pPr>
      <w:bookmarkStart w:id="42" w:name="_Toc194406405"/>
      <w:bookmarkStart w:id="43" w:name="_Toc197353489"/>
      <w:bookmarkStart w:id="44" w:name="_Toc197599888"/>
      <w:r>
        <w:rPr>
          <w:b w:val="0"/>
          <w:bCs/>
          <w:lang w:val="fr-CA"/>
        </w:rPr>
        <w:t>Lois et politiques existantes</w:t>
      </w:r>
      <w:bookmarkEnd w:id="42"/>
      <w:bookmarkEnd w:id="43"/>
      <w:bookmarkEnd w:id="44"/>
    </w:p>
    <w:p w14:paraId="3EE3C141" w14:textId="77777777" w:rsidR="00B549D7" w:rsidRPr="00A317D7" w:rsidRDefault="00B549D7" w:rsidP="00114CC4">
      <w:pPr>
        <w:spacing w:after="0"/>
        <w:rPr>
          <w:lang w:val="fr-CA"/>
        </w:rPr>
      </w:pPr>
    </w:p>
    <w:p w14:paraId="55A32F71" w14:textId="68DF3354" w:rsidR="00B549D7" w:rsidRPr="006D7ADE" w:rsidRDefault="006D7ADE" w:rsidP="00114CC4">
      <w:pPr>
        <w:spacing w:after="0"/>
        <w:rPr>
          <w:lang w:val="fr-CA"/>
        </w:rPr>
      </w:pPr>
      <w:r w:rsidRPr="006D7ADE">
        <w:rPr>
          <w:lang w:val="fr-CA"/>
        </w:rPr>
        <w:t xml:space="preserve">Les documents thématiques du projet de la CDO analysent comment les protections existantes prévues par la </w:t>
      </w:r>
      <w:r w:rsidRPr="00C33754">
        <w:rPr>
          <w:i/>
          <w:lang w:val="fr-CA"/>
        </w:rPr>
        <w:t>Charte</w:t>
      </w:r>
      <w:r w:rsidRPr="006D7ADE">
        <w:rPr>
          <w:lang w:val="fr-CA"/>
        </w:rPr>
        <w:t xml:space="preserve">, le </w:t>
      </w:r>
      <w:r w:rsidRPr="00C33754">
        <w:rPr>
          <w:i/>
          <w:lang w:val="fr-CA"/>
        </w:rPr>
        <w:t>Code criminel</w:t>
      </w:r>
      <w:r w:rsidRPr="006D7ADE">
        <w:rPr>
          <w:lang w:val="fr-CA"/>
        </w:rPr>
        <w:t>, les lois sur les droits de la personne, les règles de common law, la procédure pénale et les règles de preuve peuvent être ou seront utilisées pour répondre aux défis posés par l</w:t>
      </w:r>
      <w:r w:rsidR="00C62E0C">
        <w:rPr>
          <w:lang w:val="fr-CA"/>
        </w:rPr>
        <w:t>’</w:t>
      </w:r>
      <w:r w:rsidRPr="006D7ADE">
        <w:rPr>
          <w:lang w:val="fr-CA"/>
        </w:rPr>
        <w:t>IA à chaque étape du processus de justice pénale. Les documents thématiques présentent une analyse complète des forces et des lacunes de ce cadre juridique complexe.</w:t>
      </w:r>
      <w:r w:rsidR="00B549D7" w:rsidRPr="006D7ADE">
        <w:rPr>
          <w:lang w:val="fr-CA"/>
        </w:rPr>
        <w:t xml:space="preserve"> </w:t>
      </w:r>
    </w:p>
    <w:p w14:paraId="535FC88D" w14:textId="77777777" w:rsidR="00B549D7" w:rsidRPr="006D7ADE" w:rsidRDefault="00B549D7" w:rsidP="009F0A62">
      <w:pPr>
        <w:spacing w:after="0"/>
        <w:rPr>
          <w:lang w:val="fr-CA"/>
        </w:rPr>
      </w:pPr>
    </w:p>
    <w:p w14:paraId="705FF690" w14:textId="6A95A4EC" w:rsidR="00B549D7" w:rsidRPr="00A317D7" w:rsidRDefault="006D7ADE" w:rsidP="009F0A62">
      <w:pPr>
        <w:spacing w:after="0"/>
        <w:rPr>
          <w:lang w:val="fr-CA"/>
        </w:rPr>
      </w:pPr>
      <w:r w:rsidRPr="006D7ADE">
        <w:rPr>
          <w:lang w:val="fr-CA"/>
        </w:rPr>
        <w:lastRenderedPageBreak/>
        <w:t>La CDO et nos auteurs ont conclu que, bien que les règles et procédures juridiques existantes présentent de nombreux avantages, elles ne permettent pas d</w:t>
      </w:r>
      <w:r w:rsidR="00C62E0C">
        <w:rPr>
          <w:lang w:val="fr-CA"/>
        </w:rPr>
        <w:t>’</w:t>
      </w:r>
      <w:r w:rsidRPr="006D7ADE">
        <w:rPr>
          <w:lang w:val="fr-CA"/>
        </w:rPr>
        <w:t xml:space="preserve">établir une IA fiable dans le système de justice pénale au Canada. </w:t>
      </w:r>
      <w:r w:rsidRPr="00EB08F6">
        <w:rPr>
          <w:lang w:val="fr-CA"/>
        </w:rPr>
        <w:t>En effet</w:t>
      </w:r>
      <w:r>
        <w:rPr>
          <w:lang w:val="en-US"/>
        </w:rPr>
        <w:t> </w:t>
      </w:r>
      <w:r w:rsidRPr="006D7ADE">
        <w:rPr>
          <w:lang w:val="en-US"/>
        </w:rPr>
        <w:t>:</w:t>
      </w:r>
      <w:r w:rsidR="00BE6D0C" w:rsidRPr="00A317D7">
        <w:rPr>
          <w:lang w:val="fr-CA"/>
        </w:rPr>
        <w:t xml:space="preserve"> </w:t>
      </w:r>
    </w:p>
    <w:p w14:paraId="7A511921" w14:textId="4DBA4A48" w:rsidR="006D7ADE" w:rsidRPr="006D7ADE" w:rsidRDefault="006D7ADE" w:rsidP="006D7ADE">
      <w:pPr>
        <w:pStyle w:val="ListParagraph"/>
        <w:numPr>
          <w:ilvl w:val="0"/>
          <w:numId w:val="13"/>
        </w:numPr>
        <w:spacing w:before="100" w:beforeAutospacing="1" w:after="0"/>
        <w:rPr>
          <w:lang w:val="fr-CA" w:eastAsia="en-CA"/>
        </w:rPr>
      </w:pPr>
      <w:r w:rsidRPr="006D7ADE">
        <w:rPr>
          <w:lang w:val="fr-CA" w:eastAsia="en-CA"/>
        </w:rPr>
        <w:t>L</w:t>
      </w:r>
      <w:r w:rsidR="00C62E0C">
        <w:rPr>
          <w:lang w:val="fr-CA" w:eastAsia="en-CA"/>
        </w:rPr>
        <w:t>’</w:t>
      </w:r>
      <w:r w:rsidRPr="006D7ADE">
        <w:rPr>
          <w:lang w:val="fr-CA" w:eastAsia="en-CA"/>
        </w:rPr>
        <w:t>IA soulève des questions nouvelles, complexes et lourdes de conséquences à chaque étape d</w:t>
      </w:r>
      <w:r w:rsidR="00C62E0C">
        <w:rPr>
          <w:lang w:val="fr-CA" w:eastAsia="en-CA"/>
        </w:rPr>
        <w:t>’</w:t>
      </w:r>
      <w:r w:rsidRPr="006D7ADE">
        <w:rPr>
          <w:lang w:val="fr-CA" w:eastAsia="en-CA"/>
        </w:rPr>
        <w:t>une procédure pénale.</w:t>
      </w:r>
    </w:p>
    <w:p w14:paraId="143E0120" w14:textId="416BCB6D" w:rsidR="006D7ADE" w:rsidRPr="006D7ADE" w:rsidRDefault="006D7ADE" w:rsidP="006D7ADE">
      <w:pPr>
        <w:pStyle w:val="ListParagraph"/>
        <w:numPr>
          <w:ilvl w:val="0"/>
          <w:numId w:val="13"/>
        </w:numPr>
        <w:spacing w:before="100" w:beforeAutospacing="1" w:after="0"/>
        <w:rPr>
          <w:lang w:val="fr-CA" w:eastAsia="en-CA"/>
        </w:rPr>
      </w:pPr>
      <w:r w:rsidRPr="006D7ADE">
        <w:rPr>
          <w:lang w:val="fr-CA" w:eastAsia="en-CA"/>
        </w:rPr>
        <w:t>Des systèmes d</w:t>
      </w:r>
      <w:r w:rsidR="00C62E0C">
        <w:rPr>
          <w:lang w:val="fr-CA" w:eastAsia="en-CA"/>
        </w:rPr>
        <w:t>’</w:t>
      </w:r>
      <w:r w:rsidRPr="006D7ADE">
        <w:rPr>
          <w:lang w:val="fr-CA" w:eastAsia="en-CA"/>
        </w:rPr>
        <w:t>IA mal conçus ou mal utilisés pourraient avoir des répercussions profondes sur les libertés individuelles, les droits constitutionnels, la vie privée, la procédure pénale, l</w:t>
      </w:r>
      <w:r w:rsidR="00C62E0C">
        <w:rPr>
          <w:lang w:val="fr-CA" w:eastAsia="en-CA"/>
        </w:rPr>
        <w:t>’</w:t>
      </w:r>
      <w:r w:rsidRPr="006D7ADE">
        <w:rPr>
          <w:lang w:val="fr-CA" w:eastAsia="en-CA"/>
        </w:rPr>
        <w:t>efficacité des tribunaux, l</w:t>
      </w:r>
      <w:r w:rsidR="00C62E0C">
        <w:rPr>
          <w:lang w:val="fr-CA" w:eastAsia="en-CA"/>
        </w:rPr>
        <w:t>’</w:t>
      </w:r>
      <w:r w:rsidRPr="006D7ADE">
        <w:rPr>
          <w:lang w:val="fr-CA" w:eastAsia="en-CA"/>
        </w:rPr>
        <w:t>accès à la justice et la confiance du public dans le système de justice pénale canadien.</w:t>
      </w:r>
    </w:p>
    <w:p w14:paraId="29BDDF19" w14:textId="307B18A3" w:rsidR="006D7ADE" w:rsidRPr="006D7ADE" w:rsidRDefault="006D7ADE" w:rsidP="006D7ADE">
      <w:pPr>
        <w:pStyle w:val="ListParagraph"/>
        <w:numPr>
          <w:ilvl w:val="0"/>
          <w:numId w:val="13"/>
        </w:numPr>
        <w:spacing w:before="100" w:beforeAutospacing="1" w:after="0"/>
        <w:rPr>
          <w:lang w:val="fr-CA" w:eastAsia="en-CA"/>
        </w:rPr>
      </w:pPr>
      <w:r w:rsidRPr="006D7ADE">
        <w:rPr>
          <w:lang w:val="fr-CA" w:eastAsia="en-CA"/>
        </w:rPr>
        <w:t>Il est nécessaire de garantir la responsabilité de l</w:t>
      </w:r>
      <w:r w:rsidR="00C62E0C">
        <w:rPr>
          <w:lang w:val="fr-CA" w:eastAsia="en-CA"/>
        </w:rPr>
        <w:t>’</w:t>
      </w:r>
      <w:r w:rsidRPr="006D7ADE">
        <w:rPr>
          <w:lang w:val="fr-CA" w:eastAsia="en-CA"/>
        </w:rPr>
        <w:t>IA à chaque étape du système de justice pénale.</w:t>
      </w:r>
    </w:p>
    <w:p w14:paraId="74249DF1" w14:textId="5FBD07C2" w:rsidR="006D7ADE" w:rsidRPr="006D7ADE" w:rsidRDefault="006D7ADE" w:rsidP="006D7ADE">
      <w:pPr>
        <w:pStyle w:val="ListParagraph"/>
        <w:numPr>
          <w:ilvl w:val="0"/>
          <w:numId w:val="13"/>
        </w:numPr>
        <w:spacing w:before="100" w:beforeAutospacing="1" w:after="0"/>
        <w:rPr>
          <w:lang w:val="fr-CA" w:eastAsia="en-CA"/>
        </w:rPr>
      </w:pPr>
      <w:r w:rsidRPr="006D7ADE">
        <w:rPr>
          <w:lang w:val="fr-CA" w:eastAsia="en-CA"/>
        </w:rPr>
        <w:t>La «</w:t>
      </w:r>
      <w:r>
        <w:rPr>
          <w:lang w:val="fr-CA" w:eastAsia="en-CA"/>
        </w:rPr>
        <w:t> judiciarisation des conflits </w:t>
      </w:r>
      <w:r w:rsidRPr="006D7ADE">
        <w:rPr>
          <w:lang w:val="fr-CA" w:eastAsia="en-CA"/>
        </w:rPr>
        <w:t>» n</w:t>
      </w:r>
      <w:r w:rsidR="00C62E0C">
        <w:rPr>
          <w:lang w:val="fr-CA" w:eastAsia="en-CA"/>
        </w:rPr>
        <w:t>’</w:t>
      </w:r>
      <w:r w:rsidRPr="006D7ADE">
        <w:rPr>
          <w:lang w:val="fr-CA" w:eastAsia="en-CA"/>
        </w:rPr>
        <w:t>est guère susceptible de relever efficacement les défis systémiques et complexes que posent les systèmes d</w:t>
      </w:r>
      <w:r w:rsidR="00C62E0C">
        <w:rPr>
          <w:lang w:val="fr-CA" w:eastAsia="en-CA"/>
        </w:rPr>
        <w:t>’</w:t>
      </w:r>
      <w:r w:rsidRPr="006D7ADE">
        <w:rPr>
          <w:lang w:val="fr-CA" w:eastAsia="en-CA"/>
        </w:rPr>
        <w:t xml:space="preserve">IA utilisés dans le </w:t>
      </w:r>
      <w:r w:rsidR="005D5B92">
        <w:rPr>
          <w:lang w:val="fr-CA" w:eastAsia="en-CA"/>
        </w:rPr>
        <w:t>secteur</w:t>
      </w:r>
      <w:r w:rsidRPr="006D7ADE">
        <w:rPr>
          <w:lang w:val="fr-CA" w:eastAsia="en-CA"/>
        </w:rPr>
        <w:t xml:space="preserve"> pénal.</w:t>
      </w:r>
    </w:p>
    <w:p w14:paraId="52C301DA" w14:textId="33CD04FA" w:rsidR="00B549D7" w:rsidRPr="00A317D7" w:rsidRDefault="006D7ADE" w:rsidP="006D7ADE">
      <w:pPr>
        <w:pStyle w:val="ListParagraph"/>
        <w:numPr>
          <w:ilvl w:val="0"/>
          <w:numId w:val="13"/>
        </w:numPr>
        <w:spacing w:before="100" w:beforeAutospacing="1" w:after="0"/>
        <w:contextualSpacing w:val="0"/>
        <w:rPr>
          <w:lang w:val="fr-CA" w:eastAsia="en-CA"/>
        </w:rPr>
      </w:pPr>
      <w:r w:rsidRPr="006D7ADE">
        <w:rPr>
          <w:lang w:val="fr-CA" w:eastAsia="en-CA"/>
        </w:rPr>
        <w:t>Il n</w:t>
      </w:r>
      <w:r w:rsidR="00C62E0C">
        <w:rPr>
          <w:lang w:val="fr-CA" w:eastAsia="en-CA"/>
        </w:rPr>
        <w:t>’</w:t>
      </w:r>
      <w:r w:rsidRPr="006D7ADE">
        <w:rPr>
          <w:lang w:val="fr-CA" w:eastAsia="en-CA"/>
        </w:rPr>
        <w:t>est pas certain que les organismes et les tribunaux seront en mesure de déterminer ou d</w:t>
      </w:r>
      <w:r w:rsidR="00C62E0C">
        <w:rPr>
          <w:lang w:val="fr-CA" w:eastAsia="en-CA"/>
        </w:rPr>
        <w:t>’</w:t>
      </w:r>
      <w:r w:rsidRPr="006D7ADE">
        <w:rPr>
          <w:lang w:val="fr-CA" w:eastAsia="en-CA"/>
        </w:rPr>
        <w:t>appliquer de manière cohérente les obligations en matière de divulgation de l</w:t>
      </w:r>
      <w:r w:rsidR="00C62E0C">
        <w:rPr>
          <w:lang w:val="fr-CA" w:eastAsia="en-CA"/>
        </w:rPr>
        <w:t>’</w:t>
      </w:r>
      <w:r w:rsidRPr="006D7ADE">
        <w:rPr>
          <w:lang w:val="fr-CA" w:eastAsia="en-CA"/>
        </w:rPr>
        <w:t>IA, les tests de partialité et de confidentialité, les critères de fiabilité, etc</w:t>
      </w:r>
      <w:r w:rsidR="00B549D7" w:rsidRPr="00A317D7">
        <w:rPr>
          <w:lang w:val="fr-CA" w:eastAsia="en-CA"/>
        </w:rPr>
        <w:t>.</w:t>
      </w:r>
    </w:p>
    <w:p w14:paraId="6CBE557E" w14:textId="09C2C3F0" w:rsidR="00B549D7" w:rsidRPr="006D7ADE" w:rsidRDefault="006D7ADE" w:rsidP="00C71C2A">
      <w:pPr>
        <w:pStyle w:val="ListParagraph"/>
        <w:spacing w:before="100" w:beforeAutospacing="1" w:after="0"/>
        <w:ind w:left="0"/>
        <w:contextualSpacing w:val="0"/>
        <w:rPr>
          <w:lang w:val="fr-CA"/>
        </w:rPr>
      </w:pPr>
      <w:r w:rsidRPr="006D7ADE">
        <w:rPr>
          <w:lang w:val="fr-CA" w:eastAsia="en-CA"/>
        </w:rPr>
        <w:t>La CDO et nos auteurs craignent que ces problèmes ne se propagent et ne s</w:t>
      </w:r>
      <w:r w:rsidR="00C62E0C">
        <w:rPr>
          <w:lang w:val="fr-CA" w:eastAsia="en-CA"/>
        </w:rPr>
        <w:t>’</w:t>
      </w:r>
      <w:r w:rsidRPr="006D7ADE">
        <w:rPr>
          <w:lang w:val="fr-CA" w:eastAsia="en-CA"/>
        </w:rPr>
        <w:t>aggravent à travers le réseau vaste, diversifié et décentralisé des institutions et des acteurs impliqués dans le développement, l</w:t>
      </w:r>
      <w:r w:rsidR="00C62E0C">
        <w:rPr>
          <w:lang w:val="fr-CA" w:eastAsia="en-CA"/>
        </w:rPr>
        <w:t>’</w:t>
      </w:r>
      <w:r w:rsidRPr="006D7ADE">
        <w:rPr>
          <w:lang w:val="fr-CA" w:eastAsia="en-CA"/>
        </w:rPr>
        <w:t>exploitation, les litiges ou la supervision de l</w:t>
      </w:r>
      <w:r w:rsidR="00C62E0C">
        <w:rPr>
          <w:lang w:val="fr-CA" w:eastAsia="en-CA"/>
        </w:rPr>
        <w:t>’</w:t>
      </w:r>
      <w:r w:rsidRPr="006D7ADE">
        <w:rPr>
          <w:lang w:val="fr-CA" w:eastAsia="en-CA"/>
        </w:rPr>
        <w:t>IA dans le système de justice p</w:t>
      </w:r>
      <w:r>
        <w:rPr>
          <w:lang w:val="fr-CA" w:eastAsia="en-CA"/>
        </w:rPr>
        <w:t>énale du Canada et de l</w:t>
      </w:r>
      <w:r w:rsidR="00C62E0C">
        <w:rPr>
          <w:lang w:val="fr-CA" w:eastAsia="en-CA"/>
        </w:rPr>
        <w:t>’</w:t>
      </w:r>
      <w:r>
        <w:rPr>
          <w:lang w:val="fr-CA" w:eastAsia="en-CA"/>
        </w:rPr>
        <w:t>Ontario</w:t>
      </w:r>
      <w:r w:rsidR="00B549D7" w:rsidRPr="006D7ADE">
        <w:rPr>
          <w:lang w:val="fr-CA" w:eastAsia="en-CA"/>
        </w:rPr>
        <w:t xml:space="preserve">. </w:t>
      </w:r>
      <w:bookmarkStart w:id="45" w:name="_Toc188900917"/>
      <w:bookmarkStart w:id="46" w:name="_Toc188902183"/>
    </w:p>
    <w:p w14:paraId="0AFAB128" w14:textId="77777777" w:rsidR="00B549D7" w:rsidRPr="006D7ADE" w:rsidRDefault="00B549D7" w:rsidP="00B549D7">
      <w:pPr>
        <w:pStyle w:val="Heading3"/>
        <w:spacing w:before="0"/>
        <w:rPr>
          <w:lang w:val="fr-CA"/>
        </w:rPr>
      </w:pPr>
    </w:p>
    <w:p w14:paraId="5CE2B8EF" w14:textId="26D53E37" w:rsidR="00B549D7" w:rsidRPr="00A317D7" w:rsidRDefault="00331AAB" w:rsidP="00F64420">
      <w:pPr>
        <w:pStyle w:val="Heading2"/>
        <w:rPr>
          <w:b w:val="0"/>
          <w:bCs/>
          <w:lang w:val="fr-CA"/>
        </w:rPr>
      </w:pPr>
      <w:bookmarkStart w:id="47" w:name="_Toc197599889"/>
      <w:bookmarkEnd w:id="45"/>
      <w:bookmarkEnd w:id="46"/>
      <w:r w:rsidRPr="00331AAB">
        <w:rPr>
          <w:b w:val="0"/>
          <w:bCs/>
          <w:lang w:val="fr-CA"/>
        </w:rPr>
        <w:t>Législation fédérale sur l</w:t>
      </w:r>
      <w:r w:rsidR="00C62E0C">
        <w:rPr>
          <w:b w:val="0"/>
          <w:bCs/>
          <w:lang w:val="fr-CA"/>
        </w:rPr>
        <w:t>’</w:t>
      </w:r>
      <w:r w:rsidRPr="00331AAB">
        <w:rPr>
          <w:b w:val="0"/>
          <w:bCs/>
          <w:lang w:val="fr-CA"/>
        </w:rPr>
        <w:t>IA, directives et politiques gouvernementales</w:t>
      </w:r>
      <w:bookmarkEnd w:id="47"/>
    </w:p>
    <w:p w14:paraId="7A6C79E5" w14:textId="77777777" w:rsidR="00B549D7" w:rsidRPr="00A317D7" w:rsidRDefault="00B549D7" w:rsidP="000607D4">
      <w:pPr>
        <w:spacing w:after="0"/>
        <w:rPr>
          <w:b/>
          <w:bCs/>
          <w:lang w:val="fr-CA"/>
        </w:rPr>
      </w:pPr>
      <w:bookmarkStart w:id="48" w:name="_Toc188900918"/>
      <w:bookmarkStart w:id="49" w:name="_Toc188902184"/>
    </w:p>
    <w:p w14:paraId="2544C688" w14:textId="3EA71D59" w:rsidR="00B549D7" w:rsidRPr="00A317D7" w:rsidRDefault="006D7ADE" w:rsidP="000607D4">
      <w:pPr>
        <w:spacing w:after="0"/>
        <w:rPr>
          <w:lang w:val="fr-CA"/>
        </w:rPr>
      </w:pPr>
      <w:r w:rsidRPr="006D7ADE">
        <w:rPr>
          <w:lang w:val="fr-CA"/>
        </w:rPr>
        <w:t>Il existe trois initiatives au niveau fédéral qui concernent les syst</w:t>
      </w:r>
      <w:r>
        <w:rPr>
          <w:lang w:val="fr-CA"/>
        </w:rPr>
        <w:t>èmes d</w:t>
      </w:r>
      <w:r w:rsidR="00C62E0C">
        <w:rPr>
          <w:lang w:val="fr-CA"/>
        </w:rPr>
        <w:t>’</w:t>
      </w:r>
      <w:r>
        <w:rPr>
          <w:lang w:val="fr-CA"/>
        </w:rPr>
        <w:t xml:space="preserve">IA dans le </w:t>
      </w:r>
      <w:r w:rsidR="001A520A">
        <w:rPr>
          <w:lang w:val="fr-CA"/>
        </w:rPr>
        <w:t>système de justice</w:t>
      </w:r>
      <w:r>
        <w:rPr>
          <w:lang w:val="fr-CA"/>
        </w:rPr>
        <w:t xml:space="preserve"> pénal</w:t>
      </w:r>
      <w:r w:rsidR="001A520A">
        <w:rPr>
          <w:lang w:val="fr-CA"/>
        </w:rPr>
        <w:t>e</w:t>
      </w:r>
      <w:r w:rsidR="00B549D7" w:rsidRPr="00A317D7">
        <w:rPr>
          <w:lang w:val="fr-CA"/>
        </w:rPr>
        <w:t xml:space="preserve">. </w:t>
      </w:r>
    </w:p>
    <w:p w14:paraId="02FEFEC4" w14:textId="77777777" w:rsidR="00B549D7" w:rsidRPr="00A317D7" w:rsidRDefault="00B549D7" w:rsidP="000607D4">
      <w:pPr>
        <w:spacing w:after="0"/>
        <w:rPr>
          <w:lang w:val="fr-CA"/>
        </w:rPr>
      </w:pPr>
    </w:p>
    <w:p w14:paraId="4F7FA7AF" w14:textId="39270A27" w:rsidR="00B549D7" w:rsidRPr="006D7ADE" w:rsidRDefault="006D7ADE" w:rsidP="006D7ADE">
      <w:pPr>
        <w:pStyle w:val="ListParagraph"/>
        <w:numPr>
          <w:ilvl w:val="0"/>
          <w:numId w:val="24"/>
        </w:numPr>
        <w:spacing w:after="0"/>
        <w:rPr>
          <w:b/>
          <w:bCs/>
          <w:lang w:val="fr-CA"/>
        </w:rPr>
      </w:pPr>
      <w:r w:rsidRPr="006D7ADE">
        <w:rPr>
          <w:b/>
          <w:bCs/>
          <w:lang w:val="fr-CA"/>
        </w:rPr>
        <w:t xml:space="preserve">La </w:t>
      </w:r>
      <w:r w:rsidRPr="006D7ADE">
        <w:rPr>
          <w:b/>
          <w:bCs/>
          <w:i/>
          <w:lang w:val="fr-CA"/>
        </w:rPr>
        <w:t>Loi sur l’intelligence artificielle et les données</w:t>
      </w:r>
      <w:r w:rsidRPr="006D7ADE">
        <w:rPr>
          <w:b/>
          <w:bCs/>
          <w:lang w:val="fr-CA"/>
        </w:rPr>
        <w:t xml:space="preserve"> (</w:t>
      </w:r>
      <w:r w:rsidRPr="005901FF">
        <w:rPr>
          <w:b/>
          <w:bCs/>
          <w:i/>
          <w:lang w:val="fr-CA"/>
        </w:rPr>
        <w:t>LIAD</w:t>
      </w:r>
      <w:r w:rsidRPr="006D7ADE">
        <w:rPr>
          <w:b/>
          <w:bCs/>
          <w:lang w:val="fr-CA"/>
        </w:rPr>
        <w:t xml:space="preserve">) </w:t>
      </w:r>
      <w:bookmarkEnd w:id="48"/>
      <w:bookmarkEnd w:id="49"/>
    </w:p>
    <w:p w14:paraId="37F0AEB1" w14:textId="77777777" w:rsidR="00B549D7" w:rsidRPr="006D7ADE" w:rsidRDefault="00B549D7" w:rsidP="00F034C2">
      <w:pPr>
        <w:spacing w:after="0"/>
        <w:ind w:left="720"/>
        <w:rPr>
          <w:b/>
          <w:bCs/>
          <w:lang w:val="fr-CA"/>
        </w:rPr>
      </w:pPr>
    </w:p>
    <w:p w14:paraId="6F50C934" w14:textId="1573A347" w:rsidR="00B549D7" w:rsidRPr="00A317D7" w:rsidRDefault="006D7ADE" w:rsidP="009F0A62">
      <w:pPr>
        <w:rPr>
          <w:lang w:val="fr-CA"/>
        </w:rPr>
      </w:pPr>
      <w:r w:rsidRPr="006D7ADE">
        <w:rPr>
          <w:lang w:val="fr-CA"/>
        </w:rPr>
        <w:t>En juin 2022, le ministre fédéral de l</w:t>
      </w:r>
      <w:r w:rsidR="00C62E0C">
        <w:rPr>
          <w:lang w:val="fr-CA"/>
        </w:rPr>
        <w:t>’</w:t>
      </w:r>
      <w:r w:rsidRPr="006D7ADE">
        <w:rPr>
          <w:lang w:val="fr-CA"/>
        </w:rPr>
        <w:t xml:space="preserve">Industrie, des Sciences et du Développement économique (ISDE) a présenté le projet de loi C-27, intitulé </w:t>
      </w:r>
      <w:r w:rsidRPr="00212112">
        <w:rPr>
          <w:i/>
          <w:lang w:val="fr-CA"/>
        </w:rPr>
        <w:t>Loi sur l</w:t>
      </w:r>
      <w:r w:rsidR="00C62E0C">
        <w:rPr>
          <w:i/>
          <w:lang w:val="fr-CA"/>
        </w:rPr>
        <w:t>’</w:t>
      </w:r>
      <w:r w:rsidRPr="00212112">
        <w:rPr>
          <w:i/>
          <w:lang w:val="fr-CA"/>
        </w:rPr>
        <w:t>intelligence artificielle et les données</w:t>
      </w:r>
      <w:r w:rsidRPr="006D7ADE">
        <w:rPr>
          <w:lang w:val="fr-CA"/>
        </w:rPr>
        <w:t xml:space="preserve"> (</w:t>
      </w:r>
      <w:r w:rsidR="00212112" w:rsidRPr="005901FF">
        <w:rPr>
          <w:i/>
          <w:lang w:val="fr-CA"/>
        </w:rPr>
        <w:t>LIAD</w:t>
      </w:r>
      <w:r w:rsidRPr="006D7ADE">
        <w:rPr>
          <w:lang w:val="fr-CA"/>
        </w:rPr>
        <w:t>)</w:t>
      </w:r>
      <w:r w:rsidR="00B549D7" w:rsidRPr="00A317D7">
        <w:rPr>
          <w:vertAlign w:val="superscript"/>
          <w:lang w:val="fr-CA"/>
        </w:rPr>
        <w:endnoteReference w:id="34"/>
      </w:r>
      <w:r>
        <w:rPr>
          <w:lang w:val="fr-CA"/>
        </w:rPr>
        <w:t>.</w:t>
      </w:r>
      <w:r w:rsidR="00BE6D0C" w:rsidRPr="00A317D7">
        <w:rPr>
          <w:lang w:val="fr-CA"/>
        </w:rPr>
        <w:t xml:space="preserve"> </w:t>
      </w:r>
    </w:p>
    <w:p w14:paraId="0943B306" w14:textId="267EAC30" w:rsidR="00B549D7" w:rsidRPr="00212112" w:rsidRDefault="00EB08F6" w:rsidP="009F0A62">
      <w:pPr>
        <w:rPr>
          <w:vertAlign w:val="superscript"/>
          <w:lang w:val="fr-CA"/>
        </w:rPr>
      </w:pPr>
      <w:r>
        <w:rPr>
          <w:lang w:val="fr-CA"/>
        </w:rPr>
        <w:t xml:space="preserve">À l’instar du </w:t>
      </w:r>
      <w:r w:rsidR="00212112" w:rsidRPr="00212112">
        <w:rPr>
          <w:lang w:val="fr-CA"/>
        </w:rPr>
        <w:t>règlement de l’UE sur l’IA</w:t>
      </w:r>
      <w:r w:rsidR="00B549D7" w:rsidRPr="00212112">
        <w:rPr>
          <w:lang w:val="fr-CA"/>
        </w:rPr>
        <w:t xml:space="preserve">, </w:t>
      </w:r>
      <w:r w:rsidR="00212112">
        <w:rPr>
          <w:lang w:val="fr-CA"/>
        </w:rPr>
        <w:t xml:space="preserve">la </w:t>
      </w:r>
      <w:r w:rsidR="00212112" w:rsidRPr="005901FF">
        <w:rPr>
          <w:i/>
          <w:lang w:val="fr-CA"/>
        </w:rPr>
        <w:t>LIAD</w:t>
      </w:r>
      <w:r w:rsidR="00212112">
        <w:rPr>
          <w:lang w:val="fr-CA"/>
        </w:rPr>
        <w:t xml:space="preserve"> </w:t>
      </w:r>
      <w:r w:rsidR="00212112" w:rsidRPr="00212112">
        <w:rPr>
          <w:lang w:val="fr-CA"/>
        </w:rPr>
        <w:t>propos</w:t>
      </w:r>
      <w:r w:rsidR="00212112">
        <w:rPr>
          <w:lang w:val="fr-CA"/>
        </w:rPr>
        <w:t>ait</w:t>
      </w:r>
      <w:r w:rsidR="00212112" w:rsidRPr="00212112">
        <w:rPr>
          <w:lang w:val="fr-CA"/>
        </w:rPr>
        <w:t xml:space="preserve"> une approche fondée sur les risques pour la gouvernance de l</w:t>
      </w:r>
      <w:r w:rsidR="00C62E0C">
        <w:rPr>
          <w:lang w:val="fr-CA"/>
        </w:rPr>
        <w:t>’</w:t>
      </w:r>
      <w:r w:rsidR="00212112" w:rsidRPr="00212112">
        <w:rPr>
          <w:lang w:val="fr-CA"/>
        </w:rPr>
        <w:t>IA</w:t>
      </w:r>
      <w:r w:rsidR="00B549D7" w:rsidRPr="00212112">
        <w:rPr>
          <w:lang w:val="fr-CA"/>
        </w:rPr>
        <w:t>.</w:t>
      </w:r>
      <w:r w:rsidR="00212112">
        <w:rPr>
          <w:vertAlign w:val="superscript"/>
          <w:lang w:val="fr-CA"/>
        </w:rPr>
        <w:t xml:space="preserve"> </w:t>
      </w:r>
      <w:r w:rsidR="00212112" w:rsidRPr="00212112">
        <w:rPr>
          <w:lang w:val="fr-CA"/>
        </w:rPr>
        <w:t>Cependant, contrairement au règlement de l’UE sur l’IA</w:t>
      </w:r>
      <w:r w:rsidR="00B549D7" w:rsidRPr="00212112">
        <w:rPr>
          <w:lang w:val="fr-CA"/>
        </w:rPr>
        <w:t xml:space="preserve">, </w:t>
      </w:r>
      <w:r w:rsidR="00212112">
        <w:rPr>
          <w:lang w:val="fr-CA"/>
        </w:rPr>
        <w:t xml:space="preserve">la </w:t>
      </w:r>
      <w:r w:rsidR="00212112" w:rsidRPr="005901FF">
        <w:rPr>
          <w:i/>
          <w:lang w:val="fr-CA"/>
        </w:rPr>
        <w:t>LIAD</w:t>
      </w:r>
      <w:r w:rsidR="00212112">
        <w:rPr>
          <w:lang w:val="fr-CA"/>
        </w:rPr>
        <w:t xml:space="preserve"> </w:t>
      </w:r>
      <w:r w:rsidR="00212112" w:rsidRPr="00212112">
        <w:rPr>
          <w:lang w:val="fr-CA"/>
        </w:rPr>
        <w:t>ne r</w:t>
      </w:r>
      <w:r w:rsidR="00C62E0C">
        <w:rPr>
          <w:lang w:val="fr-CA"/>
        </w:rPr>
        <w:t>è</w:t>
      </w:r>
      <w:r w:rsidR="00212112" w:rsidRPr="00212112">
        <w:rPr>
          <w:lang w:val="fr-CA"/>
        </w:rPr>
        <w:t>glementait pas directement l</w:t>
      </w:r>
      <w:r w:rsidR="00C62E0C">
        <w:rPr>
          <w:lang w:val="fr-CA"/>
        </w:rPr>
        <w:t>’</w:t>
      </w:r>
      <w:r w:rsidR="00212112" w:rsidRPr="00212112">
        <w:rPr>
          <w:lang w:val="fr-CA"/>
        </w:rPr>
        <w:t>utilisation de l</w:t>
      </w:r>
      <w:r w:rsidR="00C62E0C">
        <w:rPr>
          <w:lang w:val="fr-CA"/>
        </w:rPr>
        <w:t>’</w:t>
      </w:r>
      <w:r w:rsidR="00212112" w:rsidRPr="00212112">
        <w:rPr>
          <w:lang w:val="fr-CA"/>
        </w:rPr>
        <w:t>IA dans le secteur public ou le système de justice pénale</w:t>
      </w:r>
      <w:r w:rsidR="00B549D7" w:rsidRPr="00212112">
        <w:rPr>
          <w:rFonts w:eastAsia="Calibri"/>
          <w:lang w:val="fr-CA"/>
        </w:rPr>
        <w:t xml:space="preserve">. </w:t>
      </w:r>
      <w:r w:rsidR="00212112">
        <w:rPr>
          <w:rFonts w:eastAsia="Calibri"/>
          <w:lang w:val="fr-CA"/>
        </w:rPr>
        <w:t xml:space="preserve">Elle </w:t>
      </w:r>
      <w:r w:rsidR="00212112" w:rsidRPr="00212112">
        <w:rPr>
          <w:rFonts w:eastAsia="Calibri"/>
          <w:lang w:val="fr-CA"/>
        </w:rPr>
        <w:t>se serait plutôt appliquée aux organisations du secteur privé responsables d</w:t>
      </w:r>
      <w:r w:rsidR="001A520A">
        <w:rPr>
          <w:rFonts w:eastAsia="Calibri"/>
          <w:lang w:val="fr-CA"/>
        </w:rPr>
        <w:t xml:space="preserve">e </w:t>
      </w:r>
      <w:r w:rsidR="00212112" w:rsidRPr="00212112">
        <w:rPr>
          <w:rFonts w:eastAsia="Calibri"/>
          <w:lang w:val="fr-CA"/>
        </w:rPr>
        <w:t>«</w:t>
      </w:r>
      <w:r w:rsidR="00C62E0C">
        <w:rPr>
          <w:rFonts w:eastAsia="Calibri"/>
          <w:lang w:val="fr-CA"/>
        </w:rPr>
        <w:t> </w:t>
      </w:r>
      <w:r w:rsidR="000E0894" w:rsidRPr="000E0894">
        <w:rPr>
          <w:rFonts w:eastAsia="Calibri"/>
          <w:lang w:val="fr-CA"/>
        </w:rPr>
        <w:t xml:space="preserve">concevoir, de développer, d’utiliser ou de rendre disponible un système </w:t>
      </w:r>
      <w:r w:rsidR="00212112" w:rsidRPr="00212112">
        <w:rPr>
          <w:rFonts w:eastAsia="Calibri"/>
          <w:lang w:val="fr-CA"/>
        </w:rPr>
        <w:t>d</w:t>
      </w:r>
      <w:r w:rsidR="00C62E0C">
        <w:rPr>
          <w:rFonts w:eastAsia="Calibri"/>
          <w:lang w:val="fr-CA"/>
        </w:rPr>
        <w:t>’</w:t>
      </w:r>
      <w:r w:rsidR="00212112" w:rsidRPr="00212112">
        <w:rPr>
          <w:rFonts w:eastAsia="Calibri"/>
          <w:lang w:val="fr-CA"/>
        </w:rPr>
        <w:t>IA</w:t>
      </w:r>
      <w:r w:rsidR="00C62E0C">
        <w:rPr>
          <w:rFonts w:eastAsia="Calibri"/>
          <w:lang w:val="fr-CA"/>
        </w:rPr>
        <w:t> </w:t>
      </w:r>
      <w:r w:rsidR="00212112" w:rsidRPr="00212112">
        <w:rPr>
          <w:rFonts w:eastAsia="Calibri"/>
          <w:lang w:val="fr-CA"/>
        </w:rPr>
        <w:t>»</w:t>
      </w:r>
      <w:r w:rsidR="00B549D7" w:rsidRPr="00A317D7">
        <w:rPr>
          <w:vertAlign w:val="superscript"/>
          <w:lang w:val="fr-CA"/>
        </w:rPr>
        <w:endnoteReference w:id="35"/>
      </w:r>
      <w:r w:rsidR="00212112">
        <w:rPr>
          <w:rFonts w:eastAsia="Calibri"/>
          <w:lang w:val="fr-CA"/>
        </w:rPr>
        <w:t>.</w:t>
      </w:r>
      <w:r w:rsidR="00BE6D0C" w:rsidRPr="00A317D7">
        <w:rPr>
          <w:vertAlign w:val="superscript"/>
          <w:lang w:val="fr-CA"/>
        </w:rPr>
        <w:t xml:space="preserve"> </w:t>
      </w:r>
      <w:r w:rsidR="00212112" w:rsidRPr="00212112">
        <w:rPr>
          <w:lang w:val="fr-CA"/>
        </w:rPr>
        <w:t>À l</w:t>
      </w:r>
      <w:r w:rsidR="00C62E0C">
        <w:rPr>
          <w:lang w:val="fr-CA"/>
        </w:rPr>
        <w:t>’</w:t>
      </w:r>
      <w:r w:rsidR="00212112" w:rsidRPr="00212112">
        <w:rPr>
          <w:lang w:val="fr-CA"/>
        </w:rPr>
        <w:t xml:space="preserve">origine, la </w:t>
      </w:r>
      <w:r w:rsidR="00212112" w:rsidRPr="005901FF">
        <w:rPr>
          <w:i/>
          <w:lang w:val="fr-CA"/>
        </w:rPr>
        <w:t>LIAD</w:t>
      </w:r>
      <w:r w:rsidR="00212112" w:rsidRPr="00212112">
        <w:rPr>
          <w:lang w:val="fr-CA"/>
        </w:rPr>
        <w:t xml:space="preserve"> ne comprenait pas non plus d</w:t>
      </w:r>
      <w:r w:rsidR="00C62E0C">
        <w:rPr>
          <w:lang w:val="fr-CA"/>
        </w:rPr>
        <w:t>’</w:t>
      </w:r>
      <w:r w:rsidR="00212112" w:rsidRPr="00212112">
        <w:rPr>
          <w:lang w:val="fr-CA"/>
        </w:rPr>
        <w:t>interdictions ou de restrictions explicites concernant les systèmes d</w:t>
      </w:r>
      <w:r w:rsidR="00C62E0C">
        <w:rPr>
          <w:lang w:val="fr-CA"/>
        </w:rPr>
        <w:t>’</w:t>
      </w:r>
      <w:r w:rsidR="00212112" w:rsidRPr="00212112">
        <w:rPr>
          <w:lang w:val="fr-CA"/>
        </w:rPr>
        <w:t>IA prése</w:t>
      </w:r>
      <w:r w:rsidR="00212112">
        <w:rPr>
          <w:lang w:val="fr-CA"/>
        </w:rPr>
        <w:t>ntant des risques inacceptables</w:t>
      </w:r>
      <w:r w:rsidR="00B549D7" w:rsidRPr="00212112">
        <w:rPr>
          <w:lang w:val="fr-CA"/>
        </w:rPr>
        <w:t xml:space="preserve">. </w:t>
      </w:r>
    </w:p>
    <w:p w14:paraId="3FF0BF53" w14:textId="64A07717" w:rsidR="00B549D7" w:rsidRPr="00212112" w:rsidRDefault="00212112" w:rsidP="009F0A62">
      <w:pPr>
        <w:spacing w:after="0"/>
        <w:rPr>
          <w:lang w:val="fr-CA"/>
        </w:rPr>
      </w:pPr>
      <w:r w:rsidRPr="00212112">
        <w:rPr>
          <w:lang w:val="fr-CA"/>
        </w:rPr>
        <w:t xml:space="preserve">Lors de son introduction, la </w:t>
      </w:r>
      <w:r w:rsidRPr="005901FF">
        <w:rPr>
          <w:i/>
          <w:lang w:val="fr-CA"/>
        </w:rPr>
        <w:t>LIAD</w:t>
      </w:r>
      <w:r w:rsidRPr="00212112">
        <w:rPr>
          <w:lang w:val="fr-CA"/>
        </w:rPr>
        <w:t xml:space="preserve"> a été vivement critiquée pour son manque de détails, de consultations et de protections importantes en matière d</w:t>
      </w:r>
      <w:r w:rsidR="00C62E0C">
        <w:rPr>
          <w:lang w:val="fr-CA"/>
        </w:rPr>
        <w:t>’</w:t>
      </w:r>
      <w:r w:rsidRPr="00212112">
        <w:rPr>
          <w:lang w:val="fr-CA"/>
        </w:rPr>
        <w:t>IA</w:t>
      </w:r>
      <w:r w:rsidR="00105D48">
        <w:rPr>
          <w:lang w:val="fr-CA"/>
        </w:rPr>
        <w:t xml:space="preserve"> fiable</w:t>
      </w:r>
      <w:r w:rsidR="004457E1" w:rsidRPr="00A317D7">
        <w:rPr>
          <w:rStyle w:val="EndnoteReference"/>
          <w:lang w:val="fr-CA"/>
        </w:rPr>
        <w:endnoteReference w:id="36"/>
      </w:r>
      <w:r>
        <w:rPr>
          <w:lang w:val="fr-CA"/>
        </w:rPr>
        <w:t>.</w:t>
      </w:r>
      <w:r w:rsidR="00B549D7" w:rsidRPr="00A317D7">
        <w:rPr>
          <w:lang w:val="fr-CA"/>
        </w:rPr>
        <w:t xml:space="preserve"> </w:t>
      </w:r>
      <w:r w:rsidRPr="00212112">
        <w:rPr>
          <w:lang w:val="fr-CA"/>
        </w:rPr>
        <w:t>Le gouvernement fédéral a répondu, en partie, en proposant plusieurs modifications, notamment une liste de «</w:t>
      </w:r>
      <w:r w:rsidR="00C62E0C">
        <w:rPr>
          <w:lang w:val="fr-CA"/>
        </w:rPr>
        <w:t> </w:t>
      </w:r>
      <w:r w:rsidR="004B1F23">
        <w:rPr>
          <w:lang w:val="fr-CA"/>
        </w:rPr>
        <w:t xml:space="preserve">classes de systèmes </w:t>
      </w:r>
      <w:r w:rsidRPr="00212112">
        <w:rPr>
          <w:lang w:val="fr-CA"/>
        </w:rPr>
        <w:t xml:space="preserve">qui seraient considérés comme ayant une incidence </w:t>
      </w:r>
      <w:r w:rsidR="004B1F23">
        <w:rPr>
          <w:lang w:val="fr-CA"/>
        </w:rPr>
        <w:t>élevée</w:t>
      </w:r>
      <w:r w:rsidR="00C62E0C">
        <w:rPr>
          <w:lang w:val="fr-CA"/>
        </w:rPr>
        <w:t> </w:t>
      </w:r>
      <w:r w:rsidRPr="00212112">
        <w:rPr>
          <w:lang w:val="fr-CA"/>
        </w:rPr>
        <w:t>», dont trois pertinentes pour la justice pénale (certains systèmes biométriques, les systèmes d</w:t>
      </w:r>
      <w:r w:rsidR="00C62E0C">
        <w:rPr>
          <w:lang w:val="fr-CA"/>
        </w:rPr>
        <w:t>’</w:t>
      </w:r>
      <w:r w:rsidRPr="00212112">
        <w:rPr>
          <w:lang w:val="fr-CA"/>
        </w:rPr>
        <w:t>IA utilisés par les tribunaux et les systèmes d</w:t>
      </w:r>
      <w:r w:rsidR="00C62E0C">
        <w:rPr>
          <w:lang w:val="fr-CA"/>
        </w:rPr>
        <w:t>’</w:t>
      </w:r>
      <w:r w:rsidRPr="00212112">
        <w:rPr>
          <w:lang w:val="fr-CA"/>
        </w:rPr>
        <w:t>IA «</w:t>
      </w:r>
      <w:r w:rsidR="00C62E0C">
        <w:rPr>
          <w:lang w:val="fr-CA"/>
        </w:rPr>
        <w:t> </w:t>
      </w:r>
      <w:r w:rsidRPr="00212112">
        <w:rPr>
          <w:lang w:val="fr-CA"/>
        </w:rPr>
        <w:t xml:space="preserve">destinés à </w:t>
      </w:r>
      <w:r w:rsidR="004B1F23" w:rsidRPr="004B1F23">
        <w:rPr>
          <w:lang w:val="fr-CA"/>
        </w:rPr>
        <w:t xml:space="preserve">assister un agent de la </w:t>
      </w:r>
      <w:r w:rsidRPr="00212112">
        <w:rPr>
          <w:lang w:val="fr-CA"/>
        </w:rPr>
        <w:t>paix</w:t>
      </w:r>
      <w:r w:rsidR="00C62E0C">
        <w:rPr>
          <w:lang w:val="fr-CA"/>
        </w:rPr>
        <w:t>… </w:t>
      </w:r>
      <w:r w:rsidRPr="00212112">
        <w:rPr>
          <w:lang w:val="fr-CA"/>
        </w:rPr>
        <w:t>»</w:t>
      </w:r>
      <w:r w:rsidR="00B549D7" w:rsidRPr="00212112">
        <w:rPr>
          <w:lang w:val="fr-CA"/>
        </w:rPr>
        <w:t>)</w:t>
      </w:r>
      <w:r w:rsidR="00B549D7" w:rsidRPr="00A317D7">
        <w:rPr>
          <w:rStyle w:val="EndnoteReference"/>
          <w:lang w:val="fr-CA"/>
        </w:rPr>
        <w:endnoteReference w:id="37"/>
      </w:r>
      <w:r w:rsidRPr="00C62E0C">
        <w:rPr>
          <w:lang w:val="fr-CA"/>
        </w:rPr>
        <w:t xml:space="preserve">. </w:t>
      </w:r>
      <w:r w:rsidRPr="00212112">
        <w:rPr>
          <w:lang w:val="fr-CA"/>
        </w:rPr>
        <w:t>Les modifications proposées par le gouvernement fédéral n</w:t>
      </w:r>
      <w:r w:rsidR="00C62E0C">
        <w:rPr>
          <w:lang w:val="fr-CA"/>
        </w:rPr>
        <w:t>’</w:t>
      </w:r>
      <w:r w:rsidRPr="00212112">
        <w:rPr>
          <w:lang w:val="fr-CA"/>
        </w:rPr>
        <w:t xml:space="preserve">ont pas apaisé les détracteurs de </w:t>
      </w:r>
      <w:r>
        <w:rPr>
          <w:lang w:val="fr-CA"/>
        </w:rPr>
        <w:t xml:space="preserve">la </w:t>
      </w:r>
      <w:r w:rsidR="005901FF" w:rsidRPr="005901FF">
        <w:rPr>
          <w:i/>
          <w:lang w:val="fr-CA"/>
        </w:rPr>
        <w:t>LIAD</w:t>
      </w:r>
      <w:r w:rsidR="00B549D7" w:rsidRPr="00212112">
        <w:rPr>
          <w:lang w:val="fr-CA"/>
        </w:rPr>
        <w:t xml:space="preserve">, </w:t>
      </w:r>
      <w:r w:rsidRPr="00212112">
        <w:rPr>
          <w:lang w:val="fr-CA"/>
        </w:rPr>
        <w:t xml:space="preserve">qui ont continué à </w:t>
      </w:r>
      <w:r>
        <w:rPr>
          <w:lang w:val="fr-CA"/>
        </w:rPr>
        <w:t xml:space="preserve">décrier </w:t>
      </w:r>
      <w:r w:rsidRPr="00212112">
        <w:rPr>
          <w:lang w:val="fr-CA"/>
        </w:rPr>
        <w:t>la législation</w:t>
      </w:r>
      <w:r w:rsidR="00B549D7" w:rsidRPr="00A317D7">
        <w:rPr>
          <w:rStyle w:val="EndnoteReference"/>
          <w:lang w:val="fr-CA"/>
        </w:rPr>
        <w:endnoteReference w:id="38"/>
      </w:r>
      <w:r>
        <w:rPr>
          <w:lang w:val="fr-CA"/>
        </w:rPr>
        <w:t>.</w:t>
      </w:r>
      <w:r w:rsidR="00B549D7" w:rsidRPr="00212112">
        <w:rPr>
          <w:lang w:val="fr-CA"/>
        </w:rPr>
        <w:t xml:space="preserve"> </w:t>
      </w:r>
    </w:p>
    <w:p w14:paraId="11E8AAE6" w14:textId="77777777" w:rsidR="00B549D7" w:rsidRPr="00212112" w:rsidRDefault="00B549D7" w:rsidP="009F0A62">
      <w:pPr>
        <w:spacing w:after="0"/>
        <w:rPr>
          <w:lang w:val="fr-CA"/>
        </w:rPr>
      </w:pPr>
    </w:p>
    <w:p w14:paraId="25F0E191" w14:textId="20A8E852" w:rsidR="00B549D7" w:rsidRPr="00212112" w:rsidRDefault="00212112" w:rsidP="009F0A62">
      <w:pPr>
        <w:spacing w:after="0"/>
        <w:rPr>
          <w:lang w:val="fr-CA"/>
        </w:rPr>
      </w:pPr>
      <w:r w:rsidRPr="00212112">
        <w:rPr>
          <w:iCs/>
          <w:lang w:val="fr-CA"/>
        </w:rPr>
        <w:t xml:space="preserve">La </w:t>
      </w:r>
      <w:r w:rsidR="005901FF" w:rsidRPr="005901FF">
        <w:rPr>
          <w:i/>
          <w:lang w:val="fr-CA"/>
        </w:rPr>
        <w:t>LIAD</w:t>
      </w:r>
      <w:r w:rsidR="005901FF">
        <w:rPr>
          <w:lang w:val="fr-CA"/>
        </w:rPr>
        <w:t xml:space="preserve"> </w:t>
      </w:r>
      <w:r w:rsidRPr="00212112">
        <w:rPr>
          <w:iCs/>
          <w:lang w:val="fr-CA"/>
        </w:rPr>
        <w:t>n</w:t>
      </w:r>
      <w:r w:rsidR="00C62E0C">
        <w:rPr>
          <w:iCs/>
          <w:lang w:val="fr-CA"/>
        </w:rPr>
        <w:t>’</w:t>
      </w:r>
      <w:r w:rsidRPr="00212112">
        <w:rPr>
          <w:iCs/>
          <w:lang w:val="fr-CA"/>
        </w:rPr>
        <w:t>a pas été adoptée par le gouvernement fédéral avant la prorogation du Parlement en janvier 2025</w:t>
      </w:r>
      <w:r w:rsidR="00B549D7" w:rsidRPr="00212112">
        <w:rPr>
          <w:lang w:val="fr-CA"/>
        </w:rPr>
        <w:t>.</w:t>
      </w:r>
      <w:r w:rsidR="00BE6D0C" w:rsidRPr="00212112">
        <w:rPr>
          <w:lang w:val="fr-CA"/>
        </w:rPr>
        <w:t xml:space="preserve"> </w:t>
      </w:r>
    </w:p>
    <w:p w14:paraId="250A515E" w14:textId="77777777" w:rsidR="00B549D7" w:rsidRPr="00212112" w:rsidRDefault="00B549D7" w:rsidP="009F0A62">
      <w:pPr>
        <w:spacing w:after="0"/>
        <w:rPr>
          <w:lang w:val="fr-CA"/>
        </w:rPr>
      </w:pPr>
    </w:p>
    <w:p w14:paraId="17E046E3" w14:textId="4A4135DE" w:rsidR="00B549D7" w:rsidRPr="00EC5C82" w:rsidRDefault="00EC5C82" w:rsidP="00EC5C82">
      <w:pPr>
        <w:pStyle w:val="ListParagraph"/>
        <w:numPr>
          <w:ilvl w:val="0"/>
          <w:numId w:val="24"/>
        </w:numPr>
        <w:rPr>
          <w:b/>
          <w:bCs/>
          <w:lang w:val="fr-CA"/>
        </w:rPr>
      </w:pPr>
      <w:r w:rsidRPr="00EC5C82">
        <w:rPr>
          <w:b/>
          <w:bCs/>
          <w:lang w:val="fr-CA"/>
        </w:rPr>
        <w:t>La directive fédérale sur la prise de décision</w:t>
      </w:r>
      <w:r>
        <w:rPr>
          <w:b/>
          <w:bCs/>
          <w:lang w:val="fr-CA"/>
        </w:rPr>
        <w:t>s</w:t>
      </w:r>
      <w:r w:rsidRPr="00EC5C82">
        <w:rPr>
          <w:b/>
          <w:bCs/>
          <w:lang w:val="fr-CA"/>
        </w:rPr>
        <w:t xml:space="preserve"> automatisée</w:t>
      </w:r>
    </w:p>
    <w:p w14:paraId="784352C5" w14:textId="3910CE2D" w:rsidR="00B549D7" w:rsidRPr="00A317D7" w:rsidRDefault="00EC5C82" w:rsidP="009F0A62">
      <w:pPr>
        <w:spacing w:after="0"/>
        <w:rPr>
          <w:rFonts w:eastAsia="Calibri" w:cs="Calibri"/>
          <w:color w:val="000000"/>
          <w:u w:color="000000"/>
          <w:lang w:val="fr-CA"/>
        </w:rPr>
      </w:pPr>
      <w:r w:rsidRPr="00EC5C82">
        <w:rPr>
          <w:rFonts w:eastAsia="Calibri" w:cs="Calibri"/>
          <w:color w:val="000000"/>
          <w:u w:color="000000"/>
          <w:lang w:val="fr-CA"/>
        </w:rPr>
        <w:t>En 2021, le gouvernement fédéral a promulgué la directive sur la prise de décisions automatisée (directive fédérale sur l</w:t>
      </w:r>
      <w:r w:rsidR="00C62E0C">
        <w:rPr>
          <w:rFonts w:eastAsia="Calibri" w:cs="Calibri"/>
          <w:color w:val="000000"/>
          <w:u w:color="000000"/>
          <w:lang w:val="fr-CA"/>
        </w:rPr>
        <w:t>a</w:t>
      </w:r>
      <w:r w:rsidRPr="00EC5C82">
        <w:rPr>
          <w:rFonts w:eastAsia="Calibri" w:cs="Calibri"/>
          <w:color w:val="000000"/>
          <w:u w:color="000000"/>
          <w:lang w:val="fr-CA"/>
        </w:rPr>
        <w:t xml:space="preserve"> PDA) et son complément, l</w:t>
      </w:r>
      <w:r w:rsidR="00C62E0C">
        <w:rPr>
          <w:rFonts w:eastAsia="Calibri" w:cs="Calibri"/>
          <w:color w:val="000000"/>
          <w:u w:color="000000"/>
          <w:lang w:val="fr-CA"/>
        </w:rPr>
        <w:t>’</w:t>
      </w:r>
      <w:r w:rsidRPr="00EC5C82">
        <w:rPr>
          <w:rFonts w:eastAsia="Calibri" w:cs="Calibri"/>
          <w:color w:val="000000"/>
          <w:u w:color="000000"/>
          <w:lang w:val="fr-CA"/>
        </w:rPr>
        <w:t>évaluation de l</w:t>
      </w:r>
      <w:r w:rsidR="00C62E0C">
        <w:rPr>
          <w:rFonts w:eastAsia="Calibri" w:cs="Calibri"/>
          <w:color w:val="000000"/>
          <w:u w:color="000000"/>
          <w:lang w:val="fr-CA"/>
        </w:rPr>
        <w:t>’</w:t>
      </w:r>
      <w:r w:rsidRPr="00EC5C82">
        <w:rPr>
          <w:rFonts w:eastAsia="Calibri" w:cs="Calibri"/>
          <w:color w:val="000000"/>
          <w:u w:color="000000"/>
          <w:lang w:val="fr-CA"/>
        </w:rPr>
        <w:t>i</w:t>
      </w:r>
      <w:r w:rsidR="001A520A">
        <w:rPr>
          <w:rFonts w:eastAsia="Calibri" w:cs="Calibri"/>
          <w:color w:val="000000"/>
          <w:u w:color="000000"/>
          <w:lang w:val="fr-CA"/>
        </w:rPr>
        <w:t xml:space="preserve">ncidence </w:t>
      </w:r>
      <w:r w:rsidRPr="00EC5C82">
        <w:rPr>
          <w:rFonts w:eastAsia="Calibri" w:cs="Calibri"/>
          <w:color w:val="000000"/>
          <w:u w:color="000000"/>
          <w:lang w:val="fr-CA"/>
        </w:rPr>
        <w:t>algorithmique (EIA). La directive fédérale sur l</w:t>
      </w:r>
      <w:r w:rsidR="00C62E0C">
        <w:rPr>
          <w:rFonts w:eastAsia="Calibri" w:cs="Calibri"/>
          <w:color w:val="000000"/>
          <w:u w:color="000000"/>
          <w:lang w:val="fr-CA"/>
        </w:rPr>
        <w:t>a</w:t>
      </w:r>
      <w:r w:rsidRPr="00EC5C82">
        <w:rPr>
          <w:rFonts w:eastAsia="Calibri" w:cs="Calibri"/>
          <w:color w:val="000000"/>
          <w:u w:color="000000"/>
          <w:lang w:val="fr-CA"/>
        </w:rPr>
        <w:t xml:space="preserve"> PDA et l</w:t>
      </w:r>
      <w:r w:rsidR="00C62E0C">
        <w:rPr>
          <w:rFonts w:eastAsia="Calibri" w:cs="Calibri"/>
          <w:color w:val="000000"/>
          <w:u w:color="000000"/>
          <w:lang w:val="fr-CA"/>
        </w:rPr>
        <w:t>’</w:t>
      </w:r>
      <w:r w:rsidRPr="00EC5C82">
        <w:rPr>
          <w:rFonts w:eastAsia="Calibri" w:cs="Calibri"/>
          <w:color w:val="000000"/>
          <w:u w:color="000000"/>
          <w:lang w:val="fr-CA"/>
        </w:rPr>
        <w:t>EIA s</w:t>
      </w:r>
      <w:r w:rsidR="00C62E0C">
        <w:rPr>
          <w:rFonts w:eastAsia="Calibri" w:cs="Calibri"/>
          <w:color w:val="000000"/>
          <w:u w:color="000000"/>
          <w:lang w:val="fr-CA"/>
        </w:rPr>
        <w:t>’</w:t>
      </w:r>
      <w:r w:rsidRPr="00EC5C82">
        <w:rPr>
          <w:rFonts w:eastAsia="Calibri" w:cs="Calibri"/>
          <w:color w:val="000000"/>
          <w:u w:color="000000"/>
          <w:lang w:val="fr-CA"/>
        </w:rPr>
        <w:t>appliquent à un large éventail de systèmes technologiques fédéraux, et pas seulement aux systèmes d</w:t>
      </w:r>
      <w:r w:rsidR="00C62E0C">
        <w:rPr>
          <w:rFonts w:eastAsia="Calibri" w:cs="Calibri"/>
          <w:color w:val="000000"/>
          <w:u w:color="000000"/>
          <w:lang w:val="fr-CA"/>
        </w:rPr>
        <w:t>’</w:t>
      </w:r>
      <w:r w:rsidRPr="00EC5C82">
        <w:rPr>
          <w:rFonts w:eastAsia="Calibri" w:cs="Calibri"/>
          <w:color w:val="000000"/>
          <w:u w:color="000000"/>
          <w:lang w:val="fr-CA"/>
        </w:rPr>
        <w:t>IA</w:t>
      </w:r>
      <w:r w:rsidR="00B549D7" w:rsidRPr="00A317D7">
        <w:rPr>
          <w:rStyle w:val="EndnoteReference"/>
          <w:rFonts w:eastAsia="Calibri" w:cs="Calibri"/>
          <w:color w:val="000000"/>
          <w:u w:color="000000"/>
          <w:lang w:val="fr-CA"/>
        </w:rPr>
        <w:endnoteReference w:id="39"/>
      </w:r>
      <w:r>
        <w:rPr>
          <w:rFonts w:eastAsia="Calibri" w:cs="Calibri"/>
          <w:color w:val="000000"/>
          <w:u w:color="000000"/>
          <w:lang w:val="fr-CA"/>
        </w:rPr>
        <w:t>.</w:t>
      </w:r>
    </w:p>
    <w:p w14:paraId="49CB48BA" w14:textId="77777777" w:rsidR="00B549D7" w:rsidRPr="00A317D7" w:rsidRDefault="00B549D7" w:rsidP="009F0A62">
      <w:pPr>
        <w:spacing w:after="0"/>
        <w:rPr>
          <w:rFonts w:eastAsia="Calibri" w:cs="Calibri"/>
          <w:color w:val="000000"/>
          <w:u w:color="000000"/>
          <w:lang w:val="fr-CA"/>
        </w:rPr>
      </w:pPr>
    </w:p>
    <w:p w14:paraId="16B1D679" w14:textId="430E6561" w:rsidR="00B549D7" w:rsidRPr="00232D2F" w:rsidRDefault="00232D2F" w:rsidP="009F0A62">
      <w:pPr>
        <w:spacing w:after="0"/>
        <w:rPr>
          <w:rFonts w:eastAsia="Calibri" w:cs="Calibri"/>
          <w:color w:val="000000"/>
          <w:u w:color="000000"/>
          <w:lang w:val="fr-CA"/>
        </w:rPr>
      </w:pPr>
      <w:r w:rsidRPr="00232D2F">
        <w:rPr>
          <w:rFonts w:eastAsia="Calibri" w:cs="Calibri"/>
          <w:color w:val="000000"/>
          <w:u w:color="000000"/>
          <w:lang w:val="fr-CA"/>
        </w:rPr>
        <w:t xml:space="preserve">La CDO a beaucoup écrit </w:t>
      </w:r>
      <w:r w:rsidR="00EB08F6">
        <w:rPr>
          <w:rFonts w:eastAsia="Calibri" w:cs="Calibri"/>
          <w:color w:val="000000"/>
          <w:u w:color="000000"/>
          <w:lang w:val="fr-CA"/>
        </w:rPr>
        <w:t xml:space="preserve">à propos de </w:t>
      </w:r>
      <w:r w:rsidRPr="00232D2F">
        <w:rPr>
          <w:rFonts w:eastAsia="Calibri" w:cs="Calibri"/>
          <w:color w:val="000000"/>
          <w:u w:color="000000"/>
          <w:lang w:val="fr-CA"/>
        </w:rPr>
        <w:t xml:space="preserve">la directive fédérale </w:t>
      </w:r>
      <w:r w:rsidR="00E66E0E">
        <w:rPr>
          <w:rFonts w:eastAsia="Calibri" w:cs="Calibri"/>
          <w:color w:val="000000"/>
          <w:u w:color="000000"/>
          <w:lang w:val="fr-CA"/>
        </w:rPr>
        <w:t xml:space="preserve">sur </w:t>
      </w:r>
      <w:r w:rsidR="00C62E0C">
        <w:rPr>
          <w:rFonts w:eastAsia="Calibri" w:cs="Calibri"/>
          <w:color w:val="000000"/>
          <w:u w:color="000000"/>
          <w:lang w:val="fr-CA"/>
        </w:rPr>
        <w:t xml:space="preserve">la </w:t>
      </w:r>
      <w:r w:rsidRPr="00232D2F">
        <w:rPr>
          <w:rFonts w:eastAsia="Calibri" w:cs="Calibri"/>
          <w:color w:val="000000"/>
          <w:u w:color="000000"/>
          <w:lang w:val="fr-CA"/>
        </w:rPr>
        <w:t>PDA et l</w:t>
      </w:r>
      <w:r w:rsidR="00C62E0C">
        <w:rPr>
          <w:rFonts w:eastAsia="Calibri" w:cs="Calibri"/>
          <w:color w:val="000000"/>
          <w:u w:color="000000"/>
          <w:lang w:val="fr-CA"/>
        </w:rPr>
        <w:t>’</w:t>
      </w:r>
      <w:r w:rsidRPr="00232D2F">
        <w:rPr>
          <w:rFonts w:eastAsia="Calibri" w:cs="Calibri"/>
          <w:color w:val="000000"/>
          <w:u w:color="000000"/>
          <w:lang w:val="fr-CA"/>
        </w:rPr>
        <w:t>EIA</w:t>
      </w:r>
      <w:r w:rsidR="00B549D7" w:rsidRPr="00A317D7">
        <w:rPr>
          <w:rFonts w:eastAsia="Calibri" w:cs="Calibri"/>
          <w:color w:val="000000"/>
          <w:u w:color="000000"/>
          <w:vertAlign w:val="superscript"/>
          <w:lang w:val="fr-CA"/>
        </w:rPr>
        <w:endnoteReference w:id="40"/>
      </w:r>
      <w:r>
        <w:rPr>
          <w:rFonts w:eastAsia="Calibri" w:cs="Calibri"/>
          <w:color w:val="000000"/>
          <w:u w:color="000000"/>
          <w:lang w:val="fr-CA"/>
        </w:rPr>
        <w:t>.</w:t>
      </w:r>
      <w:r w:rsidR="00B549D7" w:rsidRPr="00232D2F">
        <w:rPr>
          <w:rFonts w:eastAsia="Calibri" w:cs="Calibri"/>
          <w:color w:val="000000"/>
          <w:u w:color="000000"/>
          <w:lang w:val="fr-CA"/>
        </w:rPr>
        <w:t xml:space="preserve"> </w:t>
      </w:r>
      <w:r w:rsidRPr="00232D2F">
        <w:rPr>
          <w:rFonts w:eastAsia="Calibri" w:cs="Calibri"/>
          <w:color w:val="000000"/>
          <w:u w:color="000000"/>
          <w:lang w:val="fr-CA"/>
        </w:rPr>
        <w:t>Nous avons salué ces deux documents comme des exemples phares d</w:t>
      </w:r>
      <w:r w:rsidR="00C62E0C">
        <w:rPr>
          <w:rFonts w:eastAsia="Calibri" w:cs="Calibri"/>
          <w:color w:val="000000"/>
          <w:u w:color="000000"/>
          <w:lang w:val="fr-CA"/>
        </w:rPr>
        <w:t>’</w:t>
      </w:r>
      <w:r w:rsidRPr="00232D2F">
        <w:rPr>
          <w:rFonts w:eastAsia="Calibri" w:cs="Calibri"/>
          <w:color w:val="000000"/>
          <w:u w:color="000000"/>
          <w:lang w:val="fr-CA"/>
        </w:rPr>
        <w:t>outils et de stratégies qui intègrent des garanties d</w:t>
      </w:r>
      <w:r w:rsidR="00C62E0C">
        <w:rPr>
          <w:rFonts w:eastAsia="Calibri" w:cs="Calibri"/>
          <w:color w:val="000000"/>
          <w:u w:color="000000"/>
          <w:lang w:val="fr-CA"/>
        </w:rPr>
        <w:t>’</w:t>
      </w:r>
      <w:r w:rsidRPr="00232D2F">
        <w:rPr>
          <w:rFonts w:eastAsia="Calibri" w:cs="Calibri"/>
          <w:color w:val="000000"/>
          <w:u w:color="000000"/>
          <w:lang w:val="fr-CA"/>
        </w:rPr>
        <w:t>équité procédurale dans la conception et le fonctionnement des processus décisionnels automatisés du gouvernement</w:t>
      </w:r>
      <w:r w:rsidR="00B549D7" w:rsidRPr="00A317D7">
        <w:rPr>
          <w:rFonts w:eastAsia="Calibri" w:cs="Calibri"/>
          <w:color w:val="000000"/>
          <w:u w:color="000000"/>
          <w:vertAlign w:val="superscript"/>
          <w:lang w:val="fr-CA"/>
        </w:rPr>
        <w:endnoteReference w:id="41"/>
      </w:r>
      <w:r>
        <w:rPr>
          <w:rFonts w:eastAsia="Calibri" w:cs="Calibri"/>
          <w:color w:val="000000"/>
          <w:u w:color="000000"/>
          <w:lang w:val="fr-CA"/>
        </w:rPr>
        <w:t>.</w:t>
      </w:r>
      <w:r w:rsidR="00B549D7" w:rsidRPr="00232D2F">
        <w:rPr>
          <w:rFonts w:eastAsia="Calibri" w:cs="Calibri"/>
          <w:color w:val="000000"/>
          <w:u w:color="000000"/>
          <w:lang w:val="fr-CA"/>
        </w:rPr>
        <w:t xml:space="preserve"> </w:t>
      </w:r>
      <w:r w:rsidRPr="00232D2F">
        <w:rPr>
          <w:rFonts w:eastAsia="Calibri" w:cs="Calibri"/>
          <w:color w:val="000000"/>
          <w:u w:color="000000"/>
          <w:lang w:val="fr-CA"/>
        </w:rPr>
        <w:t xml:space="preserve">La directive fédérale </w:t>
      </w:r>
      <w:r w:rsidR="00E66E0E">
        <w:rPr>
          <w:rFonts w:eastAsia="Calibri" w:cs="Calibri"/>
          <w:color w:val="000000"/>
          <w:u w:color="000000"/>
          <w:lang w:val="fr-CA"/>
        </w:rPr>
        <w:t xml:space="preserve">sur </w:t>
      </w:r>
      <w:r w:rsidR="00C62E0C">
        <w:rPr>
          <w:rFonts w:eastAsia="Calibri" w:cs="Calibri"/>
          <w:color w:val="000000"/>
          <w:u w:color="000000"/>
          <w:lang w:val="fr-CA"/>
        </w:rPr>
        <w:t>la</w:t>
      </w:r>
      <w:r w:rsidRPr="00232D2F">
        <w:rPr>
          <w:rFonts w:eastAsia="Calibri" w:cs="Calibri"/>
          <w:color w:val="000000"/>
          <w:u w:color="000000"/>
          <w:lang w:val="fr-CA"/>
        </w:rPr>
        <w:t xml:space="preserve"> PDA et l</w:t>
      </w:r>
      <w:r w:rsidR="00C62E0C">
        <w:rPr>
          <w:rFonts w:eastAsia="Calibri" w:cs="Calibri"/>
          <w:color w:val="000000"/>
          <w:u w:color="000000"/>
          <w:lang w:val="fr-CA"/>
        </w:rPr>
        <w:t>’</w:t>
      </w:r>
      <w:r w:rsidRPr="00232D2F">
        <w:rPr>
          <w:rFonts w:eastAsia="Calibri" w:cs="Calibri"/>
          <w:color w:val="000000"/>
          <w:u w:color="000000"/>
          <w:lang w:val="fr-CA"/>
        </w:rPr>
        <w:t>EIA ne s</w:t>
      </w:r>
      <w:r w:rsidR="00C62E0C">
        <w:rPr>
          <w:rFonts w:eastAsia="Calibri" w:cs="Calibri"/>
          <w:color w:val="000000"/>
          <w:u w:color="000000"/>
          <w:lang w:val="fr-CA"/>
        </w:rPr>
        <w:t>’</w:t>
      </w:r>
      <w:r w:rsidRPr="00232D2F">
        <w:rPr>
          <w:rFonts w:eastAsia="Calibri" w:cs="Calibri"/>
          <w:color w:val="000000"/>
          <w:u w:color="000000"/>
          <w:lang w:val="fr-CA"/>
        </w:rPr>
        <w:t>appliquent pas aux organismes fédéraux chargés de l</w:t>
      </w:r>
      <w:r w:rsidR="00C62E0C">
        <w:rPr>
          <w:rFonts w:eastAsia="Calibri" w:cs="Calibri"/>
          <w:color w:val="000000"/>
          <w:u w:color="000000"/>
          <w:lang w:val="fr-CA"/>
        </w:rPr>
        <w:t>’</w:t>
      </w:r>
      <w:r w:rsidRPr="00232D2F">
        <w:rPr>
          <w:rFonts w:eastAsia="Calibri" w:cs="Calibri"/>
          <w:color w:val="000000"/>
          <w:u w:color="000000"/>
          <w:lang w:val="fr-CA"/>
        </w:rPr>
        <w:t>application de la loi</w:t>
      </w:r>
      <w:r w:rsidR="00B549D7" w:rsidRPr="00A317D7">
        <w:rPr>
          <w:rStyle w:val="EndnoteReference"/>
          <w:rFonts w:eastAsia="Calibri" w:cs="Calibri"/>
          <w:color w:val="000000"/>
          <w:u w:color="000000"/>
          <w:lang w:val="fr-CA"/>
        </w:rPr>
        <w:endnoteReference w:id="42"/>
      </w:r>
      <w:r>
        <w:rPr>
          <w:rFonts w:eastAsia="Calibri" w:cs="Calibri"/>
          <w:color w:val="000000"/>
          <w:u w:color="000000"/>
          <w:lang w:val="fr-CA"/>
        </w:rPr>
        <w:t>.</w:t>
      </w:r>
      <w:r w:rsidR="00B549D7" w:rsidRPr="00232D2F">
        <w:rPr>
          <w:rFonts w:eastAsia="Calibri" w:cs="Calibri"/>
          <w:color w:val="000000"/>
          <w:u w:color="000000"/>
          <w:lang w:val="fr-CA"/>
        </w:rPr>
        <w:t xml:space="preserve"> </w:t>
      </w:r>
    </w:p>
    <w:p w14:paraId="3F7D9DB3" w14:textId="77777777" w:rsidR="00B549D7" w:rsidRPr="00232D2F" w:rsidRDefault="00B549D7" w:rsidP="009F0A62">
      <w:pPr>
        <w:spacing w:after="0"/>
        <w:rPr>
          <w:rFonts w:eastAsia="Calibri" w:cs="Calibri"/>
          <w:color w:val="000000"/>
          <w:u w:color="000000"/>
          <w:lang w:val="fr-CA"/>
        </w:rPr>
      </w:pPr>
    </w:p>
    <w:p w14:paraId="5117A947" w14:textId="1A540D56" w:rsidR="00B549D7" w:rsidRPr="00A317D7" w:rsidRDefault="00232D2F" w:rsidP="009F0A62">
      <w:pPr>
        <w:spacing w:after="0"/>
        <w:rPr>
          <w:rFonts w:eastAsia="Times New Roman" w:cstheme="minorHAnsi"/>
          <w:color w:val="1A1A1A"/>
          <w:lang w:val="fr-CA"/>
        </w:rPr>
      </w:pPr>
      <w:r w:rsidRPr="00232D2F">
        <w:rPr>
          <w:rFonts w:eastAsia="Calibri" w:cs="Calibri"/>
          <w:color w:val="000000"/>
          <w:u w:color="000000"/>
          <w:lang w:val="fr-CA"/>
        </w:rPr>
        <w:t>Le gouvernement fédéral procède actuellement à son quatrième examen de la directive fédérale sur l</w:t>
      </w:r>
      <w:r w:rsidR="00FE7D49">
        <w:rPr>
          <w:rFonts w:eastAsia="Calibri" w:cs="Calibri"/>
          <w:color w:val="000000"/>
          <w:u w:color="000000"/>
          <w:lang w:val="fr-CA"/>
        </w:rPr>
        <w:t>a</w:t>
      </w:r>
      <w:r w:rsidRPr="00232D2F">
        <w:rPr>
          <w:rFonts w:eastAsia="Calibri" w:cs="Calibri"/>
          <w:color w:val="000000"/>
          <w:u w:color="000000"/>
          <w:lang w:val="fr-CA"/>
        </w:rPr>
        <w:t xml:space="preserve"> PDA et de l</w:t>
      </w:r>
      <w:r w:rsidR="00C62E0C">
        <w:rPr>
          <w:rFonts w:eastAsia="Calibri" w:cs="Calibri"/>
          <w:color w:val="000000"/>
          <w:u w:color="000000"/>
          <w:lang w:val="fr-CA"/>
        </w:rPr>
        <w:t>’</w:t>
      </w:r>
      <w:r w:rsidRPr="00232D2F">
        <w:rPr>
          <w:rFonts w:eastAsia="Calibri" w:cs="Calibri"/>
          <w:color w:val="000000"/>
          <w:u w:color="000000"/>
          <w:lang w:val="fr-CA"/>
        </w:rPr>
        <w:t>EIA</w:t>
      </w:r>
      <w:r w:rsidR="00B549D7" w:rsidRPr="00A317D7">
        <w:rPr>
          <w:rStyle w:val="EndnoteReference"/>
          <w:rFonts w:eastAsia="Times New Roman" w:cstheme="minorHAnsi"/>
          <w:color w:val="1A1A1A"/>
          <w:lang w:val="fr-CA"/>
        </w:rPr>
        <w:endnoteReference w:id="43"/>
      </w:r>
      <w:r>
        <w:rPr>
          <w:rFonts w:eastAsia="Calibri" w:cs="Calibri"/>
          <w:color w:val="000000"/>
          <w:u w:color="000000"/>
          <w:lang w:val="fr-CA"/>
        </w:rPr>
        <w:t>.</w:t>
      </w:r>
      <w:r w:rsidR="00B549D7" w:rsidRPr="00A317D7">
        <w:rPr>
          <w:rFonts w:eastAsia="Times New Roman" w:cstheme="minorHAnsi"/>
          <w:color w:val="1A1A1A"/>
          <w:lang w:val="fr-CA"/>
        </w:rPr>
        <w:t xml:space="preserve"> </w:t>
      </w:r>
      <w:r w:rsidRPr="00232D2F">
        <w:rPr>
          <w:rFonts w:eastAsia="Times New Roman" w:cstheme="minorHAnsi"/>
          <w:color w:val="1A1A1A"/>
          <w:lang w:val="fr-CA"/>
        </w:rPr>
        <w:t>Cet examen pourrait inclure des propositions visant à renforcer les dispositions relatives aux droits de la personne de la directive fédérale sur l</w:t>
      </w:r>
      <w:r w:rsidR="00C62E0C">
        <w:rPr>
          <w:rFonts w:eastAsia="Times New Roman" w:cstheme="minorHAnsi"/>
          <w:color w:val="1A1A1A"/>
          <w:lang w:val="fr-CA"/>
        </w:rPr>
        <w:t>a</w:t>
      </w:r>
      <w:r w:rsidRPr="00232D2F">
        <w:rPr>
          <w:rFonts w:eastAsia="Times New Roman" w:cstheme="minorHAnsi"/>
          <w:color w:val="1A1A1A"/>
          <w:lang w:val="fr-CA"/>
        </w:rPr>
        <w:t xml:space="preserve"> PDA et à établir des critères plus explicites concernant les systèmes d</w:t>
      </w:r>
      <w:r w:rsidR="00C62E0C">
        <w:rPr>
          <w:rFonts w:eastAsia="Times New Roman" w:cstheme="minorHAnsi"/>
          <w:color w:val="1A1A1A"/>
          <w:lang w:val="fr-CA"/>
        </w:rPr>
        <w:t>’</w:t>
      </w:r>
      <w:r w:rsidRPr="00232D2F">
        <w:rPr>
          <w:rFonts w:eastAsia="Times New Roman" w:cstheme="minorHAnsi"/>
          <w:color w:val="1A1A1A"/>
          <w:lang w:val="fr-CA"/>
        </w:rPr>
        <w:t>IA prohibés au niveau fédéral. Cette révision n</w:t>
      </w:r>
      <w:r w:rsidR="00C62E0C">
        <w:rPr>
          <w:rFonts w:eastAsia="Times New Roman" w:cstheme="minorHAnsi"/>
          <w:color w:val="1A1A1A"/>
          <w:lang w:val="fr-CA"/>
        </w:rPr>
        <w:t>’</w:t>
      </w:r>
      <w:r w:rsidRPr="00232D2F">
        <w:rPr>
          <w:rFonts w:eastAsia="Times New Roman" w:cstheme="minorHAnsi"/>
          <w:color w:val="1A1A1A"/>
          <w:lang w:val="fr-CA"/>
        </w:rPr>
        <w:t>appliquera pas la directive fédérale sur l</w:t>
      </w:r>
      <w:r w:rsidR="00C62E0C">
        <w:rPr>
          <w:rFonts w:eastAsia="Times New Roman" w:cstheme="minorHAnsi"/>
          <w:color w:val="1A1A1A"/>
          <w:lang w:val="fr-CA"/>
        </w:rPr>
        <w:t>a</w:t>
      </w:r>
      <w:r w:rsidRPr="00232D2F">
        <w:rPr>
          <w:rFonts w:eastAsia="Times New Roman" w:cstheme="minorHAnsi"/>
          <w:color w:val="1A1A1A"/>
          <w:lang w:val="fr-CA"/>
        </w:rPr>
        <w:t xml:space="preserve"> PDA et l</w:t>
      </w:r>
      <w:r w:rsidR="00C62E0C">
        <w:rPr>
          <w:rFonts w:eastAsia="Times New Roman" w:cstheme="minorHAnsi"/>
          <w:color w:val="1A1A1A"/>
          <w:lang w:val="fr-CA"/>
        </w:rPr>
        <w:t>’</w:t>
      </w:r>
      <w:r w:rsidRPr="00232D2F">
        <w:rPr>
          <w:rFonts w:eastAsia="Times New Roman" w:cstheme="minorHAnsi"/>
          <w:color w:val="1A1A1A"/>
          <w:lang w:val="fr-CA"/>
        </w:rPr>
        <w:t>EIA aux organismes fédéraux chargés de l</w:t>
      </w:r>
      <w:r w:rsidR="00C62E0C">
        <w:rPr>
          <w:rFonts w:eastAsia="Times New Roman" w:cstheme="minorHAnsi"/>
          <w:color w:val="1A1A1A"/>
          <w:lang w:val="fr-CA"/>
        </w:rPr>
        <w:t>’</w:t>
      </w:r>
      <w:r w:rsidRPr="00232D2F">
        <w:rPr>
          <w:rFonts w:eastAsia="Times New Roman" w:cstheme="minorHAnsi"/>
          <w:color w:val="1A1A1A"/>
          <w:lang w:val="fr-CA"/>
        </w:rPr>
        <w:t>application de la loi</w:t>
      </w:r>
      <w:r w:rsidR="00B549D7" w:rsidRPr="00A317D7">
        <w:rPr>
          <w:rFonts w:eastAsia="Times New Roman" w:cstheme="minorHAnsi"/>
          <w:color w:val="1A1A1A"/>
          <w:lang w:val="fr-CA"/>
        </w:rPr>
        <w:t xml:space="preserve">. </w:t>
      </w:r>
    </w:p>
    <w:p w14:paraId="13C5ED0D" w14:textId="77777777" w:rsidR="00B549D7" w:rsidRPr="00A317D7" w:rsidRDefault="00B549D7" w:rsidP="009F0A62">
      <w:pPr>
        <w:spacing w:after="0"/>
        <w:rPr>
          <w:lang w:val="fr-CA"/>
        </w:rPr>
      </w:pPr>
    </w:p>
    <w:p w14:paraId="2B23C08C" w14:textId="6F39636A" w:rsidR="00B549D7" w:rsidRPr="00A317D7" w:rsidRDefault="00232D2F" w:rsidP="00965500">
      <w:pPr>
        <w:pStyle w:val="ListParagraph"/>
        <w:numPr>
          <w:ilvl w:val="0"/>
          <w:numId w:val="24"/>
        </w:numPr>
        <w:rPr>
          <w:b/>
          <w:bCs/>
          <w:lang w:val="fr-CA"/>
        </w:rPr>
      </w:pPr>
      <w:bookmarkStart w:id="50" w:name="_Toc188900920"/>
      <w:bookmarkStart w:id="51" w:name="_Toc188902186"/>
      <w:r>
        <w:rPr>
          <w:b/>
          <w:bCs/>
          <w:lang w:val="fr-CA"/>
        </w:rPr>
        <w:t>GRC</w:t>
      </w:r>
      <w:bookmarkEnd w:id="50"/>
      <w:bookmarkEnd w:id="51"/>
    </w:p>
    <w:p w14:paraId="000EC4F4" w14:textId="0AFFD771" w:rsidR="00B549D7" w:rsidRPr="00A317D7" w:rsidRDefault="00232D2F" w:rsidP="009F0A62">
      <w:pPr>
        <w:spacing w:after="0"/>
        <w:rPr>
          <w:lang w:val="fr-CA"/>
        </w:rPr>
      </w:pPr>
      <w:r w:rsidRPr="00232D2F">
        <w:rPr>
          <w:lang w:val="fr-CA"/>
        </w:rPr>
        <w:t>En réponse au rapport spécial du Commissariat à la protection de la vie privée sur l</w:t>
      </w:r>
      <w:r w:rsidR="00C62E0C">
        <w:rPr>
          <w:lang w:val="fr-CA"/>
        </w:rPr>
        <w:t>’</w:t>
      </w:r>
      <w:r w:rsidRPr="00232D2F">
        <w:rPr>
          <w:lang w:val="fr-CA"/>
        </w:rPr>
        <w:t>utilisation de Clearview AI par la GRC, cette dernière a créé le Programme national d</w:t>
      </w:r>
      <w:r w:rsidR="00C62E0C">
        <w:rPr>
          <w:lang w:val="fr-CA"/>
        </w:rPr>
        <w:t>’</w:t>
      </w:r>
      <w:r w:rsidRPr="00232D2F">
        <w:rPr>
          <w:lang w:val="fr-CA"/>
        </w:rPr>
        <w:t>intégration des technologies (PNIT</w:t>
      </w:r>
      <w:r w:rsidR="00B549D7" w:rsidRPr="00232D2F">
        <w:rPr>
          <w:lang w:val="fr-CA"/>
        </w:rPr>
        <w:t>)</w:t>
      </w:r>
      <w:r w:rsidR="00B549D7" w:rsidRPr="00A317D7">
        <w:rPr>
          <w:rStyle w:val="EndnoteReference"/>
          <w:lang w:val="fr-CA"/>
        </w:rPr>
        <w:endnoteReference w:id="44"/>
      </w:r>
      <w:r>
        <w:rPr>
          <w:lang w:val="fr-CA"/>
        </w:rPr>
        <w:t>.</w:t>
      </w:r>
      <w:r w:rsidR="00B549D7" w:rsidRPr="00232D2F">
        <w:rPr>
          <w:lang w:val="fr-CA"/>
        </w:rPr>
        <w:t xml:space="preserve"> </w:t>
      </w:r>
      <w:r w:rsidRPr="00232D2F">
        <w:rPr>
          <w:lang w:val="fr-CA"/>
        </w:rPr>
        <w:t>Le PNIT est un programme interne visant à évaluer les systèmes technologiques de la GRC. La GRC affirme que l</w:t>
      </w:r>
      <w:r w:rsidR="00C62E0C">
        <w:rPr>
          <w:lang w:val="fr-CA"/>
        </w:rPr>
        <w:t>’</w:t>
      </w:r>
      <w:r w:rsidRPr="00232D2F">
        <w:rPr>
          <w:lang w:val="fr-CA"/>
        </w:rPr>
        <w:t>IA et les technologies intrusives pour la vie privée sont les priorités absolues du PNIT</w:t>
      </w:r>
      <w:r w:rsidR="00B549D7" w:rsidRPr="00A317D7">
        <w:rPr>
          <w:vertAlign w:val="superscript"/>
          <w:lang w:val="fr-CA"/>
        </w:rPr>
        <w:endnoteReference w:id="45"/>
      </w:r>
      <w:r>
        <w:rPr>
          <w:lang w:val="fr-CA"/>
        </w:rPr>
        <w:t>.</w:t>
      </w:r>
      <w:r w:rsidR="00B549D7" w:rsidRPr="00A317D7">
        <w:rPr>
          <w:lang w:val="fr-CA"/>
        </w:rPr>
        <w:t xml:space="preserve"> </w:t>
      </w:r>
    </w:p>
    <w:p w14:paraId="51A6733F" w14:textId="77777777" w:rsidR="00B549D7" w:rsidRPr="00A317D7" w:rsidRDefault="00B549D7" w:rsidP="009F0A62">
      <w:pPr>
        <w:spacing w:after="0"/>
        <w:rPr>
          <w:lang w:val="fr-CA"/>
        </w:rPr>
      </w:pPr>
    </w:p>
    <w:p w14:paraId="0E8D740E" w14:textId="1877DEEB" w:rsidR="00B549D7" w:rsidRPr="00A317D7" w:rsidRDefault="00232D2F" w:rsidP="000607D4">
      <w:pPr>
        <w:spacing w:after="0"/>
        <w:rPr>
          <w:lang w:val="fr-CA"/>
        </w:rPr>
      </w:pPr>
      <w:r w:rsidRPr="00232D2F">
        <w:rPr>
          <w:lang w:val="fr-CA"/>
        </w:rPr>
        <w:t xml:space="preserve">Le premier rapport sur la transparence du PNIT, intitulé </w:t>
      </w:r>
      <w:r w:rsidRPr="00232D2F">
        <w:rPr>
          <w:i/>
          <w:lang w:val="fr-CA"/>
        </w:rPr>
        <w:t>Plan de transparence</w:t>
      </w:r>
      <w:r w:rsidR="00C62E0C">
        <w:rPr>
          <w:i/>
          <w:lang w:val="fr-CA"/>
        </w:rPr>
        <w:t> </w:t>
      </w:r>
      <w:r w:rsidRPr="00232D2F">
        <w:rPr>
          <w:i/>
          <w:lang w:val="fr-CA"/>
        </w:rPr>
        <w:t xml:space="preserve">: </w:t>
      </w:r>
      <w:r w:rsidR="00BB3F06">
        <w:rPr>
          <w:i/>
          <w:lang w:val="fr-CA"/>
        </w:rPr>
        <w:t>A</w:t>
      </w:r>
      <w:r w:rsidRPr="00232D2F">
        <w:rPr>
          <w:i/>
          <w:lang w:val="fr-CA"/>
        </w:rPr>
        <w:t>perçu des technologies opérationnelles</w:t>
      </w:r>
      <w:r w:rsidRPr="00232D2F">
        <w:rPr>
          <w:lang w:val="fr-CA"/>
        </w:rPr>
        <w:t>, a été publié en septembre 2024</w:t>
      </w:r>
      <w:r w:rsidR="00B549D7" w:rsidRPr="00A317D7">
        <w:rPr>
          <w:rStyle w:val="EndnoteReference"/>
          <w:rFonts w:cstheme="minorHAnsi"/>
          <w:bCs/>
          <w:lang w:val="fr-CA"/>
        </w:rPr>
        <w:endnoteReference w:id="46"/>
      </w:r>
      <w:r>
        <w:rPr>
          <w:lang w:val="fr-CA"/>
        </w:rPr>
        <w:t>.</w:t>
      </w:r>
      <w:r w:rsidR="00B549D7" w:rsidRPr="00A317D7">
        <w:rPr>
          <w:sz w:val="21"/>
          <w:szCs w:val="21"/>
          <w:lang w:val="fr-CA"/>
        </w:rPr>
        <w:t xml:space="preserve"> </w:t>
      </w:r>
      <w:r w:rsidRPr="00232D2F">
        <w:rPr>
          <w:sz w:val="21"/>
          <w:szCs w:val="21"/>
          <w:lang w:val="fr-CA"/>
        </w:rPr>
        <w:t xml:space="preserve">Le </w:t>
      </w:r>
      <w:r w:rsidRPr="00232D2F">
        <w:rPr>
          <w:i/>
          <w:lang w:val="fr-CA"/>
        </w:rPr>
        <w:t xml:space="preserve">Plan de transparence </w:t>
      </w:r>
      <w:r w:rsidRPr="00232D2F">
        <w:rPr>
          <w:lang w:val="fr-CA"/>
        </w:rPr>
        <w:t>décrit comment la GRC met en œuvre une approche plus proactive en matière d</w:t>
      </w:r>
      <w:r w:rsidR="00C62E0C">
        <w:rPr>
          <w:lang w:val="fr-CA"/>
        </w:rPr>
        <w:t>’</w:t>
      </w:r>
      <w:r w:rsidRPr="00232D2F">
        <w:rPr>
          <w:lang w:val="fr-CA"/>
        </w:rPr>
        <w:t>évaluation des technologies et de transparence, y compris les systèmes d</w:t>
      </w:r>
      <w:r w:rsidR="00C62E0C">
        <w:rPr>
          <w:lang w:val="fr-CA"/>
        </w:rPr>
        <w:t>’</w:t>
      </w:r>
      <w:r w:rsidRPr="00232D2F">
        <w:rPr>
          <w:lang w:val="fr-CA"/>
        </w:rPr>
        <w:t>IA. La GRC indique que le PNIT avait évalué 28 technologies en septembre 2024</w:t>
      </w:r>
      <w:r w:rsidR="00B549D7" w:rsidRPr="00A317D7">
        <w:rPr>
          <w:rStyle w:val="EndnoteReference"/>
          <w:lang w:val="fr-CA"/>
        </w:rPr>
        <w:endnoteReference w:id="47"/>
      </w:r>
      <w:r>
        <w:rPr>
          <w:lang w:val="fr-CA"/>
        </w:rPr>
        <w:t>.</w:t>
      </w:r>
      <w:r w:rsidR="00B549D7" w:rsidRPr="00A317D7">
        <w:rPr>
          <w:lang w:val="fr-CA"/>
        </w:rPr>
        <w:t xml:space="preserve"> </w:t>
      </w:r>
      <w:bookmarkStart w:id="52" w:name="_Toc188900921"/>
      <w:bookmarkStart w:id="53" w:name="_Toc188902187"/>
    </w:p>
    <w:p w14:paraId="084823F5" w14:textId="77777777" w:rsidR="00B549D7" w:rsidRPr="00A317D7" w:rsidRDefault="00B549D7" w:rsidP="000607D4">
      <w:pPr>
        <w:spacing w:after="0"/>
        <w:rPr>
          <w:lang w:val="fr-CA"/>
        </w:rPr>
      </w:pPr>
    </w:p>
    <w:bookmarkEnd w:id="52"/>
    <w:bookmarkEnd w:id="53"/>
    <w:p w14:paraId="6D5D38C3" w14:textId="266C75A4" w:rsidR="00B549D7" w:rsidRPr="00A317D7" w:rsidRDefault="00820A50" w:rsidP="00105D48">
      <w:pPr>
        <w:pStyle w:val="ListParagraph"/>
        <w:numPr>
          <w:ilvl w:val="0"/>
          <w:numId w:val="24"/>
        </w:numPr>
        <w:spacing w:after="0"/>
        <w:rPr>
          <w:b/>
          <w:bCs/>
          <w:lang w:val="fr-CA"/>
        </w:rPr>
      </w:pPr>
      <w:r w:rsidRPr="00820A50">
        <w:rPr>
          <w:b/>
          <w:bCs/>
          <w:lang w:val="fr-CA"/>
        </w:rPr>
        <w:t xml:space="preserve">Évaluation des initiatives fédérales visant à promouvoir une </w:t>
      </w:r>
      <w:r w:rsidR="00105D48" w:rsidRPr="00105D48">
        <w:rPr>
          <w:b/>
          <w:bCs/>
          <w:lang w:val="fr-CA"/>
        </w:rPr>
        <w:t>IA fiable dans le secteur de la justice pénale</w:t>
      </w:r>
    </w:p>
    <w:p w14:paraId="2EED9884" w14:textId="77777777" w:rsidR="00B549D7" w:rsidRPr="00A317D7" w:rsidRDefault="00B549D7" w:rsidP="000607D4">
      <w:pPr>
        <w:spacing w:after="0"/>
        <w:rPr>
          <w:lang w:val="fr-CA"/>
        </w:rPr>
      </w:pPr>
    </w:p>
    <w:p w14:paraId="786F8B02" w14:textId="4C4C10A8" w:rsidR="00B549D7" w:rsidRPr="00A317D7" w:rsidRDefault="00820A50" w:rsidP="00083979">
      <w:pPr>
        <w:spacing w:after="0"/>
        <w:rPr>
          <w:lang w:val="fr-CA"/>
        </w:rPr>
      </w:pPr>
      <w:r w:rsidRPr="00820A50">
        <w:rPr>
          <w:lang w:val="fr-CA"/>
        </w:rPr>
        <w:t xml:space="preserve">Si elle avait été adoptée, une version révisée de la </w:t>
      </w:r>
      <w:r w:rsidR="005901FF" w:rsidRPr="005901FF">
        <w:rPr>
          <w:i/>
          <w:lang w:val="fr-CA"/>
        </w:rPr>
        <w:t>LIAD</w:t>
      </w:r>
      <w:r w:rsidR="005901FF">
        <w:rPr>
          <w:lang w:val="fr-CA"/>
        </w:rPr>
        <w:t xml:space="preserve"> </w:t>
      </w:r>
      <w:r w:rsidRPr="00820A50">
        <w:rPr>
          <w:lang w:val="fr-CA"/>
        </w:rPr>
        <w:t xml:space="preserve">aurait inclus des dispositions limitées visant à promouvoir une </w:t>
      </w:r>
      <w:r w:rsidR="00105D48" w:rsidRPr="00105D48">
        <w:rPr>
          <w:lang w:val="fr-CA"/>
        </w:rPr>
        <w:t xml:space="preserve">IA fiable dans le secteur de la justice pénale </w:t>
      </w:r>
      <w:r w:rsidRPr="00820A50">
        <w:rPr>
          <w:lang w:val="fr-CA"/>
        </w:rPr>
        <w:t>au Canada. L</w:t>
      </w:r>
      <w:r w:rsidR="00C62E0C">
        <w:rPr>
          <w:lang w:val="fr-CA"/>
        </w:rPr>
        <w:t>’</w:t>
      </w:r>
      <w:r w:rsidRPr="00820A50">
        <w:rPr>
          <w:lang w:val="fr-CA"/>
        </w:rPr>
        <w:t>ajout de systèmes d</w:t>
      </w:r>
      <w:r w:rsidR="00C62E0C">
        <w:rPr>
          <w:lang w:val="fr-CA"/>
        </w:rPr>
        <w:t>’</w:t>
      </w:r>
      <w:r w:rsidRPr="00820A50">
        <w:rPr>
          <w:lang w:val="fr-CA"/>
        </w:rPr>
        <w:t>IA «</w:t>
      </w:r>
      <w:r w:rsidR="00C62E0C">
        <w:rPr>
          <w:lang w:val="fr-CA"/>
        </w:rPr>
        <w:t> </w:t>
      </w:r>
      <w:r w:rsidRPr="00820A50">
        <w:rPr>
          <w:lang w:val="fr-CA"/>
        </w:rPr>
        <w:t xml:space="preserve">à </w:t>
      </w:r>
      <w:r w:rsidR="001A520A">
        <w:rPr>
          <w:lang w:val="fr-CA"/>
        </w:rPr>
        <w:t>incidence élevée</w:t>
      </w:r>
      <w:r w:rsidR="00C62E0C">
        <w:rPr>
          <w:lang w:val="fr-CA"/>
        </w:rPr>
        <w:t> </w:t>
      </w:r>
      <w:r w:rsidRPr="00820A50">
        <w:rPr>
          <w:lang w:val="fr-CA"/>
        </w:rPr>
        <w:t xml:space="preserve">» dans les domaines de la biométrie, des tribunaux et des services de police aurait constitué un complément utile à la législation. Parmi les autres aspects positifs de la </w:t>
      </w:r>
      <w:r w:rsidR="005901FF" w:rsidRPr="005901FF">
        <w:rPr>
          <w:i/>
          <w:lang w:val="fr-CA"/>
        </w:rPr>
        <w:t>LIAD</w:t>
      </w:r>
      <w:r w:rsidR="005901FF">
        <w:rPr>
          <w:lang w:val="fr-CA"/>
        </w:rPr>
        <w:t xml:space="preserve"> </w:t>
      </w:r>
      <w:r w:rsidRPr="00820A50">
        <w:rPr>
          <w:lang w:val="fr-CA"/>
        </w:rPr>
        <w:t>figuraient l</w:t>
      </w:r>
      <w:r w:rsidR="00C62E0C">
        <w:rPr>
          <w:lang w:val="fr-CA"/>
        </w:rPr>
        <w:t>’</w:t>
      </w:r>
      <w:r w:rsidRPr="00820A50">
        <w:rPr>
          <w:lang w:val="fr-CA"/>
        </w:rPr>
        <w:t>obligation de publication et de notification en langage clair, l</w:t>
      </w:r>
      <w:r w:rsidR="00C62E0C">
        <w:rPr>
          <w:lang w:val="fr-CA"/>
        </w:rPr>
        <w:t>’</w:t>
      </w:r>
      <w:r w:rsidRPr="00820A50">
        <w:rPr>
          <w:lang w:val="fr-CA"/>
        </w:rPr>
        <w:t xml:space="preserve">obligation de prendre des mesures pour prévenir et atténuer les </w:t>
      </w:r>
      <w:r w:rsidR="00BB3F06">
        <w:rPr>
          <w:lang w:val="fr-CA"/>
        </w:rPr>
        <w:t>préjugés</w:t>
      </w:r>
      <w:r w:rsidRPr="00820A50">
        <w:rPr>
          <w:lang w:val="fr-CA"/>
        </w:rPr>
        <w:t xml:space="preserve">, et des sanctions importantes en cas de non-respect. Néanmoins, une </w:t>
      </w:r>
      <w:r w:rsidRPr="00820A50">
        <w:rPr>
          <w:lang w:val="fr-CA"/>
        </w:rPr>
        <w:lastRenderedPageBreak/>
        <w:t xml:space="preserve">version modifiée de la </w:t>
      </w:r>
      <w:r w:rsidR="005901FF" w:rsidRPr="005901FF">
        <w:rPr>
          <w:i/>
          <w:lang w:val="fr-CA"/>
        </w:rPr>
        <w:t>LIAD</w:t>
      </w:r>
      <w:r w:rsidR="005901FF">
        <w:rPr>
          <w:lang w:val="fr-CA"/>
        </w:rPr>
        <w:t xml:space="preserve"> </w:t>
      </w:r>
      <w:r w:rsidRPr="00820A50">
        <w:rPr>
          <w:lang w:val="fr-CA"/>
        </w:rPr>
        <w:t>n</w:t>
      </w:r>
      <w:r w:rsidR="00C62E0C">
        <w:rPr>
          <w:lang w:val="fr-CA"/>
        </w:rPr>
        <w:t>’</w:t>
      </w:r>
      <w:r w:rsidRPr="00820A50">
        <w:rPr>
          <w:lang w:val="fr-CA"/>
        </w:rPr>
        <w:t>aurait toujours pas établi une IA fiable dans le domaine de l</w:t>
      </w:r>
      <w:r w:rsidR="00C62E0C">
        <w:rPr>
          <w:lang w:val="fr-CA"/>
        </w:rPr>
        <w:t>’</w:t>
      </w:r>
      <w:r w:rsidRPr="00820A50">
        <w:rPr>
          <w:lang w:val="fr-CA"/>
        </w:rPr>
        <w:t>application de la loi fédérale ou du système de justice pénale</w:t>
      </w:r>
      <w:r w:rsidR="00B549D7" w:rsidRPr="00A317D7">
        <w:rPr>
          <w:lang w:val="fr-CA"/>
        </w:rPr>
        <w:t xml:space="preserve">. </w:t>
      </w:r>
    </w:p>
    <w:p w14:paraId="22D2E276" w14:textId="77777777" w:rsidR="00B549D7" w:rsidRPr="00A317D7" w:rsidRDefault="00B549D7" w:rsidP="00083979">
      <w:pPr>
        <w:spacing w:after="0"/>
        <w:rPr>
          <w:lang w:val="fr-CA"/>
        </w:rPr>
      </w:pPr>
    </w:p>
    <w:p w14:paraId="026D65B3" w14:textId="586B7CCF" w:rsidR="00B549D7" w:rsidRPr="00A317D7" w:rsidRDefault="00891E1B" w:rsidP="00083979">
      <w:pPr>
        <w:spacing w:after="0"/>
        <w:rPr>
          <w:rFonts w:eastAsia="Times New Roman" w:cstheme="minorHAnsi"/>
          <w:color w:val="1A1A1A"/>
          <w:lang w:val="fr-CA"/>
        </w:rPr>
      </w:pPr>
      <w:r w:rsidRPr="00891E1B">
        <w:rPr>
          <w:lang w:val="fr-CA"/>
        </w:rPr>
        <w:t>La directive fédérale sur l</w:t>
      </w:r>
      <w:r w:rsidR="00C62E0C">
        <w:rPr>
          <w:lang w:val="fr-CA"/>
        </w:rPr>
        <w:t>a</w:t>
      </w:r>
      <w:r w:rsidRPr="00891E1B">
        <w:rPr>
          <w:lang w:val="fr-CA"/>
        </w:rPr>
        <w:t xml:space="preserve"> PDA et l</w:t>
      </w:r>
      <w:r w:rsidR="00C62E0C">
        <w:rPr>
          <w:lang w:val="fr-CA"/>
        </w:rPr>
        <w:t>’</w:t>
      </w:r>
      <w:r w:rsidRPr="00891E1B">
        <w:rPr>
          <w:lang w:val="fr-CA"/>
        </w:rPr>
        <w:t>EIA restent des exemples phares de la manière de garantir l</w:t>
      </w:r>
      <w:r w:rsidR="00C62E0C">
        <w:rPr>
          <w:lang w:val="fr-CA"/>
        </w:rPr>
        <w:t>’</w:t>
      </w:r>
      <w:r w:rsidRPr="00891E1B">
        <w:rPr>
          <w:lang w:val="fr-CA"/>
        </w:rPr>
        <w:t>équité des procédures dans les systèmes d</w:t>
      </w:r>
      <w:r w:rsidR="00C62E0C">
        <w:rPr>
          <w:lang w:val="fr-CA"/>
        </w:rPr>
        <w:t>’</w:t>
      </w:r>
      <w:r w:rsidRPr="00891E1B">
        <w:rPr>
          <w:lang w:val="fr-CA"/>
        </w:rPr>
        <w:t>IA du secteur public. La révision actuelle de la directive fédérale sur l</w:t>
      </w:r>
      <w:r w:rsidR="00C62E0C">
        <w:rPr>
          <w:lang w:val="fr-CA"/>
        </w:rPr>
        <w:t>a</w:t>
      </w:r>
      <w:r w:rsidRPr="00891E1B">
        <w:rPr>
          <w:lang w:val="fr-CA"/>
        </w:rPr>
        <w:t xml:space="preserve"> PDA et de l</w:t>
      </w:r>
      <w:r w:rsidR="00C62E0C">
        <w:rPr>
          <w:lang w:val="fr-CA"/>
        </w:rPr>
        <w:t>’</w:t>
      </w:r>
      <w:r w:rsidRPr="00891E1B">
        <w:rPr>
          <w:lang w:val="fr-CA"/>
        </w:rPr>
        <w:t>EIA pourrait renforcer encore ces instruments. Ces propositions, bien que bienvenues, ne permettraient toujours pas d</w:t>
      </w:r>
      <w:r w:rsidR="00C62E0C">
        <w:rPr>
          <w:lang w:val="fr-CA"/>
        </w:rPr>
        <w:t>’</w:t>
      </w:r>
      <w:r w:rsidRPr="00891E1B">
        <w:rPr>
          <w:lang w:val="fr-CA"/>
        </w:rPr>
        <w:t>appliquer la directive fédérale sur l</w:t>
      </w:r>
      <w:r w:rsidR="00C62E0C">
        <w:rPr>
          <w:lang w:val="fr-CA"/>
        </w:rPr>
        <w:t>a</w:t>
      </w:r>
      <w:r w:rsidRPr="00891E1B">
        <w:rPr>
          <w:lang w:val="fr-CA"/>
        </w:rPr>
        <w:t xml:space="preserve"> PDA et l</w:t>
      </w:r>
      <w:r w:rsidR="00C62E0C">
        <w:rPr>
          <w:lang w:val="fr-CA"/>
        </w:rPr>
        <w:t>’</w:t>
      </w:r>
      <w:r w:rsidRPr="00891E1B">
        <w:rPr>
          <w:lang w:val="fr-CA"/>
        </w:rPr>
        <w:t>EIA aux organismes fédéraux cha</w:t>
      </w:r>
      <w:r>
        <w:rPr>
          <w:lang w:val="fr-CA"/>
        </w:rPr>
        <w:t>rgés de l</w:t>
      </w:r>
      <w:r w:rsidR="00C62E0C">
        <w:rPr>
          <w:lang w:val="fr-CA"/>
        </w:rPr>
        <w:t>’</w:t>
      </w:r>
      <w:r>
        <w:rPr>
          <w:lang w:val="fr-CA"/>
        </w:rPr>
        <w:t>application de la loi</w:t>
      </w:r>
      <w:r w:rsidR="00B549D7" w:rsidRPr="00A317D7">
        <w:rPr>
          <w:rFonts w:eastAsia="Times New Roman" w:cstheme="minorHAnsi"/>
          <w:color w:val="1A1A1A"/>
          <w:lang w:val="fr-CA"/>
        </w:rPr>
        <w:t>.</w:t>
      </w:r>
    </w:p>
    <w:p w14:paraId="0BD372B4" w14:textId="77777777" w:rsidR="00B549D7" w:rsidRPr="00A317D7" w:rsidRDefault="00B549D7" w:rsidP="00083979">
      <w:pPr>
        <w:spacing w:after="0"/>
        <w:rPr>
          <w:lang w:val="fr-CA"/>
        </w:rPr>
      </w:pPr>
    </w:p>
    <w:p w14:paraId="0F469513" w14:textId="739E6791" w:rsidR="00B549D7" w:rsidRPr="00A317D7" w:rsidRDefault="00891E1B" w:rsidP="009F0A62">
      <w:pPr>
        <w:spacing w:after="0"/>
        <w:rPr>
          <w:lang w:val="fr-CA"/>
        </w:rPr>
      </w:pPr>
      <w:r w:rsidRPr="00891E1B">
        <w:rPr>
          <w:lang w:val="fr-CA"/>
        </w:rPr>
        <w:t>L</w:t>
      </w:r>
      <w:r w:rsidR="00C62E0C">
        <w:rPr>
          <w:lang w:val="fr-CA"/>
        </w:rPr>
        <w:t>’</w:t>
      </w:r>
      <w:r w:rsidRPr="00891E1B">
        <w:rPr>
          <w:lang w:val="fr-CA"/>
        </w:rPr>
        <w:t>inaction du gouvernement fédéral dans ce domaine est décevante. Cela fait environ cinq ans que la première directive fédérale sur l</w:t>
      </w:r>
      <w:r w:rsidR="00C62E0C">
        <w:rPr>
          <w:lang w:val="fr-CA"/>
        </w:rPr>
        <w:t>a</w:t>
      </w:r>
      <w:r w:rsidRPr="00891E1B">
        <w:rPr>
          <w:lang w:val="fr-CA"/>
        </w:rPr>
        <w:t xml:space="preserve"> PDA a été promulguée, mais il n</w:t>
      </w:r>
      <w:r w:rsidR="00C62E0C">
        <w:rPr>
          <w:lang w:val="fr-CA"/>
        </w:rPr>
        <w:t>’</w:t>
      </w:r>
      <w:r w:rsidRPr="00891E1B">
        <w:rPr>
          <w:lang w:val="fr-CA"/>
        </w:rPr>
        <w:t>existe toujours pas de législation, de directive ou de politique fédérale spécifique établissant une IA fiable pour les institutions ou les acteurs de la justice pénale fédérale, y compris les services fédéraux chargés de l</w:t>
      </w:r>
      <w:r w:rsidR="00C62E0C">
        <w:rPr>
          <w:lang w:val="fr-CA"/>
        </w:rPr>
        <w:t>’</w:t>
      </w:r>
      <w:r w:rsidRPr="00891E1B">
        <w:rPr>
          <w:lang w:val="fr-CA"/>
        </w:rPr>
        <w:t>application de la loi. L</w:t>
      </w:r>
      <w:r w:rsidR="00C62E0C">
        <w:rPr>
          <w:lang w:val="fr-CA"/>
        </w:rPr>
        <w:t>’</w:t>
      </w:r>
      <w:r w:rsidRPr="00891E1B">
        <w:rPr>
          <w:lang w:val="fr-CA"/>
        </w:rPr>
        <w:t>absence d</w:t>
      </w:r>
      <w:r w:rsidR="00C62E0C">
        <w:rPr>
          <w:lang w:val="fr-CA"/>
        </w:rPr>
        <w:t>’</w:t>
      </w:r>
      <w:r w:rsidRPr="00891E1B">
        <w:rPr>
          <w:lang w:val="fr-CA"/>
        </w:rPr>
        <w:t>action au niveau fédéral contraste défavorablement avec l</w:t>
      </w:r>
      <w:r w:rsidR="00C62E0C">
        <w:rPr>
          <w:lang w:val="fr-CA"/>
        </w:rPr>
        <w:t>’</w:t>
      </w:r>
      <w:r w:rsidRPr="00891E1B">
        <w:rPr>
          <w:lang w:val="fr-CA"/>
        </w:rPr>
        <w:t>UE et les États-Unis, qui ont tous deux pris des mesures importantes pour faire face aux risques uniques et graves liés à l</w:t>
      </w:r>
      <w:r w:rsidR="00C62E0C">
        <w:rPr>
          <w:lang w:val="fr-CA"/>
        </w:rPr>
        <w:t>’</w:t>
      </w:r>
      <w:r w:rsidRPr="00891E1B">
        <w:rPr>
          <w:lang w:val="fr-CA"/>
        </w:rPr>
        <w:t xml:space="preserve">IA dans le </w:t>
      </w:r>
      <w:r w:rsidR="00BB3F06">
        <w:rPr>
          <w:lang w:val="fr-CA"/>
        </w:rPr>
        <w:t xml:space="preserve">secteur </w:t>
      </w:r>
      <w:r w:rsidRPr="00891E1B">
        <w:rPr>
          <w:lang w:val="fr-CA"/>
        </w:rPr>
        <w:t>pénal.</w:t>
      </w:r>
      <w:r w:rsidR="00BE6D0C" w:rsidRPr="00A317D7">
        <w:rPr>
          <w:lang w:val="fr-CA"/>
        </w:rPr>
        <w:t xml:space="preserve"> </w:t>
      </w:r>
    </w:p>
    <w:p w14:paraId="21D1A2F7" w14:textId="77777777" w:rsidR="00B549D7" w:rsidRPr="00A317D7" w:rsidRDefault="00B549D7" w:rsidP="009F0A62">
      <w:pPr>
        <w:spacing w:after="0"/>
        <w:rPr>
          <w:lang w:val="fr-CA"/>
        </w:rPr>
      </w:pPr>
    </w:p>
    <w:p w14:paraId="627D95EF" w14:textId="4EC83A30" w:rsidR="000E025D" w:rsidRPr="00891E1B" w:rsidRDefault="00891E1B" w:rsidP="00C716B8">
      <w:pPr>
        <w:spacing w:after="0"/>
        <w:rPr>
          <w:lang w:val="fr-CA"/>
        </w:rPr>
      </w:pPr>
      <w:r w:rsidRPr="00891E1B">
        <w:rPr>
          <w:lang w:val="fr-CA"/>
        </w:rPr>
        <w:t xml:space="preserve">Le PNIT de la GRC et son récent </w:t>
      </w:r>
      <w:r w:rsidRPr="00B16A04">
        <w:rPr>
          <w:i/>
          <w:lang w:val="fr-CA"/>
        </w:rPr>
        <w:t>Plan de transparence</w:t>
      </w:r>
      <w:r w:rsidRPr="00891E1B">
        <w:rPr>
          <w:lang w:val="fr-CA"/>
        </w:rPr>
        <w:t xml:space="preserve"> sont des initiatives complexes qui intègrent bon nombre des principes relatifs à </w:t>
      </w:r>
      <w:r w:rsidR="00B16A04">
        <w:rPr>
          <w:lang w:val="fr-CA"/>
        </w:rPr>
        <w:t xml:space="preserve">la fiabilité de </w:t>
      </w:r>
      <w:r w:rsidRPr="00891E1B">
        <w:rPr>
          <w:lang w:val="fr-CA"/>
        </w:rPr>
        <w:t>l</w:t>
      </w:r>
      <w:r w:rsidR="00C62E0C">
        <w:rPr>
          <w:lang w:val="fr-CA"/>
        </w:rPr>
        <w:t>’</w:t>
      </w:r>
      <w:r w:rsidRPr="00891E1B">
        <w:rPr>
          <w:lang w:val="fr-CA"/>
        </w:rPr>
        <w:t xml:space="preserve">IA </w:t>
      </w:r>
      <w:r w:rsidR="00105D48" w:rsidRPr="00105D48">
        <w:rPr>
          <w:lang w:val="fr-CA"/>
        </w:rPr>
        <w:t>dans le secteur de la justice pénale</w:t>
      </w:r>
      <w:r w:rsidRPr="00891E1B">
        <w:rPr>
          <w:lang w:val="fr-CA"/>
        </w:rPr>
        <w:t xml:space="preserve">. Cependant, ni le PNIT ni le </w:t>
      </w:r>
      <w:r w:rsidRPr="00B16A04">
        <w:rPr>
          <w:i/>
          <w:lang w:val="fr-CA"/>
        </w:rPr>
        <w:t>Plan de transparence</w:t>
      </w:r>
      <w:r w:rsidRPr="00891E1B">
        <w:rPr>
          <w:lang w:val="fr-CA"/>
        </w:rPr>
        <w:t xml:space="preserve"> ne semblent inclure d</w:t>
      </w:r>
      <w:r w:rsidR="00C62E0C">
        <w:rPr>
          <w:lang w:val="fr-CA"/>
        </w:rPr>
        <w:t>’</w:t>
      </w:r>
      <w:r w:rsidRPr="00891E1B">
        <w:rPr>
          <w:lang w:val="fr-CA"/>
        </w:rPr>
        <w:t>informations détaillées sur les utilisations interdites, les catégories de risques ou les exigences en matière d</w:t>
      </w:r>
      <w:r w:rsidR="00C62E0C">
        <w:rPr>
          <w:lang w:val="fr-CA"/>
        </w:rPr>
        <w:t>’</w:t>
      </w:r>
      <w:r w:rsidRPr="00891E1B">
        <w:rPr>
          <w:lang w:val="fr-CA"/>
        </w:rPr>
        <w:t>atténuation. La CDO espère que ces questions seront abordées dans les futures politiques de la GRC</w:t>
      </w:r>
      <w:r w:rsidR="00B549D7" w:rsidRPr="00891E1B">
        <w:rPr>
          <w:lang w:val="fr-CA"/>
        </w:rPr>
        <w:t xml:space="preserve">. </w:t>
      </w:r>
      <w:bookmarkStart w:id="54" w:name="_Toc188902188"/>
      <w:bookmarkStart w:id="55" w:name="_Toc188900922"/>
    </w:p>
    <w:p w14:paraId="5891F6B6" w14:textId="77777777" w:rsidR="00C716B8" w:rsidRPr="00891E1B" w:rsidRDefault="00C716B8" w:rsidP="00C716B8">
      <w:pPr>
        <w:spacing w:after="0"/>
        <w:rPr>
          <w:lang w:val="fr-CA"/>
        </w:rPr>
      </w:pPr>
    </w:p>
    <w:p w14:paraId="74900899" w14:textId="38C934F4" w:rsidR="00B549D7" w:rsidRPr="00A317D7" w:rsidRDefault="00891E1B" w:rsidP="00F64420">
      <w:pPr>
        <w:pStyle w:val="Heading2"/>
        <w:rPr>
          <w:b w:val="0"/>
          <w:bCs/>
          <w:lang w:val="fr-CA"/>
        </w:rPr>
      </w:pPr>
      <w:bookmarkStart w:id="56" w:name="_Toc197599890"/>
      <w:bookmarkEnd w:id="54"/>
      <w:r w:rsidRPr="00891E1B">
        <w:rPr>
          <w:b w:val="0"/>
          <w:bCs/>
          <w:lang w:val="fr-CA"/>
        </w:rPr>
        <w:t>Législation, directives gouvernementales et politiques en matière d</w:t>
      </w:r>
      <w:r w:rsidR="00C62E0C">
        <w:rPr>
          <w:b w:val="0"/>
          <w:bCs/>
          <w:lang w:val="fr-CA"/>
        </w:rPr>
        <w:t>’</w:t>
      </w:r>
      <w:r w:rsidRPr="00891E1B">
        <w:rPr>
          <w:b w:val="0"/>
          <w:bCs/>
          <w:lang w:val="fr-CA"/>
        </w:rPr>
        <w:t>IA en Ontario</w:t>
      </w:r>
      <w:bookmarkEnd w:id="56"/>
    </w:p>
    <w:p w14:paraId="54A6D82E" w14:textId="77777777" w:rsidR="00B549D7" w:rsidRPr="00A317D7" w:rsidRDefault="00B549D7" w:rsidP="00755977">
      <w:pPr>
        <w:pStyle w:val="Heading3"/>
        <w:spacing w:before="0"/>
        <w:rPr>
          <w:lang w:val="fr-CA"/>
        </w:rPr>
      </w:pPr>
    </w:p>
    <w:p w14:paraId="3102EFA8" w14:textId="1D00E907" w:rsidR="00B549D7" w:rsidRPr="00A317D7" w:rsidRDefault="00891E1B" w:rsidP="00755977">
      <w:pPr>
        <w:spacing w:after="0"/>
        <w:rPr>
          <w:lang w:val="fr-CA"/>
        </w:rPr>
      </w:pPr>
      <w:r w:rsidRPr="00891E1B">
        <w:rPr>
          <w:lang w:val="fr-CA"/>
        </w:rPr>
        <w:t>Il existe trois initiatives en Ontario qui concernent les systèmes d</w:t>
      </w:r>
      <w:r w:rsidR="00C62E0C">
        <w:rPr>
          <w:lang w:val="fr-CA"/>
        </w:rPr>
        <w:t>’</w:t>
      </w:r>
      <w:r w:rsidRPr="00891E1B">
        <w:rPr>
          <w:lang w:val="fr-CA"/>
        </w:rPr>
        <w:t xml:space="preserve">IA utilisés dans le </w:t>
      </w:r>
      <w:r w:rsidR="00BB78A3">
        <w:rPr>
          <w:lang w:val="fr-CA"/>
        </w:rPr>
        <w:t>secteur</w:t>
      </w:r>
      <w:r w:rsidRPr="00891E1B">
        <w:rPr>
          <w:lang w:val="fr-CA"/>
        </w:rPr>
        <w:t xml:space="preserve"> pénal</w:t>
      </w:r>
      <w:r w:rsidR="00B549D7" w:rsidRPr="00A317D7">
        <w:rPr>
          <w:lang w:val="fr-CA"/>
        </w:rPr>
        <w:t xml:space="preserve">. </w:t>
      </w:r>
    </w:p>
    <w:p w14:paraId="63AE4E69" w14:textId="77777777" w:rsidR="00B549D7" w:rsidRPr="00A317D7" w:rsidRDefault="00B549D7" w:rsidP="00755977">
      <w:pPr>
        <w:spacing w:after="0"/>
        <w:rPr>
          <w:lang w:val="fr-CA"/>
        </w:rPr>
      </w:pPr>
    </w:p>
    <w:bookmarkEnd w:id="55"/>
    <w:p w14:paraId="1FC04DA1" w14:textId="73F5F8CF" w:rsidR="00B549D7" w:rsidRPr="00A317D7" w:rsidRDefault="00CC29A1" w:rsidP="00CC29A1">
      <w:pPr>
        <w:pStyle w:val="ListParagraph"/>
        <w:numPr>
          <w:ilvl w:val="0"/>
          <w:numId w:val="25"/>
        </w:numPr>
        <w:spacing w:after="0"/>
        <w:rPr>
          <w:b/>
          <w:lang w:val="fr-CA"/>
        </w:rPr>
      </w:pPr>
      <w:r w:rsidRPr="00CC29A1">
        <w:rPr>
          <w:b/>
          <w:i/>
          <w:iCs/>
          <w:lang w:val="fr-CA"/>
        </w:rPr>
        <w:t>Loi de 2024 visant à renforcer la sécurité et la confiance en matière de numérique</w:t>
      </w:r>
    </w:p>
    <w:p w14:paraId="2F6EE910" w14:textId="77777777" w:rsidR="00B549D7" w:rsidRPr="00A317D7" w:rsidRDefault="00B549D7" w:rsidP="000607D4">
      <w:pPr>
        <w:spacing w:after="0"/>
        <w:rPr>
          <w:lang w:val="fr-CA"/>
        </w:rPr>
      </w:pPr>
    </w:p>
    <w:p w14:paraId="4CEFE0E8" w14:textId="726D1BED" w:rsidR="00B549D7" w:rsidRPr="00CC29A1" w:rsidRDefault="00CC29A1" w:rsidP="009F0A62">
      <w:pPr>
        <w:spacing w:after="0"/>
        <w:rPr>
          <w:bCs/>
          <w:lang w:val="fr-CA"/>
        </w:rPr>
      </w:pPr>
      <w:r w:rsidRPr="00CC29A1">
        <w:rPr>
          <w:lang w:val="fr-CA"/>
        </w:rPr>
        <w:t>Le gouvernement de l</w:t>
      </w:r>
      <w:r w:rsidR="00C62E0C">
        <w:rPr>
          <w:lang w:val="fr-CA"/>
        </w:rPr>
        <w:t>’</w:t>
      </w:r>
      <w:r w:rsidRPr="00CC29A1">
        <w:rPr>
          <w:lang w:val="fr-CA"/>
        </w:rPr>
        <w:t xml:space="preserve">Ontario a adopté la </w:t>
      </w:r>
      <w:r w:rsidRPr="00CC29A1">
        <w:rPr>
          <w:i/>
          <w:lang w:val="fr-CA"/>
        </w:rPr>
        <w:t>Loi de 2024 visant à renforcer la sécurité et la confiance en matière de numérique</w:t>
      </w:r>
      <w:r>
        <w:rPr>
          <w:bCs/>
          <w:i/>
          <w:iCs/>
          <w:lang w:val="fr-CA"/>
        </w:rPr>
        <w:t xml:space="preserve"> </w:t>
      </w:r>
      <w:r w:rsidR="00B549D7" w:rsidRPr="00CC29A1">
        <w:rPr>
          <w:bCs/>
          <w:i/>
          <w:iCs/>
          <w:lang w:val="fr-CA"/>
        </w:rPr>
        <w:t>(</w:t>
      </w:r>
      <w:r w:rsidR="00BB78A3" w:rsidRPr="00BC468E">
        <w:rPr>
          <w:rFonts w:eastAsia="Times New Roman" w:cstheme="minorHAnsi"/>
          <w:i/>
          <w:kern w:val="0"/>
          <w:lang w:val="fr-CA" w:eastAsia="en-CA"/>
          <w14:ligatures w14:val="none"/>
        </w:rPr>
        <w:t>LRSCN</w:t>
      </w:r>
      <w:r w:rsidR="00B549D7" w:rsidRPr="00CC29A1">
        <w:rPr>
          <w:bCs/>
          <w:i/>
          <w:iCs/>
          <w:lang w:val="fr-CA"/>
        </w:rPr>
        <w:t xml:space="preserve">) </w:t>
      </w:r>
      <w:r>
        <w:rPr>
          <w:bCs/>
          <w:lang w:val="fr-CA"/>
        </w:rPr>
        <w:t xml:space="preserve">en novembre </w:t>
      </w:r>
      <w:r w:rsidR="00B549D7" w:rsidRPr="00CC29A1">
        <w:rPr>
          <w:bCs/>
          <w:lang w:val="fr-CA"/>
        </w:rPr>
        <w:t>2024</w:t>
      </w:r>
      <w:r w:rsidR="00B549D7" w:rsidRPr="00A317D7">
        <w:rPr>
          <w:rStyle w:val="EndnoteReference"/>
          <w:bCs/>
          <w:lang w:val="fr-CA"/>
        </w:rPr>
        <w:endnoteReference w:id="48"/>
      </w:r>
      <w:r>
        <w:rPr>
          <w:bCs/>
          <w:lang w:val="fr-CA"/>
        </w:rPr>
        <w:t>.</w:t>
      </w:r>
      <w:r w:rsidR="00B549D7" w:rsidRPr="00CC29A1">
        <w:rPr>
          <w:bCs/>
          <w:lang w:val="fr-CA"/>
        </w:rPr>
        <w:t xml:space="preserve"> </w:t>
      </w:r>
      <w:r w:rsidRPr="00CC29A1">
        <w:rPr>
          <w:bCs/>
          <w:lang w:val="fr-CA"/>
        </w:rPr>
        <w:t>L</w:t>
      </w:r>
      <w:r w:rsidR="00C62E0C">
        <w:rPr>
          <w:bCs/>
          <w:lang w:val="fr-CA"/>
        </w:rPr>
        <w:t>’</w:t>
      </w:r>
      <w:r w:rsidRPr="00CC29A1">
        <w:rPr>
          <w:bCs/>
          <w:lang w:val="fr-CA"/>
        </w:rPr>
        <w:t xml:space="preserve">objectif de la </w:t>
      </w:r>
      <w:r w:rsidR="00BB78A3" w:rsidRPr="00BC468E">
        <w:rPr>
          <w:rFonts w:eastAsia="Times New Roman" w:cstheme="minorHAnsi"/>
          <w:i/>
          <w:kern w:val="0"/>
          <w:lang w:val="fr-CA" w:eastAsia="en-CA"/>
          <w14:ligatures w14:val="none"/>
        </w:rPr>
        <w:t>LRSCN</w:t>
      </w:r>
      <w:r w:rsidR="00BB78A3" w:rsidRPr="00CC29A1">
        <w:rPr>
          <w:bCs/>
          <w:lang w:val="fr-CA"/>
        </w:rPr>
        <w:t xml:space="preserve"> </w:t>
      </w:r>
      <w:r w:rsidRPr="00CC29A1">
        <w:rPr>
          <w:bCs/>
          <w:lang w:val="fr-CA"/>
        </w:rPr>
        <w:t xml:space="preserve">est </w:t>
      </w:r>
      <w:r>
        <w:rPr>
          <w:bCs/>
          <w:lang w:val="fr-CA"/>
        </w:rPr>
        <w:t>« </w:t>
      </w:r>
      <w:r w:rsidR="00B549D7" w:rsidRPr="00CC29A1">
        <w:rPr>
          <w:bCs/>
          <w:lang w:val="fr-CA"/>
        </w:rPr>
        <w:t>…</w:t>
      </w:r>
      <w:r w:rsidR="00B16A04">
        <w:rPr>
          <w:bCs/>
          <w:lang w:val="fr-CA"/>
        </w:rPr>
        <w:t xml:space="preserve"> </w:t>
      </w:r>
      <w:r w:rsidR="00B549D7" w:rsidRPr="00CC29A1">
        <w:rPr>
          <w:bCs/>
          <w:lang w:val="fr-CA"/>
        </w:rPr>
        <w:t>[</w:t>
      </w:r>
      <w:r>
        <w:rPr>
          <w:bCs/>
          <w:lang w:val="fr-CA"/>
        </w:rPr>
        <w:t>d’é</w:t>
      </w:r>
      <w:r w:rsidR="00B549D7" w:rsidRPr="00CC29A1">
        <w:rPr>
          <w:bCs/>
          <w:lang w:val="fr-CA"/>
        </w:rPr>
        <w:t>]</w:t>
      </w:r>
      <w:r w:rsidRPr="00CC29A1">
        <w:rPr>
          <w:bCs/>
          <w:lang w:val="fr-CA"/>
        </w:rPr>
        <w:t>tablir une définition de l</w:t>
      </w:r>
      <w:r w:rsidR="00C62E0C">
        <w:rPr>
          <w:bCs/>
          <w:lang w:val="fr-CA"/>
        </w:rPr>
        <w:t>’</w:t>
      </w:r>
      <w:r w:rsidRPr="00CC29A1">
        <w:rPr>
          <w:bCs/>
          <w:lang w:val="fr-CA"/>
        </w:rPr>
        <w:t>intelligence artificielle (IA) pour favoriser la cohérence au sein du secteur public et d</w:t>
      </w:r>
      <w:r w:rsidR="00C62E0C">
        <w:rPr>
          <w:bCs/>
          <w:lang w:val="fr-CA"/>
        </w:rPr>
        <w:t>’</w:t>
      </w:r>
      <w:r w:rsidRPr="00CC29A1">
        <w:rPr>
          <w:bCs/>
          <w:lang w:val="fr-CA"/>
        </w:rPr>
        <w:t>établir des mesures de protection en vue d</w:t>
      </w:r>
      <w:r w:rsidR="00C62E0C">
        <w:rPr>
          <w:bCs/>
          <w:lang w:val="fr-CA"/>
        </w:rPr>
        <w:t>’</w:t>
      </w:r>
      <w:r w:rsidRPr="00CC29A1">
        <w:rPr>
          <w:bCs/>
          <w:lang w:val="fr-CA"/>
        </w:rPr>
        <w:t>une utilisation responsable des systèmes d</w:t>
      </w:r>
      <w:r w:rsidR="00C62E0C">
        <w:rPr>
          <w:bCs/>
          <w:lang w:val="fr-CA"/>
        </w:rPr>
        <w:t>’</w:t>
      </w:r>
      <w:r w:rsidRPr="00CC29A1">
        <w:rPr>
          <w:bCs/>
          <w:lang w:val="fr-CA"/>
        </w:rPr>
        <w:t>IA</w:t>
      </w:r>
      <w:r>
        <w:rPr>
          <w:bCs/>
          <w:lang w:val="fr-CA"/>
        </w:rPr>
        <w:t> »</w:t>
      </w:r>
      <w:r w:rsidR="00B549D7" w:rsidRPr="00A317D7">
        <w:rPr>
          <w:rStyle w:val="EndnoteReference"/>
          <w:bCs/>
          <w:lang w:val="fr-CA"/>
        </w:rPr>
        <w:endnoteReference w:id="49"/>
      </w:r>
      <w:r>
        <w:rPr>
          <w:bCs/>
          <w:lang w:val="fr-CA"/>
        </w:rPr>
        <w:t>.</w:t>
      </w:r>
      <w:r w:rsidR="00BE6D0C" w:rsidRPr="00CC29A1">
        <w:rPr>
          <w:bCs/>
          <w:lang w:val="fr-CA"/>
        </w:rPr>
        <w:t xml:space="preserve"> </w:t>
      </w:r>
    </w:p>
    <w:p w14:paraId="2993F2CF" w14:textId="77777777" w:rsidR="00B549D7" w:rsidRPr="00CC29A1" w:rsidRDefault="00B549D7" w:rsidP="009F0A62">
      <w:pPr>
        <w:spacing w:after="0"/>
        <w:rPr>
          <w:bCs/>
          <w:lang w:val="fr-CA"/>
        </w:rPr>
      </w:pPr>
    </w:p>
    <w:p w14:paraId="3A231B97" w14:textId="5B04C013" w:rsidR="00B549D7" w:rsidRPr="00A317D7" w:rsidRDefault="00CC29A1" w:rsidP="000607D4">
      <w:pPr>
        <w:pStyle w:val="Body"/>
        <w:spacing w:after="0"/>
        <w:rPr>
          <w:i/>
          <w:iCs/>
          <w:lang w:val="fr-CA"/>
        </w:rPr>
      </w:pPr>
      <w:r w:rsidRPr="00CC29A1">
        <w:rPr>
          <w:lang w:val="fr-CA"/>
        </w:rPr>
        <w:t xml:space="preserve">La CDO a beaucoup écrit sur la </w:t>
      </w:r>
      <w:r w:rsidR="00BB78A3" w:rsidRPr="00BC468E">
        <w:rPr>
          <w:rFonts w:eastAsia="Times New Roman" w:cstheme="minorHAnsi"/>
          <w:i/>
          <w:lang w:val="fr-CA" w:eastAsia="en-CA"/>
        </w:rPr>
        <w:t>LRSCN</w:t>
      </w:r>
      <w:r w:rsidR="00BB78A3" w:rsidRPr="00CC29A1">
        <w:rPr>
          <w:lang w:val="fr-CA"/>
        </w:rPr>
        <w:t xml:space="preserve"> </w:t>
      </w:r>
      <w:r w:rsidRPr="00CC29A1">
        <w:rPr>
          <w:lang w:val="fr-CA"/>
        </w:rPr>
        <w:t>et le projet de loi 194, qui a introduit la législation</w:t>
      </w:r>
      <w:r w:rsidR="00B549D7" w:rsidRPr="00A317D7">
        <w:rPr>
          <w:rStyle w:val="EndnoteReference"/>
          <w:lang w:val="fr-CA"/>
        </w:rPr>
        <w:endnoteReference w:id="50"/>
      </w:r>
      <w:r>
        <w:rPr>
          <w:lang w:val="fr-CA"/>
        </w:rPr>
        <w:t>.</w:t>
      </w:r>
      <w:r w:rsidR="00B549D7" w:rsidRPr="00CC29A1">
        <w:rPr>
          <w:lang w:val="fr-CA"/>
        </w:rPr>
        <w:t xml:space="preserve"> </w:t>
      </w:r>
      <w:r w:rsidRPr="00CC29A1">
        <w:rPr>
          <w:lang w:val="fr-CA"/>
        </w:rPr>
        <w:t xml:space="preserve">Nous avons conclu que la législation ne parvient pas à établir une IA fiable et </w:t>
      </w:r>
      <w:r w:rsidR="00442A4B">
        <w:rPr>
          <w:lang w:val="fr-CA"/>
        </w:rPr>
        <w:t>détaillée</w:t>
      </w:r>
      <w:r w:rsidRPr="00CC29A1">
        <w:rPr>
          <w:lang w:val="fr-CA"/>
        </w:rPr>
        <w:t xml:space="preserve"> pour les systèmes d</w:t>
      </w:r>
      <w:r w:rsidR="00C62E0C">
        <w:rPr>
          <w:lang w:val="fr-CA"/>
        </w:rPr>
        <w:t>’</w:t>
      </w:r>
      <w:r w:rsidRPr="00CC29A1">
        <w:rPr>
          <w:lang w:val="fr-CA"/>
        </w:rPr>
        <w:t>IA du secteur public en Ontario en raison de l</w:t>
      </w:r>
      <w:r w:rsidR="00C62E0C">
        <w:rPr>
          <w:lang w:val="fr-CA"/>
        </w:rPr>
        <w:t>’</w:t>
      </w:r>
      <w:r w:rsidRPr="00CC29A1">
        <w:rPr>
          <w:lang w:val="fr-CA"/>
        </w:rPr>
        <w:t>absence de protections des droits de la personne, d</w:t>
      </w:r>
      <w:r w:rsidR="00C62E0C">
        <w:rPr>
          <w:lang w:val="fr-CA"/>
        </w:rPr>
        <w:t>’</w:t>
      </w:r>
      <w:r w:rsidRPr="00CC29A1">
        <w:rPr>
          <w:lang w:val="fr-CA"/>
        </w:rPr>
        <w:t>exigences en matière de divulgation, de catégories de risques et d</w:t>
      </w:r>
      <w:r w:rsidR="00C62E0C">
        <w:rPr>
          <w:lang w:val="fr-CA"/>
        </w:rPr>
        <w:t>’</w:t>
      </w:r>
      <w:r w:rsidRPr="00CC29A1">
        <w:rPr>
          <w:lang w:val="fr-CA"/>
        </w:rPr>
        <w:t>autres dispositions. L</w:t>
      </w:r>
      <w:r>
        <w:rPr>
          <w:lang w:val="fr-CA"/>
        </w:rPr>
        <w:t xml:space="preserve">a </w:t>
      </w:r>
      <w:r w:rsidR="00BB78A3" w:rsidRPr="00BC468E">
        <w:rPr>
          <w:rFonts w:eastAsia="Times New Roman" w:cstheme="minorHAnsi"/>
          <w:i/>
          <w:lang w:val="fr-CA" w:eastAsia="en-CA"/>
        </w:rPr>
        <w:t>LRSCN</w:t>
      </w:r>
      <w:r w:rsidR="00BB78A3" w:rsidRPr="00CC29A1">
        <w:rPr>
          <w:lang w:val="fr-CA"/>
        </w:rPr>
        <w:t xml:space="preserve"> </w:t>
      </w:r>
      <w:r w:rsidRPr="00CC29A1">
        <w:rPr>
          <w:lang w:val="fr-CA"/>
        </w:rPr>
        <w:t>ne s</w:t>
      </w:r>
      <w:r w:rsidR="00C62E0C">
        <w:rPr>
          <w:lang w:val="fr-CA"/>
        </w:rPr>
        <w:t>’</w:t>
      </w:r>
      <w:r w:rsidRPr="00CC29A1">
        <w:rPr>
          <w:lang w:val="fr-CA"/>
        </w:rPr>
        <w:t>applique pas à l</w:t>
      </w:r>
      <w:r w:rsidR="00C62E0C">
        <w:rPr>
          <w:lang w:val="fr-CA"/>
        </w:rPr>
        <w:t>’</w:t>
      </w:r>
      <w:r w:rsidRPr="00CC29A1">
        <w:rPr>
          <w:lang w:val="fr-CA"/>
        </w:rPr>
        <w:t>IA utilisée dans le système de justice pénale de l</w:t>
      </w:r>
      <w:r w:rsidR="00C62E0C">
        <w:rPr>
          <w:lang w:val="fr-CA"/>
        </w:rPr>
        <w:t>’</w:t>
      </w:r>
      <w:r w:rsidRPr="00CC29A1">
        <w:rPr>
          <w:lang w:val="fr-CA"/>
        </w:rPr>
        <w:t>Ontario</w:t>
      </w:r>
      <w:r w:rsidR="00B549D7" w:rsidRPr="00A317D7">
        <w:rPr>
          <w:rStyle w:val="EndnoteReference"/>
          <w:rFonts w:eastAsia="Times New Roman" w:cstheme="minorHAnsi"/>
          <w:color w:val="1A1A1A"/>
          <w:lang w:val="fr-CA"/>
        </w:rPr>
        <w:endnoteReference w:id="51"/>
      </w:r>
      <w:r>
        <w:rPr>
          <w:lang w:val="fr-CA"/>
        </w:rPr>
        <w:t>.</w:t>
      </w:r>
      <w:r w:rsidR="00B549D7" w:rsidRPr="00A317D7">
        <w:rPr>
          <w:rFonts w:eastAsia="Times New Roman" w:cstheme="minorHAnsi"/>
          <w:color w:val="1A1A1A"/>
          <w:lang w:val="fr-CA"/>
        </w:rPr>
        <w:t xml:space="preserve"> </w:t>
      </w:r>
    </w:p>
    <w:p w14:paraId="6FE63649" w14:textId="77777777" w:rsidR="00B549D7" w:rsidRPr="00A317D7" w:rsidRDefault="00B549D7" w:rsidP="009F0A62">
      <w:pPr>
        <w:spacing w:after="0"/>
        <w:rPr>
          <w:rFonts w:eastAsia="Times New Roman" w:cstheme="minorHAnsi"/>
          <w:color w:val="1A1A1A"/>
          <w:lang w:val="fr-CA"/>
        </w:rPr>
      </w:pPr>
    </w:p>
    <w:p w14:paraId="42FC1C7B" w14:textId="0ADF980A" w:rsidR="00B549D7" w:rsidRPr="00A317D7" w:rsidRDefault="00CC29A1" w:rsidP="00CC29A1">
      <w:pPr>
        <w:pStyle w:val="ListParagraph"/>
        <w:numPr>
          <w:ilvl w:val="0"/>
          <w:numId w:val="25"/>
        </w:numPr>
        <w:spacing w:after="0"/>
        <w:rPr>
          <w:rFonts w:eastAsia="Times New Roman" w:cstheme="minorHAnsi"/>
          <w:b/>
          <w:bCs/>
          <w:color w:val="1A1A1A"/>
          <w:lang w:val="fr-CA"/>
        </w:rPr>
      </w:pPr>
      <w:r w:rsidRPr="00CC29A1">
        <w:rPr>
          <w:b/>
          <w:bCs/>
          <w:lang w:val="fr-CA"/>
        </w:rPr>
        <w:t>Directive sur l’utilisation responsable de l’</w:t>
      </w:r>
      <w:r>
        <w:rPr>
          <w:b/>
          <w:bCs/>
          <w:lang w:val="fr-CA"/>
        </w:rPr>
        <w:t>IA</w:t>
      </w:r>
    </w:p>
    <w:p w14:paraId="247D97B8" w14:textId="77777777" w:rsidR="00B549D7" w:rsidRPr="00A317D7" w:rsidRDefault="00B549D7" w:rsidP="00595B4A">
      <w:pPr>
        <w:spacing w:after="0"/>
        <w:rPr>
          <w:lang w:val="fr-CA"/>
        </w:rPr>
      </w:pPr>
    </w:p>
    <w:p w14:paraId="092C90E3" w14:textId="251418E0" w:rsidR="00B549D7" w:rsidRPr="00A80A0C" w:rsidRDefault="00747AC9" w:rsidP="000607D4">
      <w:pPr>
        <w:spacing w:after="0"/>
        <w:rPr>
          <w:lang w:val="fr-CA"/>
        </w:rPr>
      </w:pPr>
      <w:r>
        <w:rPr>
          <w:lang w:val="fr-CA"/>
        </w:rPr>
        <w:t xml:space="preserve">Après la </w:t>
      </w:r>
      <w:r w:rsidRPr="00BC468E">
        <w:rPr>
          <w:rFonts w:eastAsia="Times New Roman" w:cstheme="minorHAnsi"/>
          <w:i/>
          <w:kern w:val="0"/>
          <w:lang w:val="fr-CA" w:eastAsia="en-CA"/>
          <w14:ligatures w14:val="none"/>
        </w:rPr>
        <w:t>LRSCN</w:t>
      </w:r>
      <w:r>
        <w:rPr>
          <w:rFonts w:eastAsia="Times New Roman" w:cstheme="minorHAnsi"/>
          <w:i/>
          <w:kern w:val="0"/>
          <w:lang w:val="fr-CA" w:eastAsia="en-CA"/>
          <w14:ligatures w14:val="none"/>
        </w:rPr>
        <w:t xml:space="preserve">, </w:t>
      </w:r>
      <w:r>
        <w:rPr>
          <w:lang w:val="fr-CA"/>
        </w:rPr>
        <w:t>le</w:t>
      </w:r>
      <w:r w:rsidR="00A80A0C" w:rsidRPr="00A80A0C">
        <w:rPr>
          <w:lang w:val="fr-CA"/>
        </w:rPr>
        <w:t xml:space="preserve"> gouvernement provincial a publi</w:t>
      </w:r>
      <w:r>
        <w:rPr>
          <w:lang w:val="fr-CA"/>
        </w:rPr>
        <w:t>é</w:t>
      </w:r>
      <w:r w:rsidR="00A80A0C" w:rsidRPr="00A80A0C">
        <w:rPr>
          <w:lang w:val="fr-CA"/>
        </w:rPr>
        <w:t>, en décembre 2024, sa «</w:t>
      </w:r>
      <w:r w:rsidR="00C62E0C">
        <w:rPr>
          <w:lang w:val="fr-CA"/>
        </w:rPr>
        <w:t> </w:t>
      </w:r>
      <w:r w:rsidR="007114BC">
        <w:rPr>
          <w:lang w:val="fr-CA"/>
        </w:rPr>
        <w:t>d</w:t>
      </w:r>
      <w:r w:rsidR="00A80A0C" w:rsidRPr="00A80A0C">
        <w:rPr>
          <w:lang w:val="fr-CA"/>
        </w:rPr>
        <w:t>irective sur l</w:t>
      </w:r>
      <w:r w:rsidR="00C62E0C">
        <w:rPr>
          <w:lang w:val="fr-CA"/>
        </w:rPr>
        <w:t>’</w:t>
      </w:r>
      <w:r w:rsidR="00A80A0C" w:rsidRPr="00A80A0C">
        <w:rPr>
          <w:lang w:val="fr-CA"/>
        </w:rPr>
        <w:t>utilisation responsable de l</w:t>
      </w:r>
      <w:r w:rsidR="00C62E0C">
        <w:rPr>
          <w:lang w:val="fr-CA"/>
        </w:rPr>
        <w:t>’</w:t>
      </w:r>
      <w:r w:rsidR="00A80A0C" w:rsidRPr="00A80A0C">
        <w:rPr>
          <w:lang w:val="fr-CA"/>
        </w:rPr>
        <w:t>intelligence artificielle</w:t>
      </w:r>
      <w:r w:rsidR="00C62E0C">
        <w:rPr>
          <w:lang w:val="fr-CA"/>
        </w:rPr>
        <w:t> </w:t>
      </w:r>
      <w:r w:rsidR="00A80A0C" w:rsidRPr="00A80A0C">
        <w:rPr>
          <w:lang w:val="fr-CA"/>
        </w:rPr>
        <w:t>» (</w:t>
      </w:r>
      <w:r w:rsidR="007114BC">
        <w:rPr>
          <w:lang w:val="fr-CA"/>
        </w:rPr>
        <w:t>d</w:t>
      </w:r>
      <w:r w:rsidR="00A80A0C" w:rsidRPr="00A80A0C">
        <w:rPr>
          <w:lang w:val="fr-CA"/>
        </w:rPr>
        <w:t>irective de l</w:t>
      </w:r>
      <w:r w:rsidR="00C62E0C">
        <w:rPr>
          <w:lang w:val="fr-CA"/>
        </w:rPr>
        <w:t>’</w:t>
      </w:r>
      <w:r w:rsidR="00A80A0C" w:rsidRPr="00A80A0C">
        <w:rPr>
          <w:lang w:val="fr-CA"/>
        </w:rPr>
        <w:t>Ontario sur l</w:t>
      </w:r>
      <w:r w:rsidR="00C62E0C">
        <w:rPr>
          <w:lang w:val="fr-CA"/>
        </w:rPr>
        <w:t>’</w:t>
      </w:r>
      <w:r w:rsidR="00A80A0C" w:rsidRPr="00A80A0C">
        <w:rPr>
          <w:lang w:val="fr-CA"/>
        </w:rPr>
        <w:t>IA</w:t>
      </w:r>
      <w:r w:rsidR="007114BC">
        <w:rPr>
          <w:lang w:val="fr-CA"/>
        </w:rPr>
        <w:t>)</w:t>
      </w:r>
      <w:r w:rsidR="00B549D7" w:rsidRPr="00A317D7">
        <w:rPr>
          <w:rStyle w:val="EndnoteReference"/>
          <w:lang w:val="fr-CA"/>
        </w:rPr>
        <w:endnoteReference w:id="52"/>
      </w:r>
      <w:r w:rsidR="00A80A0C">
        <w:rPr>
          <w:lang w:val="fr-CA"/>
        </w:rPr>
        <w:t>.</w:t>
      </w:r>
      <w:r w:rsidR="00B549D7" w:rsidRPr="00A80A0C">
        <w:rPr>
          <w:lang w:val="fr-CA"/>
        </w:rPr>
        <w:t xml:space="preserve"> </w:t>
      </w:r>
      <w:r w:rsidR="00A80A0C" w:rsidRPr="00A80A0C">
        <w:rPr>
          <w:lang w:val="fr-CA"/>
        </w:rPr>
        <w:t xml:space="preserve">La </w:t>
      </w:r>
      <w:r w:rsidR="007114BC">
        <w:rPr>
          <w:lang w:val="fr-CA"/>
        </w:rPr>
        <w:t>d</w:t>
      </w:r>
      <w:r w:rsidR="00A80A0C" w:rsidRPr="00A80A0C">
        <w:rPr>
          <w:lang w:val="fr-CA"/>
        </w:rPr>
        <w:t>irective de l</w:t>
      </w:r>
      <w:r w:rsidR="00C62E0C">
        <w:rPr>
          <w:lang w:val="fr-CA"/>
        </w:rPr>
        <w:t>’</w:t>
      </w:r>
      <w:r w:rsidR="00A80A0C" w:rsidRPr="00A80A0C">
        <w:rPr>
          <w:lang w:val="fr-CA"/>
        </w:rPr>
        <w:t>Ontario sur l</w:t>
      </w:r>
      <w:r w:rsidR="00C62E0C">
        <w:rPr>
          <w:lang w:val="fr-CA"/>
        </w:rPr>
        <w:t>’</w:t>
      </w:r>
      <w:r w:rsidR="00A80A0C" w:rsidRPr="00A80A0C">
        <w:rPr>
          <w:lang w:val="fr-CA"/>
        </w:rPr>
        <w:t xml:space="preserve">IA </w:t>
      </w:r>
      <w:r w:rsidR="00A80A0C" w:rsidRPr="00A80A0C">
        <w:rPr>
          <w:lang w:val="fr-CA"/>
        </w:rPr>
        <w:lastRenderedPageBreak/>
        <w:t xml:space="preserve">est plus exhaustive que </w:t>
      </w:r>
      <w:r w:rsidR="00A80A0C">
        <w:rPr>
          <w:lang w:val="fr-CA"/>
        </w:rPr>
        <w:t xml:space="preserve">la </w:t>
      </w:r>
      <w:r w:rsidRPr="00BC468E">
        <w:rPr>
          <w:rFonts w:eastAsia="Times New Roman" w:cstheme="minorHAnsi"/>
          <w:i/>
          <w:kern w:val="0"/>
          <w:lang w:val="fr-CA" w:eastAsia="en-CA"/>
          <w14:ligatures w14:val="none"/>
        </w:rPr>
        <w:t>LRSCN</w:t>
      </w:r>
      <w:r w:rsidRPr="00A80A0C">
        <w:rPr>
          <w:lang w:val="fr-CA"/>
        </w:rPr>
        <w:t xml:space="preserve"> </w:t>
      </w:r>
      <w:r w:rsidR="00A80A0C" w:rsidRPr="00A80A0C">
        <w:rPr>
          <w:lang w:val="fr-CA"/>
        </w:rPr>
        <w:t xml:space="preserve">et répond à plusieurs préoccupations actuelles </w:t>
      </w:r>
      <w:r w:rsidR="00A80A0C">
        <w:rPr>
          <w:lang w:val="fr-CA"/>
        </w:rPr>
        <w:t xml:space="preserve">de la </w:t>
      </w:r>
      <w:r w:rsidR="00A80A0C" w:rsidRPr="00A80A0C">
        <w:rPr>
          <w:lang w:val="fr-CA"/>
        </w:rPr>
        <w:t>CDO concernant la politique provinciale en matière d</w:t>
      </w:r>
      <w:r w:rsidR="00C62E0C">
        <w:rPr>
          <w:lang w:val="fr-CA"/>
        </w:rPr>
        <w:t>’</w:t>
      </w:r>
      <w:r w:rsidR="00A80A0C" w:rsidRPr="00A80A0C">
        <w:rPr>
          <w:lang w:val="fr-CA"/>
        </w:rPr>
        <w:t>IA</w:t>
      </w:r>
      <w:r w:rsidR="00B549D7" w:rsidRPr="00A80A0C">
        <w:rPr>
          <w:lang w:val="fr-CA"/>
        </w:rPr>
        <w:t xml:space="preserve">. </w:t>
      </w:r>
    </w:p>
    <w:p w14:paraId="0F0B1AD3" w14:textId="77777777" w:rsidR="00747AC9" w:rsidRDefault="00747AC9" w:rsidP="000607D4">
      <w:pPr>
        <w:spacing w:after="0"/>
        <w:rPr>
          <w:lang w:val="fr-CA"/>
        </w:rPr>
      </w:pPr>
    </w:p>
    <w:p w14:paraId="1A9DB207" w14:textId="3F94AFD0" w:rsidR="00B549D7" w:rsidRPr="00A317D7" w:rsidRDefault="007114BC" w:rsidP="000607D4">
      <w:pPr>
        <w:spacing w:after="0"/>
        <w:rPr>
          <w:lang w:val="fr-CA"/>
        </w:rPr>
      </w:pPr>
      <w:r w:rsidRPr="007114BC">
        <w:rPr>
          <w:lang w:val="fr-CA"/>
        </w:rPr>
        <w:t xml:space="preserve">Malgré </w:t>
      </w:r>
      <w:r w:rsidR="00442A4B">
        <w:rPr>
          <w:lang w:val="fr-CA"/>
        </w:rPr>
        <w:t>l</w:t>
      </w:r>
      <w:r w:rsidRPr="007114BC">
        <w:rPr>
          <w:lang w:val="fr-CA"/>
        </w:rPr>
        <w:t>es points forts</w:t>
      </w:r>
      <w:r w:rsidR="00442A4B">
        <w:rPr>
          <w:lang w:val="fr-CA"/>
        </w:rPr>
        <w:t xml:space="preserve"> de la </w:t>
      </w:r>
      <w:r w:rsidR="00442A4B" w:rsidRPr="007114BC">
        <w:rPr>
          <w:lang w:val="fr-CA"/>
        </w:rPr>
        <w:t>directive de l</w:t>
      </w:r>
      <w:r w:rsidR="00442A4B">
        <w:rPr>
          <w:lang w:val="fr-CA"/>
        </w:rPr>
        <w:t>’</w:t>
      </w:r>
      <w:r w:rsidR="00442A4B" w:rsidRPr="007114BC">
        <w:rPr>
          <w:lang w:val="fr-CA"/>
        </w:rPr>
        <w:t>Ontario sur l</w:t>
      </w:r>
      <w:r w:rsidR="00442A4B">
        <w:rPr>
          <w:lang w:val="fr-CA"/>
        </w:rPr>
        <w:t>’</w:t>
      </w:r>
      <w:r w:rsidR="00442A4B" w:rsidRPr="007114BC">
        <w:rPr>
          <w:lang w:val="fr-CA"/>
        </w:rPr>
        <w:t>IA</w:t>
      </w:r>
      <w:r w:rsidRPr="007114BC">
        <w:rPr>
          <w:lang w:val="fr-CA"/>
        </w:rPr>
        <w:t>, l</w:t>
      </w:r>
      <w:r w:rsidR="00C62E0C">
        <w:rPr>
          <w:lang w:val="fr-CA"/>
        </w:rPr>
        <w:t>’</w:t>
      </w:r>
      <w:r w:rsidRPr="007114BC">
        <w:rPr>
          <w:lang w:val="fr-CA"/>
        </w:rPr>
        <w:t>analyse préliminaire de la CDO révèle qu</w:t>
      </w:r>
      <w:r w:rsidR="00442A4B">
        <w:rPr>
          <w:lang w:val="fr-CA"/>
        </w:rPr>
        <w:t xml:space="preserve">’elle </w:t>
      </w:r>
      <w:r w:rsidRPr="007114BC">
        <w:rPr>
          <w:lang w:val="fr-CA"/>
        </w:rPr>
        <w:t>comporte plusieurs lacunes ou ambig</w:t>
      </w:r>
      <w:r w:rsidR="00C62E0C">
        <w:rPr>
          <w:lang w:val="fr-CA"/>
        </w:rPr>
        <w:t>üi</w:t>
      </w:r>
      <w:r w:rsidRPr="007114BC">
        <w:rPr>
          <w:lang w:val="fr-CA"/>
        </w:rPr>
        <w:t>tés importantes</w:t>
      </w:r>
      <w:r w:rsidR="00881D50" w:rsidRPr="00A317D7">
        <w:rPr>
          <w:rStyle w:val="EndnoteReference"/>
          <w:lang w:val="fr-CA"/>
        </w:rPr>
        <w:endnoteReference w:id="53"/>
      </w:r>
      <w:r>
        <w:rPr>
          <w:lang w:val="fr-CA"/>
        </w:rPr>
        <w:t>.</w:t>
      </w:r>
      <w:r w:rsidR="00881D50" w:rsidRPr="007114BC">
        <w:rPr>
          <w:lang w:val="fr-CA"/>
        </w:rPr>
        <w:t xml:space="preserve"> </w:t>
      </w:r>
      <w:r>
        <w:rPr>
          <w:lang w:val="fr-CA"/>
        </w:rPr>
        <w:t>Par exemple</w:t>
      </w:r>
      <w:r w:rsidR="00B549D7" w:rsidRPr="00A317D7">
        <w:rPr>
          <w:lang w:val="fr-CA"/>
        </w:rPr>
        <w:t xml:space="preserve">, </w:t>
      </w:r>
      <w:r>
        <w:rPr>
          <w:lang w:val="fr-CA"/>
        </w:rPr>
        <w:t xml:space="preserve">la </w:t>
      </w:r>
      <w:r w:rsidRPr="007114BC">
        <w:rPr>
          <w:lang w:val="fr-CA"/>
        </w:rPr>
        <w:t>directive</w:t>
      </w:r>
      <w:r>
        <w:rPr>
          <w:lang w:val="fr-CA"/>
        </w:rPr>
        <w:t> </w:t>
      </w:r>
      <w:r w:rsidR="00B549D7" w:rsidRPr="00A317D7">
        <w:rPr>
          <w:lang w:val="fr-CA"/>
        </w:rPr>
        <w:t xml:space="preserve">: </w:t>
      </w:r>
    </w:p>
    <w:p w14:paraId="61222446" w14:textId="77777777" w:rsidR="00B549D7" w:rsidRPr="00A317D7" w:rsidRDefault="00B549D7" w:rsidP="000607D4">
      <w:pPr>
        <w:spacing w:after="0"/>
        <w:rPr>
          <w:lang w:val="fr-CA"/>
        </w:rPr>
      </w:pPr>
    </w:p>
    <w:p w14:paraId="575573C1" w14:textId="4C222A5D" w:rsidR="007114BC" w:rsidRPr="007114BC" w:rsidRDefault="007114BC" w:rsidP="007114BC">
      <w:pPr>
        <w:pStyle w:val="ListParagraph"/>
        <w:numPr>
          <w:ilvl w:val="0"/>
          <w:numId w:val="14"/>
        </w:numPr>
        <w:spacing w:after="0"/>
        <w:rPr>
          <w:lang w:val="fr-CA"/>
        </w:rPr>
      </w:pPr>
      <w:r w:rsidRPr="007114BC">
        <w:rPr>
          <w:lang w:val="fr-CA"/>
        </w:rPr>
        <w:t>ne s</w:t>
      </w:r>
      <w:r w:rsidR="00C62E0C">
        <w:rPr>
          <w:lang w:val="fr-CA"/>
        </w:rPr>
        <w:t>’</w:t>
      </w:r>
      <w:r w:rsidRPr="007114BC">
        <w:rPr>
          <w:lang w:val="fr-CA"/>
        </w:rPr>
        <w:t>applique explicitement à aucun organisme d</w:t>
      </w:r>
      <w:r w:rsidR="00C62E0C">
        <w:rPr>
          <w:lang w:val="fr-CA"/>
        </w:rPr>
        <w:t>’</w:t>
      </w:r>
      <w:r w:rsidRPr="007114BC">
        <w:rPr>
          <w:lang w:val="fr-CA"/>
        </w:rPr>
        <w:t>application de la loi ni service de police en Ontario</w:t>
      </w:r>
      <w:r w:rsidR="00C62E0C">
        <w:rPr>
          <w:lang w:val="fr-CA"/>
        </w:rPr>
        <w:t> </w:t>
      </w:r>
      <w:r>
        <w:rPr>
          <w:lang w:val="fr-CA"/>
        </w:rPr>
        <w:t>;</w:t>
      </w:r>
    </w:p>
    <w:p w14:paraId="044684A4" w14:textId="55BFFDFC" w:rsidR="007114BC" w:rsidRPr="007114BC" w:rsidRDefault="007114BC" w:rsidP="007114BC">
      <w:pPr>
        <w:pStyle w:val="ListParagraph"/>
        <w:numPr>
          <w:ilvl w:val="0"/>
          <w:numId w:val="14"/>
        </w:numPr>
        <w:spacing w:after="0"/>
        <w:rPr>
          <w:lang w:val="fr-CA"/>
        </w:rPr>
      </w:pPr>
      <w:r w:rsidRPr="007114BC">
        <w:rPr>
          <w:lang w:val="fr-CA"/>
        </w:rPr>
        <w:t>n</w:t>
      </w:r>
      <w:r w:rsidR="00C62E0C">
        <w:rPr>
          <w:lang w:val="fr-CA"/>
        </w:rPr>
        <w:t>’</w:t>
      </w:r>
      <w:r w:rsidRPr="007114BC">
        <w:rPr>
          <w:lang w:val="fr-CA"/>
        </w:rPr>
        <w:t>établit pas de critères ou d</w:t>
      </w:r>
      <w:r w:rsidR="00C62E0C">
        <w:rPr>
          <w:lang w:val="fr-CA"/>
        </w:rPr>
        <w:t>’</w:t>
      </w:r>
      <w:r w:rsidRPr="007114BC">
        <w:rPr>
          <w:lang w:val="fr-CA"/>
        </w:rPr>
        <w:t>interdictions cohérents ou transparents en matière de risques liés à l</w:t>
      </w:r>
      <w:r w:rsidR="00C62E0C">
        <w:rPr>
          <w:lang w:val="fr-CA"/>
        </w:rPr>
        <w:t>’</w:t>
      </w:r>
      <w:r w:rsidRPr="007114BC">
        <w:rPr>
          <w:lang w:val="fr-CA"/>
        </w:rPr>
        <w:t>IA</w:t>
      </w:r>
      <w:r w:rsidR="00C62E0C">
        <w:rPr>
          <w:lang w:val="fr-CA"/>
        </w:rPr>
        <w:t> </w:t>
      </w:r>
      <w:r>
        <w:rPr>
          <w:lang w:val="fr-CA"/>
        </w:rPr>
        <w:t>;</w:t>
      </w:r>
    </w:p>
    <w:p w14:paraId="205B2CAB" w14:textId="417FA256" w:rsidR="007114BC" w:rsidRPr="007114BC" w:rsidRDefault="007114BC" w:rsidP="007114BC">
      <w:pPr>
        <w:pStyle w:val="ListParagraph"/>
        <w:numPr>
          <w:ilvl w:val="0"/>
          <w:numId w:val="14"/>
        </w:numPr>
        <w:spacing w:after="0"/>
        <w:rPr>
          <w:lang w:val="fr-CA"/>
        </w:rPr>
      </w:pPr>
      <w:r w:rsidRPr="007114BC">
        <w:rPr>
          <w:lang w:val="fr-CA"/>
        </w:rPr>
        <w:t>n</w:t>
      </w:r>
      <w:r w:rsidR="00C62E0C">
        <w:rPr>
          <w:lang w:val="fr-CA"/>
        </w:rPr>
        <w:t>’</w:t>
      </w:r>
      <w:r w:rsidRPr="007114BC">
        <w:rPr>
          <w:lang w:val="fr-CA"/>
        </w:rPr>
        <w:t>établit pas d</w:t>
      </w:r>
      <w:r w:rsidR="00C62E0C">
        <w:rPr>
          <w:lang w:val="fr-CA"/>
        </w:rPr>
        <w:t>’</w:t>
      </w:r>
      <w:r w:rsidRPr="007114BC">
        <w:rPr>
          <w:lang w:val="fr-CA"/>
        </w:rPr>
        <w:t>obligations de divulgation cohérentes ou exhaustives</w:t>
      </w:r>
      <w:r w:rsidR="00C62E0C">
        <w:rPr>
          <w:lang w:val="fr-CA"/>
        </w:rPr>
        <w:t> </w:t>
      </w:r>
      <w:r>
        <w:rPr>
          <w:lang w:val="fr-CA"/>
        </w:rPr>
        <w:t>;</w:t>
      </w:r>
    </w:p>
    <w:p w14:paraId="51BD4E33" w14:textId="4487C2E2" w:rsidR="00B549D7" w:rsidRPr="00A317D7" w:rsidRDefault="007114BC" w:rsidP="007114BC">
      <w:pPr>
        <w:pStyle w:val="ListParagraph"/>
        <w:numPr>
          <w:ilvl w:val="0"/>
          <w:numId w:val="14"/>
        </w:numPr>
        <w:spacing w:after="0"/>
        <w:contextualSpacing w:val="0"/>
        <w:rPr>
          <w:lang w:val="fr-CA"/>
        </w:rPr>
      </w:pPr>
      <w:r w:rsidRPr="007114BC">
        <w:rPr>
          <w:lang w:val="fr-CA"/>
        </w:rPr>
        <w:t>n</w:t>
      </w:r>
      <w:r w:rsidR="00C62E0C">
        <w:rPr>
          <w:lang w:val="fr-CA"/>
        </w:rPr>
        <w:t>’</w:t>
      </w:r>
      <w:r w:rsidRPr="007114BC">
        <w:rPr>
          <w:lang w:val="fr-CA"/>
        </w:rPr>
        <w:t>établit pas de régime de recours et ne prévoit pas de dispositions relatives à l</w:t>
      </w:r>
      <w:r w:rsidR="00C62E0C">
        <w:rPr>
          <w:lang w:val="fr-CA"/>
        </w:rPr>
        <w:t>’</w:t>
      </w:r>
      <w:r w:rsidRPr="007114BC">
        <w:rPr>
          <w:lang w:val="fr-CA"/>
        </w:rPr>
        <w:t>accès à la justice.</w:t>
      </w:r>
      <w:r w:rsidR="00B549D7" w:rsidRPr="00A317D7">
        <w:rPr>
          <w:lang w:val="fr-CA"/>
        </w:rPr>
        <w:t xml:space="preserve"> </w:t>
      </w:r>
    </w:p>
    <w:p w14:paraId="1E3C8E8A" w14:textId="77777777" w:rsidR="00B549D7" w:rsidRPr="00A317D7" w:rsidRDefault="00B549D7" w:rsidP="009F0A62">
      <w:pPr>
        <w:spacing w:after="0"/>
        <w:rPr>
          <w:rFonts w:eastAsia="Times New Roman" w:cstheme="minorHAnsi"/>
          <w:color w:val="1A1A1A"/>
          <w:lang w:val="fr-CA"/>
        </w:rPr>
      </w:pPr>
    </w:p>
    <w:p w14:paraId="143500FA" w14:textId="73D0861D" w:rsidR="00B549D7" w:rsidRPr="00A317D7" w:rsidRDefault="009F317C" w:rsidP="00352C67">
      <w:pPr>
        <w:pStyle w:val="ListParagraph"/>
        <w:numPr>
          <w:ilvl w:val="0"/>
          <w:numId w:val="25"/>
        </w:numPr>
        <w:rPr>
          <w:b/>
          <w:bCs/>
          <w:lang w:val="fr-CA"/>
        </w:rPr>
      </w:pPr>
      <w:bookmarkStart w:id="57" w:name="_Toc188900923"/>
      <w:bookmarkStart w:id="58" w:name="_Toc188902190"/>
      <w:r w:rsidRPr="009F317C">
        <w:rPr>
          <w:b/>
          <w:bCs/>
          <w:lang w:val="fr-CA"/>
        </w:rPr>
        <w:t xml:space="preserve">Politique </w:t>
      </w:r>
      <w:r w:rsidR="000D19BF">
        <w:rPr>
          <w:b/>
          <w:bCs/>
          <w:lang w:val="fr-CA"/>
        </w:rPr>
        <w:t xml:space="preserve">relative à </w:t>
      </w:r>
      <w:r w:rsidRPr="009F317C">
        <w:rPr>
          <w:b/>
          <w:bCs/>
          <w:lang w:val="fr-CA"/>
        </w:rPr>
        <w:t>l</w:t>
      </w:r>
      <w:r w:rsidR="00C62E0C">
        <w:rPr>
          <w:b/>
          <w:bCs/>
          <w:lang w:val="fr-CA"/>
        </w:rPr>
        <w:t>’</w:t>
      </w:r>
      <w:r w:rsidRPr="009F317C">
        <w:rPr>
          <w:b/>
          <w:bCs/>
          <w:lang w:val="fr-CA"/>
        </w:rPr>
        <w:t>utilisation de</w:t>
      </w:r>
      <w:r w:rsidR="000D19BF">
        <w:rPr>
          <w:b/>
          <w:bCs/>
          <w:lang w:val="fr-CA"/>
        </w:rPr>
        <w:t xml:space="preserve">s </w:t>
      </w:r>
      <w:r w:rsidRPr="009F317C">
        <w:rPr>
          <w:b/>
          <w:bCs/>
          <w:lang w:val="fr-CA"/>
        </w:rPr>
        <w:t>technologie</w:t>
      </w:r>
      <w:r w:rsidR="000D19BF">
        <w:rPr>
          <w:b/>
          <w:bCs/>
          <w:lang w:val="fr-CA"/>
        </w:rPr>
        <w:t>s</w:t>
      </w:r>
      <w:r w:rsidRPr="009F317C">
        <w:rPr>
          <w:b/>
          <w:bCs/>
          <w:lang w:val="fr-CA"/>
        </w:rPr>
        <w:t xml:space="preserve"> d</w:t>
      </w:r>
      <w:r w:rsidR="00C62E0C">
        <w:rPr>
          <w:b/>
          <w:bCs/>
          <w:lang w:val="fr-CA"/>
        </w:rPr>
        <w:t>’</w:t>
      </w:r>
      <w:r w:rsidRPr="009F317C">
        <w:rPr>
          <w:b/>
          <w:bCs/>
          <w:lang w:val="fr-CA"/>
        </w:rPr>
        <w:t xml:space="preserve">IA </w:t>
      </w:r>
      <w:r>
        <w:rPr>
          <w:b/>
          <w:bCs/>
          <w:lang w:val="fr-CA"/>
        </w:rPr>
        <w:t xml:space="preserve">de la </w:t>
      </w:r>
      <w:bookmarkEnd w:id="57"/>
      <w:bookmarkEnd w:id="58"/>
      <w:r w:rsidR="00352C67" w:rsidRPr="00352C67">
        <w:rPr>
          <w:b/>
          <w:bCs/>
          <w:lang w:val="fr-CA"/>
        </w:rPr>
        <w:t>Commission de services policiers</w:t>
      </w:r>
      <w:r w:rsidR="00352C67">
        <w:rPr>
          <w:b/>
          <w:bCs/>
          <w:lang w:val="fr-CA"/>
        </w:rPr>
        <w:t xml:space="preserve"> de Toronto</w:t>
      </w:r>
    </w:p>
    <w:p w14:paraId="6FFED6B0" w14:textId="1F8A57DF" w:rsidR="00B549D7" w:rsidRPr="00A317D7" w:rsidRDefault="007114BC" w:rsidP="009F0A62">
      <w:pPr>
        <w:spacing w:after="0"/>
        <w:rPr>
          <w:rFonts w:cstheme="minorHAnsi"/>
          <w:lang w:val="fr-CA"/>
        </w:rPr>
      </w:pPr>
      <w:r w:rsidRPr="007114BC">
        <w:rPr>
          <w:lang w:val="fr-CA"/>
        </w:rPr>
        <w:t>La politique la plus importante en matière d</w:t>
      </w:r>
      <w:r w:rsidR="00C62E0C">
        <w:rPr>
          <w:lang w:val="fr-CA"/>
        </w:rPr>
        <w:t>’</w:t>
      </w:r>
      <w:r w:rsidRPr="007114BC">
        <w:rPr>
          <w:lang w:val="fr-CA"/>
        </w:rPr>
        <w:t xml:space="preserve">IA dans le </w:t>
      </w:r>
      <w:r w:rsidR="00352C67">
        <w:rPr>
          <w:lang w:val="fr-CA"/>
        </w:rPr>
        <w:t xml:space="preserve">système de justice </w:t>
      </w:r>
      <w:r w:rsidRPr="007114BC">
        <w:rPr>
          <w:lang w:val="fr-CA"/>
        </w:rPr>
        <w:t>pénal</w:t>
      </w:r>
      <w:r w:rsidR="00352C67">
        <w:rPr>
          <w:lang w:val="fr-CA"/>
        </w:rPr>
        <w:t>e</w:t>
      </w:r>
      <w:r w:rsidRPr="007114BC">
        <w:rPr>
          <w:lang w:val="fr-CA"/>
        </w:rPr>
        <w:t xml:space="preserve"> au Canada est la </w:t>
      </w:r>
      <w:r w:rsidR="00805668">
        <w:rPr>
          <w:lang w:val="fr-CA"/>
        </w:rPr>
        <w:t>p</w:t>
      </w:r>
      <w:r w:rsidRPr="007114BC">
        <w:rPr>
          <w:lang w:val="fr-CA"/>
        </w:rPr>
        <w:t xml:space="preserve">olitique </w:t>
      </w:r>
      <w:r w:rsidR="000D19BF" w:rsidRPr="000D19BF">
        <w:rPr>
          <w:lang w:val="fr-CA"/>
        </w:rPr>
        <w:t xml:space="preserve">relative à l’utilisation des technologies d’IA </w:t>
      </w:r>
      <w:r w:rsidR="000D19BF">
        <w:rPr>
          <w:lang w:val="fr-CA"/>
        </w:rPr>
        <w:t>(</w:t>
      </w:r>
      <w:r w:rsidRPr="007114BC">
        <w:rPr>
          <w:lang w:val="fr-CA"/>
        </w:rPr>
        <w:t>la «</w:t>
      </w:r>
      <w:r w:rsidR="00C62E0C">
        <w:rPr>
          <w:lang w:val="fr-CA"/>
        </w:rPr>
        <w:t> </w:t>
      </w:r>
      <w:r w:rsidRPr="007114BC">
        <w:rPr>
          <w:lang w:val="fr-CA"/>
        </w:rPr>
        <w:t>Politique sur l</w:t>
      </w:r>
      <w:r w:rsidR="00C62E0C">
        <w:rPr>
          <w:lang w:val="fr-CA"/>
        </w:rPr>
        <w:t>’</w:t>
      </w:r>
      <w:r w:rsidRPr="007114BC">
        <w:rPr>
          <w:lang w:val="fr-CA"/>
        </w:rPr>
        <w:t xml:space="preserve">IA </w:t>
      </w:r>
      <w:r>
        <w:rPr>
          <w:lang w:val="fr-CA"/>
        </w:rPr>
        <w:t>de la CSPT </w:t>
      </w:r>
      <w:r w:rsidRPr="007114BC">
        <w:rPr>
          <w:lang w:val="fr-CA"/>
        </w:rPr>
        <w:t>») de la Commission de</w:t>
      </w:r>
      <w:r>
        <w:rPr>
          <w:lang w:val="fr-CA"/>
        </w:rPr>
        <w:t xml:space="preserve"> </w:t>
      </w:r>
      <w:r w:rsidRPr="007114BC">
        <w:rPr>
          <w:lang w:val="fr-CA"/>
        </w:rPr>
        <w:t>service</w:t>
      </w:r>
      <w:r w:rsidR="00352C67">
        <w:rPr>
          <w:lang w:val="fr-CA"/>
        </w:rPr>
        <w:t>s</w:t>
      </w:r>
      <w:r w:rsidRPr="007114BC">
        <w:rPr>
          <w:lang w:val="fr-CA"/>
        </w:rPr>
        <w:t xml:space="preserve"> polic</w:t>
      </w:r>
      <w:r w:rsidR="00352C67">
        <w:rPr>
          <w:lang w:val="fr-CA"/>
        </w:rPr>
        <w:t>iers</w:t>
      </w:r>
      <w:r w:rsidRPr="007114BC">
        <w:rPr>
          <w:lang w:val="fr-CA"/>
        </w:rPr>
        <w:t xml:space="preserve"> de Toronto</w:t>
      </w:r>
      <w:r>
        <w:rPr>
          <w:lang w:val="fr-CA"/>
        </w:rPr>
        <w:t xml:space="preserve"> (CSPT</w:t>
      </w:r>
      <w:r w:rsidR="00B549D7" w:rsidRPr="00A317D7">
        <w:rPr>
          <w:lang w:val="fr-CA"/>
        </w:rPr>
        <w:t>)</w:t>
      </w:r>
      <w:r w:rsidR="00B549D7" w:rsidRPr="00A317D7">
        <w:rPr>
          <w:rStyle w:val="EndnoteReference"/>
          <w:rFonts w:cstheme="minorHAnsi"/>
          <w:lang w:val="fr-CA"/>
        </w:rPr>
        <w:endnoteReference w:id="54"/>
      </w:r>
      <w:r>
        <w:rPr>
          <w:lang w:val="fr-CA"/>
        </w:rPr>
        <w:t>.</w:t>
      </w:r>
      <w:r w:rsidR="00B549D7" w:rsidRPr="00A317D7">
        <w:rPr>
          <w:sz w:val="21"/>
          <w:szCs w:val="21"/>
          <w:lang w:val="fr-CA"/>
        </w:rPr>
        <w:t xml:space="preserve"> </w:t>
      </w:r>
    </w:p>
    <w:p w14:paraId="1E7F1AFF" w14:textId="77777777" w:rsidR="00B549D7" w:rsidRPr="00A317D7" w:rsidRDefault="00B549D7" w:rsidP="009F0A62">
      <w:pPr>
        <w:spacing w:after="0"/>
        <w:rPr>
          <w:lang w:val="fr-CA"/>
        </w:rPr>
      </w:pPr>
    </w:p>
    <w:p w14:paraId="0D3B6243" w14:textId="49935F1B" w:rsidR="00B549D7" w:rsidRPr="00A317D7" w:rsidRDefault="007114BC" w:rsidP="009F0A62">
      <w:pPr>
        <w:rPr>
          <w:rFonts w:cstheme="minorHAnsi"/>
          <w:lang w:val="fr-CA"/>
        </w:rPr>
      </w:pPr>
      <w:r w:rsidRPr="007114BC">
        <w:rPr>
          <w:rFonts w:cstheme="minorHAnsi"/>
          <w:lang w:val="fr-CA"/>
        </w:rPr>
        <w:t xml:space="preserve">La </w:t>
      </w:r>
      <w:r w:rsidRPr="007114BC">
        <w:rPr>
          <w:lang w:val="fr-CA"/>
        </w:rPr>
        <w:t>Politique sur l</w:t>
      </w:r>
      <w:r w:rsidR="00C62E0C">
        <w:rPr>
          <w:lang w:val="fr-CA"/>
        </w:rPr>
        <w:t>’</w:t>
      </w:r>
      <w:r w:rsidRPr="007114BC">
        <w:rPr>
          <w:lang w:val="fr-CA"/>
        </w:rPr>
        <w:t xml:space="preserve">IA </w:t>
      </w:r>
      <w:r>
        <w:rPr>
          <w:lang w:val="fr-CA"/>
        </w:rPr>
        <w:t>de la CSPT</w:t>
      </w:r>
      <w:r w:rsidR="009F317C">
        <w:rPr>
          <w:lang w:val="fr-CA"/>
        </w:rPr>
        <w:t xml:space="preserve"> </w:t>
      </w:r>
      <w:r w:rsidR="009F317C" w:rsidRPr="009F317C">
        <w:rPr>
          <w:rFonts w:cstheme="minorHAnsi"/>
          <w:lang w:val="fr-CA"/>
        </w:rPr>
        <w:t xml:space="preserve">intègre de nombreux principes </w:t>
      </w:r>
      <w:r w:rsidR="00105D48">
        <w:rPr>
          <w:rFonts w:cstheme="minorHAnsi"/>
          <w:lang w:val="fr-CA"/>
        </w:rPr>
        <w:t xml:space="preserve">en </w:t>
      </w:r>
      <w:r w:rsidR="009F317C" w:rsidRPr="009F317C">
        <w:rPr>
          <w:rFonts w:cstheme="minorHAnsi"/>
          <w:lang w:val="fr-CA"/>
        </w:rPr>
        <w:t>matière d</w:t>
      </w:r>
      <w:r w:rsidR="00C62E0C">
        <w:rPr>
          <w:rFonts w:cstheme="minorHAnsi"/>
          <w:lang w:val="fr-CA"/>
        </w:rPr>
        <w:t>’</w:t>
      </w:r>
      <w:r w:rsidR="00105D48" w:rsidRPr="00105D48">
        <w:rPr>
          <w:rFonts w:cstheme="minorHAnsi"/>
          <w:lang w:val="fr-CA"/>
        </w:rPr>
        <w:t>IA fiable dans le secteur de la justice pénale</w:t>
      </w:r>
      <w:r w:rsidR="009F317C" w:rsidRPr="009F317C">
        <w:rPr>
          <w:rFonts w:cstheme="minorHAnsi"/>
          <w:lang w:val="fr-CA"/>
        </w:rPr>
        <w:t>. Par exemple, la Politique sur l</w:t>
      </w:r>
      <w:r w:rsidR="00C62E0C">
        <w:rPr>
          <w:rFonts w:cstheme="minorHAnsi"/>
          <w:lang w:val="fr-CA"/>
        </w:rPr>
        <w:t>’</w:t>
      </w:r>
      <w:r w:rsidR="009F317C" w:rsidRPr="009F317C">
        <w:rPr>
          <w:rFonts w:cstheme="minorHAnsi"/>
          <w:lang w:val="fr-CA"/>
        </w:rPr>
        <w:t>IA de la CSPT</w:t>
      </w:r>
      <w:r w:rsidR="009F317C">
        <w:rPr>
          <w:rFonts w:cstheme="minorHAnsi"/>
          <w:lang w:val="fr-CA"/>
        </w:rPr>
        <w:t> </w:t>
      </w:r>
      <w:r w:rsidR="00B549D7" w:rsidRPr="00A317D7">
        <w:rPr>
          <w:rFonts w:cstheme="minorHAnsi"/>
          <w:lang w:val="fr-CA"/>
        </w:rPr>
        <w:t>:</w:t>
      </w:r>
    </w:p>
    <w:p w14:paraId="3A354B9A" w14:textId="696549A2" w:rsidR="00B549D7" w:rsidRPr="00A317D7" w:rsidRDefault="009F317C" w:rsidP="009F317C">
      <w:pPr>
        <w:pStyle w:val="ListParagraph"/>
        <w:numPr>
          <w:ilvl w:val="0"/>
          <w:numId w:val="20"/>
        </w:numPr>
        <w:spacing w:before="100" w:beforeAutospacing="1" w:after="0"/>
        <w:contextualSpacing w:val="0"/>
        <w:rPr>
          <w:lang w:val="fr-CA"/>
        </w:rPr>
      </w:pPr>
      <w:r w:rsidRPr="009F317C">
        <w:rPr>
          <w:lang w:val="fr-CA"/>
        </w:rPr>
        <w:t>Reconna</w:t>
      </w:r>
      <w:r w:rsidR="00805668">
        <w:rPr>
          <w:lang w:val="fr-CA"/>
        </w:rPr>
        <w:t>i</w:t>
      </w:r>
      <w:r w:rsidRPr="009F317C">
        <w:rPr>
          <w:lang w:val="fr-CA"/>
        </w:rPr>
        <w:t>t que la technologie peut soulever de nouvelles préoccupations en matière de «</w:t>
      </w:r>
      <w:r w:rsidR="00C62E0C">
        <w:rPr>
          <w:lang w:val="fr-CA"/>
        </w:rPr>
        <w:t> </w:t>
      </w:r>
      <w:r w:rsidRPr="009F317C">
        <w:rPr>
          <w:lang w:val="fr-CA"/>
        </w:rPr>
        <w:t>vie privée</w:t>
      </w:r>
      <w:r w:rsidR="00EF2CC3">
        <w:rPr>
          <w:lang w:val="fr-CA"/>
        </w:rPr>
        <w:t xml:space="preserve"> et de </w:t>
      </w:r>
      <w:r w:rsidRPr="009F317C">
        <w:rPr>
          <w:lang w:val="fr-CA"/>
        </w:rPr>
        <w:t>droits (y compris les droits à la liberté d</w:t>
      </w:r>
      <w:r w:rsidR="00C62E0C">
        <w:rPr>
          <w:lang w:val="fr-CA"/>
        </w:rPr>
        <w:t>’</w:t>
      </w:r>
      <w:r w:rsidRPr="009F317C">
        <w:rPr>
          <w:lang w:val="fr-CA"/>
        </w:rPr>
        <w:t>expression, à la liberté d</w:t>
      </w:r>
      <w:r w:rsidR="00C62E0C">
        <w:rPr>
          <w:lang w:val="fr-CA"/>
        </w:rPr>
        <w:t>’</w:t>
      </w:r>
      <w:r w:rsidRPr="009F317C">
        <w:rPr>
          <w:lang w:val="fr-CA"/>
        </w:rPr>
        <w:t>association et à la liberté de réunion, à la dignité et à l</w:t>
      </w:r>
      <w:r w:rsidR="00C62E0C">
        <w:rPr>
          <w:lang w:val="fr-CA"/>
        </w:rPr>
        <w:t>’</w:t>
      </w:r>
      <w:r w:rsidRPr="009F317C">
        <w:rPr>
          <w:lang w:val="fr-CA"/>
        </w:rPr>
        <w:t>égalité des personnes concernées par [les applications de l</w:t>
      </w:r>
      <w:r w:rsidR="00C62E0C">
        <w:rPr>
          <w:lang w:val="fr-CA"/>
        </w:rPr>
        <w:t>’</w:t>
      </w:r>
      <w:r w:rsidRPr="009F317C">
        <w:rPr>
          <w:lang w:val="fr-CA"/>
        </w:rPr>
        <w:t>IA</w:t>
      </w:r>
      <w:r w:rsidR="00B549D7" w:rsidRPr="00A317D7">
        <w:rPr>
          <w:lang w:val="fr-CA"/>
        </w:rPr>
        <w:t>]</w:t>
      </w:r>
      <w:r>
        <w:rPr>
          <w:lang w:val="fr-CA"/>
        </w:rPr>
        <w:t> »</w:t>
      </w:r>
      <w:r w:rsidR="00B549D7" w:rsidRPr="00A317D7">
        <w:rPr>
          <w:rStyle w:val="EndnoteReference"/>
          <w:rFonts w:cstheme="minorHAnsi"/>
          <w:lang w:val="fr-CA"/>
        </w:rPr>
        <w:endnoteReference w:id="55"/>
      </w:r>
      <w:r>
        <w:rPr>
          <w:lang w:val="fr-CA"/>
        </w:rPr>
        <w:t>.</w:t>
      </w:r>
      <w:r w:rsidR="00B549D7" w:rsidRPr="00A317D7">
        <w:rPr>
          <w:lang w:val="fr-CA"/>
        </w:rPr>
        <w:t xml:space="preserve"> </w:t>
      </w:r>
    </w:p>
    <w:p w14:paraId="29A233AE" w14:textId="25A78174" w:rsidR="00B549D7" w:rsidRPr="00A317D7" w:rsidRDefault="009F317C" w:rsidP="009F317C">
      <w:pPr>
        <w:pStyle w:val="ListParagraph"/>
        <w:numPr>
          <w:ilvl w:val="0"/>
          <w:numId w:val="20"/>
        </w:numPr>
        <w:spacing w:before="100" w:beforeAutospacing="1" w:after="0"/>
        <w:contextualSpacing w:val="0"/>
        <w:rPr>
          <w:color w:val="000000"/>
          <w:lang w:val="fr-CA"/>
        </w:rPr>
      </w:pPr>
      <w:r w:rsidRPr="009F317C">
        <w:rPr>
          <w:lang w:val="fr-CA"/>
        </w:rPr>
        <w:t>Nécessite une technologie conforme à des principes directeurs détaillés, notamment la légalité, l</w:t>
      </w:r>
      <w:r w:rsidR="00C62E0C">
        <w:rPr>
          <w:lang w:val="fr-CA"/>
        </w:rPr>
        <w:t>’</w:t>
      </w:r>
      <w:r w:rsidRPr="009F317C">
        <w:rPr>
          <w:lang w:val="fr-CA"/>
        </w:rPr>
        <w:t>équité, la fiabilité, la justifiabilité, la responsabilité personnelle et organisationnelle, la transparence, la confidentialité et l</w:t>
      </w:r>
      <w:r w:rsidR="00C62E0C">
        <w:rPr>
          <w:lang w:val="fr-CA"/>
        </w:rPr>
        <w:t>’</w:t>
      </w:r>
      <w:r w:rsidRPr="009F317C">
        <w:rPr>
          <w:lang w:val="fr-CA"/>
        </w:rPr>
        <w:t>engagement significatif</w:t>
      </w:r>
      <w:r w:rsidR="00B549D7" w:rsidRPr="00A317D7">
        <w:rPr>
          <w:rStyle w:val="EndnoteReference"/>
          <w:rFonts w:cstheme="minorHAnsi"/>
          <w:color w:val="000000"/>
          <w:lang w:val="fr-CA"/>
        </w:rPr>
        <w:endnoteReference w:id="56"/>
      </w:r>
      <w:r w:rsidR="00805668">
        <w:rPr>
          <w:color w:val="000000"/>
          <w:lang w:val="fr-CA"/>
        </w:rPr>
        <w:t>.</w:t>
      </w:r>
      <w:r w:rsidR="00B549D7" w:rsidRPr="00A317D7">
        <w:rPr>
          <w:color w:val="000000"/>
          <w:lang w:val="fr-CA"/>
        </w:rPr>
        <w:tab/>
      </w:r>
    </w:p>
    <w:p w14:paraId="4EA560CB" w14:textId="01E8165E" w:rsidR="00B549D7" w:rsidRPr="00A317D7" w:rsidRDefault="009F317C" w:rsidP="00480691">
      <w:pPr>
        <w:pStyle w:val="ListParagraph"/>
        <w:numPr>
          <w:ilvl w:val="0"/>
          <w:numId w:val="20"/>
        </w:numPr>
        <w:spacing w:before="100" w:beforeAutospacing="1" w:after="0"/>
        <w:contextualSpacing w:val="0"/>
        <w:rPr>
          <w:lang w:val="fr-CA"/>
        </w:rPr>
      </w:pPr>
      <w:r w:rsidRPr="009F317C">
        <w:rPr>
          <w:lang w:val="fr-CA"/>
        </w:rPr>
        <w:t>Comprend des critères de risque explicites, notamment les «</w:t>
      </w:r>
      <w:r w:rsidR="00C62E0C">
        <w:rPr>
          <w:lang w:val="fr-CA"/>
        </w:rPr>
        <w:t> </w:t>
      </w:r>
      <w:r w:rsidRPr="009F317C">
        <w:rPr>
          <w:lang w:val="fr-CA"/>
        </w:rPr>
        <w:t xml:space="preserve">technologies </w:t>
      </w:r>
      <w:r w:rsidR="00480691" w:rsidRPr="00480691">
        <w:rPr>
          <w:lang w:val="fr-CA"/>
        </w:rPr>
        <w:t>à risque extrêmement élevé</w:t>
      </w:r>
      <w:r w:rsidR="00C62E0C">
        <w:rPr>
          <w:lang w:val="fr-CA"/>
        </w:rPr>
        <w:t> </w:t>
      </w:r>
      <w:r w:rsidRPr="009F317C">
        <w:rPr>
          <w:lang w:val="fr-CA"/>
        </w:rPr>
        <w:t>» qui ne peuvent être envisagées pour adoption, y compris les systèmes d</w:t>
      </w:r>
      <w:r w:rsidR="00C62E0C">
        <w:rPr>
          <w:lang w:val="fr-CA"/>
        </w:rPr>
        <w:t>’</w:t>
      </w:r>
      <w:r w:rsidRPr="009F317C">
        <w:rPr>
          <w:lang w:val="fr-CA"/>
        </w:rPr>
        <w:t>IA qui entra</w:t>
      </w:r>
      <w:r w:rsidR="00805668">
        <w:rPr>
          <w:lang w:val="fr-CA"/>
        </w:rPr>
        <w:t>i</w:t>
      </w:r>
      <w:r w:rsidRPr="009F317C">
        <w:rPr>
          <w:lang w:val="fr-CA"/>
        </w:rPr>
        <w:t>nent une «</w:t>
      </w:r>
      <w:r w:rsidR="00C62E0C">
        <w:rPr>
          <w:lang w:val="fr-CA"/>
        </w:rPr>
        <w:t> </w:t>
      </w:r>
      <w:r w:rsidRPr="009F317C">
        <w:rPr>
          <w:lang w:val="fr-CA"/>
        </w:rPr>
        <w:t>surveillance de masse définie comme le contrôle d</w:t>
      </w:r>
      <w:r w:rsidR="00C62E0C">
        <w:rPr>
          <w:lang w:val="fr-CA"/>
        </w:rPr>
        <w:t>’</w:t>
      </w:r>
      <w:r w:rsidRPr="009F317C">
        <w:rPr>
          <w:lang w:val="fr-CA"/>
        </w:rPr>
        <w:t>une population ou d</w:t>
      </w:r>
      <w:r w:rsidR="00C62E0C">
        <w:rPr>
          <w:lang w:val="fr-CA"/>
        </w:rPr>
        <w:t>’</w:t>
      </w:r>
      <w:r w:rsidRPr="009F317C">
        <w:rPr>
          <w:lang w:val="fr-CA"/>
        </w:rPr>
        <w:t>une partie importante d</w:t>
      </w:r>
      <w:r w:rsidR="00C62E0C">
        <w:rPr>
          <w:lang w:val="fr-CA"/>
        </w:rPr>
        <w:t>’</w:t>
      </w:r>
      <w:r w:rsidRPr="009F317C">
        <w:rPr>
          <w:lang w:val="fr-CA"/>
        </w:rPr>
        <w:t>une population</w:t>
      </w:r>
      <w:r w:rsidR="00C62E0C">
        <w:rPr>
          <w:lang w:val="fr-CA"/>
        </w:rPr>
        <w:t>… </w:t>
      </w:r>
      <w:r w:rsidRPr="009F317C">
        <w:rPr>
          <w:lang w:val="fr-CA"/>
        </w:rPr>
        <w:t>» et «</w:t>
      </w:r>
      <w:r w:rsidR="00C62E0C">
        <w:rPr>
          <w:lang w:val="fr-CA"/>
        </w:rPr>
        <w:t> </w:t>
      </w:r>
      <w:r w:rsidRPr="009F317C">
        <w:rPr>
          <w:lang w:val="fr-CA"/>
        </w:rPr>
        <w:t>toute application connue ou susceptible de causer un préjudice ou d</w:t>
      </w:r>
      <w:r w:rsidR="00C62E0C">
        <w:rPr>
          <w:lang w:val="fr-CA"/>
        </w:rPr>
        <w:t>’</w:t>
      </w:r>
      <w:r w:rsidRPr="009F317C">
        <w:rPr>
          <w:lang w:val="fr-CA"/>
        </w:rPr>
        <w:t>avoir un</w:t>
      </w:r>
      <w:r w:rsidR="00C00B53">
        <w:rPr>
          <w:lang w:val="fr-CA"/>
        </w:rPr>
        <w:t xml:space="preserve">e incidence </w:t>
      </w:r>
      <w:r w:rsidRPr="009F317C">
        <w:rPr>
          <w:lang w:val="fr-CA"/>
        </w:rPr>
        <w:t>sur les droits individuels, malgré l</w:t>
      </w:r>
      <w:r w:rsidR="00C62E0C">
        <w:rPr>
          <w:lang w:val="fr-CA"/>
        </w:rPr>
        <w:t>’</w:t>
      </w:r>
      <w:r w:rsidRPr="009F317C">
        <w:rPr>
          <w:lang w:val="fr-CA"/>
        </w:rPr>
        <w:t>utilisation de techniques d</w:t>
      </w:r>
      <w:r w:rsidR="00C62E0C">
        <w:rPr>
          <w:lang w:val="fr-CA"/>
        </w:rPr>
        <w:t>’</w:t>
      </w:r>
      <w:r w:rsidRPr="009F317C">
        <w:rPr>
          <w:lang w:val="fr-CA"/>
        </w:rPr>
        <w:t>atténuation, en raison de biais ou d</w:t>
      </w:r>
      <w:r w:rsidR="00C62E0C">
        <w:rPr>
          <w:lang w:val="fr-CA"/>
        </w:rPr>
        <w:t>’</w:t>
      </w:r>
      <w:r w:rsidRPr="009F317C">
        <w:rPr>
          <w:lang w:val="fr-CA"/>
        </w:rPr>
        <w:t>autres défauts</w:t>
      </w:r>
      <w:r w:rsidR="00C62E0C">
        <w:rPr>
          <w:lang w:val="fr-CA"/>
        </w:rPr>
        <w:t> </w:t>
      </w:r>
      <w:r w:rsidRPr="009F317C">
        <w:rPr>
          <w:lang w:val="fr-CA"/>
        </w:rPr>
        <w:t>»</w:t>
      </w:r>
      <w:r w:rsidR="00B549D7" w:rsidRPr="00A317D7">
        <w:rPr>
          <w:rStyle w:val="EndnoteReference"/>
          <w:rFonts w:cstheme="minorHAnsi"/>
          <w:lang w:val="fr-CA"/>
        </w:rPr>
        <w:endnoteReference w:id="57"/>
      </w:r>
      <w:r>
        <w:rPr>
          <w:lang w:val="fr-CA"/>
        </w:rPr>
        <w:t>.</w:t>
      </w:r>
    </w:p>
    <w:p w14:paraId="397F29A2" w14:textId="2F3973B6" w:rsidR="00B549D7" w:rsidRPr="00A317D7" w:rsidRDefault="009F317C" w:rsidP="009F317C">
      <w:pPr>
        <w:pStyle w:val="ListParagraph"/>
        <w:numPr>
          <w:ilvl w:val="0"/>
          <w:numId w:val="20"/>
        </w:numPr>
        <w:spacing w:before="100" w:beforeAutospacing="1" w:after="0"/>
        <w:contextualSpacing w:val="0"/>
        <w:rPr>
          <w:lang w:val="fr-CA"/>
        </w:rPr>
      </w:pPr>
      <w:r w:rsidRPr="009F317C">
        <w:rPr>
          <w:rFonts w:cstheme="minorHAnsi"/>
          <w:lang w:val="fr-CA"/>
        </w:rPr>
        <w:t>Comprend les obligations relatives aux limitations des finalités, aux exigences en matière de données, aux exigences de divulgation, aux procédures d</w:t>
      </w:r>
      <w:r w:rsidR="00C62E0C">
        <w:rPr>
          <w:rFonts w:cstheme="minorHAnsi"/>
          <w:lang w:val="fr-CA"/>
        </w:rPr>
        <w:t>’</w:t>
      </w:r>
      <w:r w:rsidRPr="009F317C">
        <w:rPr>
          <w:rFonts w:cstheme="minorHAnsi"/>
          <w:lang w:val="fr-CA"/>
        </w:rPr>
        <w:t>approbation et de notification, aux analyses d</w:t>
      </w:r>
      <w:r w:rsidR="00C62E0C">
        <w:rPr>
          <w:rFonts w:cstheme="minorHAnsi"/>
          <w:lang w:val="fr-CA"/>
        </w:rPr>
        <w:t>’</w:t>
      </w:r>
      <w:r w:rsidRPr="009F317C">
        <w:rPr>
          <w:rFonts w:cstheme="minorHAnsi"/>
          <w:lang w:val="fr-CA"/>
        </w:rPr>
        <w:t>i</w:t>
      </w:r>
      <w:r w:rsidR="00C00B53">
        <w:rPr>
          <w:rFonts w:cstheme="minorHAnsi"/>
          <w:lang w:val="fr-CA"/>
        </w:rPr>
        <w:t xml:space="preserve">ncidence </w:t>
      </w:r>
      <w:r w:rsidRPr="009F317C">
        <w:rPr>
          <w:rFonts w:cstheme="minorHAnsi"/>
          <w:lang w:val="fr-CA"/>
        </w:rPr>
        <w:t>et aux stratégies d</w:t>
      </w:r>
      <w:r w:rsidR="00C62E0C">
        <w:rPr>
          <w:rFonts w:cstheme="minorHAnsi"/>
          <w:lang w:val="fr-CA"/>
        </w:rPr>
        <w:t>’</w:t>
      </w:r>
      <w:r w:rsidRPr="009F317C">
        <w:rPr>
          <w:rFonts w:cstheme="minorHAnsi"/>
          <w:lang w:val="fr-CA"/>
        </w:rPr>
        <w:t>engagement du public</w:t>
      </w:r>
      <w:r w:rsidR="00B549D7" w:rsidRPr="00A317D7">
        <w:rPr>
          <w:rFonts w:cstheme="minorHAnsi"/>
          <w:color w:val="222021"/>
          <w:shd w:val="clear" w:color="auto" w:fill="FFFFFF"/>
          <w:lang w:val="fr-CA"/>
        </w:rPr>
        <w:t>.</w:t>
      </w:r>
    </w:p>
    <w:p w14:paraId="0BF027C1" w14:textId="77777777" w:rsidR="00B549D7" w:rsidRPr="00A317D7" w:rsidRDefault="00B549D7" w:rsidP="000607D4">
      <w:pPr>
        <w:spacing w:after="0"/>
        <w:rPr>
          <w:lang w:val="fr-CA"/>
        </w:rPr>
      </w:pPr>
    </w:p>
    <w:p w14:paraId="5E6CF62E" w14:textId="0FE9F6E9" w:rsidR="00B549D7" w:rsidRPr="00A317D7" w:rsidRDefault="009F317C" w:rsidP="009F0A62">
      <w:pPr>
        <w:rPr>
          <w:lang w:val="fr-CA"/>
        </w:rPr>
      </w:pPr>
      <w:r w:rsidRPr="009F317C">
        <w:rPr>
          <w:lang w:val="fr-CA"/>
        </w:rPr>
        <w:t>La CSPT a publié son premier rapport d</w:t>
      </w:r>
      <w:r w:rsidR="00C62E0C">
        <w:rPr>
          <w:lang w:val="fr-CA"/>
        </w:rPr>
        <w:t>’</w:t>
      </w:r>
      <w:r w:rsidRPr="009F317C">
        <w:rPr>
          <w:lang w:val="fr-CA"/>
        </w:rPr>
        <w:t>information publique en janvier 2024. Ce rapport a révélé que la CSPT utilise cinq systèmes basés sur l</w:t>
      </w:r>
      <w:r w:rsidR="00C62E0C">
        <w:rPr>
          <w:lang w:val="fr-CA"/>
        </w:rPr>
        <w:t>’</w:t>
      </w:r>
      <w:r w:rsidRPr="009F317C">
        <w:rPr>
          <w:lang w:val="fr-CA"/>
        </w:rPr>
        <w:t>IA. La CSPT a égalemen</w:t>
      </w:r>
      <w:r>
        <w:rPr>
          <w:lang w:val="fr-CA"/>
        </w:rPr>
        <w:t>t</w:t>
      </w:r>
      <w:r w:rsidRPr="009F317C">
        <w:rPr>
          <w:lang w:val="fr-CA"/>
        </w:rPr>
        <w:t xml:space="preserve"> évalué elle-même le niveau de risque de chaque système. Un système de RF qui automatise l</w:t>
      </w:r>
      <w:r w:rsidR="00C62E0C">
        <w:rPr>
          <w:lang w:val="fr-CA"/>
        </w:rPr>
        <w:t>’</w:t>
      </w:r>
      <w:r w:rsidRPr="009F317C">
        <w:rPr>
          <w:lang w:val="fr-CA"/>
        </w:rPr>
        <w:t>identification des photos signalétiques était le seul système classé comme «</w:t>
      </w:r>
      <w:r w:rsidR="00C62E0C">
        <w:rPr>
          <w:lang w:val="fr-CA"/>
        </w:rPr>
        <w:t> </w:t>
      </w:r>
      <w:r w:rsidRPr="009F317C">
        <w:rPr>
          <w:lang w:val="fr-CA"/>
        </w:rPr>
        <w:t>à haut risque</w:t>
      </w:r>
      <w:r w:rsidR="00C62E0C">
        <w:rPr>
          <w:lang w:val="fr-CA"/>
        </w:rPr>
        <w:t> </w:t>
      </w:r>
      <w:r w:rsidRPr="009F317C">
        <w:rPr>
          <w:lang w:val="fr-CA"/>
        </w:rPr>
        <w:t>»</w:t>
      </w:r>
      <w:r w:rsidR="00B549D7" w:rsidRPr="00A317D7">
        <w:rPr>
          <w:vertAlign w:val="superscript"/>
          <w:lang w:val="fr-CA"/>
        </w:rPr>
        <w:endnoteReference w:id="58"/>
      </w:r>
      <w:r>
        <w:rPr>
          <w:lang w:val="fr-CA"/>
        </w:rPr>
        <w:t>.</w:t>
      </w:r>
    </w:p>
    <w:p w14:paraId="152D23BF" w14:textId="6EFC6809" w:rsidR="00B549D7" w:rsidRPr="009F317C" w:rsidRDefault="009F317C" w:rsidP="009F0A62">
      <w:pPr>
        <w:spacing w:after="0"/>
        <w:rPr>
          <w:lang w:val="fr-CA"/>
        </w:rPr>
      </w:pPr>
      <w:r w:rsidRPr="009F317C">
        <w:rPr>
          <w:lang w:val="fr-CA"/>
        </w:rPr>
        <w:lastRenderedPageBreak/>
        <w:t>Au moins un autre service de police de l</w:t>
      </w:r>
      <w:r w:rsidR="00C62E0C">
        <w:rPr>
          <w:lang w:val="fr-CA"/>
        </w:rPr>
        <w:t>’</w:t>
      </w:r>
      <w:r w:rsidRPr="009F317C">
        <w:rPr>
          <w:lang w:val="fr-CA"/>
        </w:rPr>
        <w:t>Ontario a adopté une politique en matière d</w:t>
      </w:r>
      <w:r w:rsidR="00C62E0C">
        <w:rPr>
          <w:lang w:val="fr-CA"/>
        </w:rPr>
        <w:t>’</w:t>
      </w:r>
      <w:r w:rsidRPr="009F317C">
        <w:rPr>
          <w:lang w:val="fr-CA"/>
        </w:rPr>
        <w:t xml:space="preserve">IA. En octobre 2024, le Conseil des services de la police régionale de Durham a adopté une politique </w:t>
      </w:r>
      <w:r>
        <w:rPr>
          <w:lang w:val="fr-CA"/>
        </w:rPr>
        <w:t>sur l’u</w:t>
      </w:r>
      <w:r w:rsidRPr="009F317C">
        <w:rPr>
          <w:lang w:val="fr-CA"/>
        </w:rPr>
        <w:t>tilisation de l</w:t>
      </w:r>
      <w:r w:rsidR="00C62E0C">
        <w:rPr>
          <w:lang w:val="fr-CA"/>
        </w:rPr>
        <w:t>’</w:t>
      </w:r>
      <w:r w:rsidRPr="009F317C">
        <w:rPr>
          <w:lang w:val="fr-CA"/>
        </w:rPr>
        <w:t>intelligence artificielle</w:t>
      </w:r>
      <w:r w:rsidR="00B549D7" w:rsidRPr="00A317D7">
        <w:rPr>
          <w:rStyle w:val="EndnoteReference"/>
          <w:lang w:val="fr-CA"/>
        </w:rPr>
        <w:endnoteReference w:id="59"/>
      </w:r>
      <w:r>
        <w:rPr>
          <w:lang w:val="fr-CA"/>
        </w:rPr>
        <w:t>.</w:t>
      </w:r>
      <w:r w:rsidR="00B549D7" w:rsidRPr="00A317D7">
        <w:rPr>
          <w:lang w:val="fr-CA"/>
        </w:rPr>
        <w:t xml:space="preserve"> </w:t>
      </w:r>
      <w:r w:rsidRPr="009F317C">
        <w:rPr>
          <w:lang w:val="fr-CA"/>
        </w:rPr>
        <w:t>Cette politique comprend plusieurs principes en matière d</w:t>
      </w:r>
      <w:r w:rsidR="00C62E0C">
        <w:rPr>
          <w:lang w:val="fr-CA"/>
        </w:rPr>
        <w:t>’</w:t>
      </w:r>
      <w:r w:rsidR="00105D48" w:rsidRPr="00105D48">
        <w:rPr>
          <w:lang w:val="fr-CA"/>
        </w:rPr>
        <w:t>IA fiable dans le secteur de la justice pénale</w:t>
      </w:r>
      <w:r w:rsidRPr="009F317C">
        <w:rPr>
          <w:lang w:val="fr-CA"/>
        </w:rPr>
        <w:t>, mais elle est moins détaillée et moins prescriptive que la politique de la CSPT en matière d</w:t>
      </w:r>
      <w:r w:rsidR="00C62E0C">
        <w:rPr>
          <w:lang w:val="fr-CA"/>
        </w:rPr>
        <w:t>’</w:t>
      </w:r>
      <w:r w:rsidRPr="009F317C">
        <w:rPr>
          <w:lang w:val="fr-CA"/>
        </w:rPr>
        <w:t xml:space="preserve">IA. Par exemple, la politique de Durham ne comprend pas de catégories de risques ni </w:t>
      </w:r>
      <w:r w:rsidR="00EF2CC3">
        <w:rPr>
          <w:lang w:val="fr-CA"/>
        </w:rPr>
        <w:t xml:space="preserve">d’interdictions </w:t>
      </w:r>
      <w:r w:rsidRPr="009F317C">
        <w:rPr>
          <w:lang w:val="fr-CA"/>
        </w:rPr>
        <w:t>de «</w:t>
      </w:r>
      <w:r w:rsidR="00C62E0C">
        <w:rPr>
          <w:lang w:val="fr-CA"/>
        </w:rPr>
        <w:t> </w:t>
      </w:r>
      <w:r w:rsidRPr="009F317C">
        <w:rPr>
          <w:lang w:val="fr-CA"/>
        </w:rPr>
        <w:t>technologies à</w:t>
      </w:r>
      <w:r w:rsidR="00480691">
        <w:rPr>
          <w:lang w:val="fr-CA"/>
        </w:rPr>
        <w:t xml:space="preserve"> </w:t>
      </w:r>
      <w:r w:rsidR="00480691" w:rsidRPr="00480691">
        <w:rPr>
          <w:lang w:val="fr-CA"/>
        </w:rPr>
        <w:t>risque extrêmement élevé</w:t>
      </w:r>
      <w:r w:rsidR="00C62E0C">
        <w:rPr>
          <w:lang w:val="fr-CA"/>
        </w:rPr>
        <w:t> </w:t>
      </w:r>
      <w:r w:rsidRPr="009F317C">
        <w:rPr>
          <w:lang w:val="fr-CA"/>
        </w:rPr>
        <w:t>»</w:t>
      </w:r>
      <w:r w:rsidR="00B549D7" w:rsidRPr="009F317C">
        <w:rPr>
          <w:lang w:val="fr-CA"/>
        </w:rPr>
        <w:t xml:space="preserve">. </w:t>
      </w:r>
    </w:p>
    <w:p w14:paraId="7FC1127A" w14:textId="77777777" w:rsidR="00B549D7" w:rsidRPr="009F317C" w:rsidRDefault="00B549D7" w:rsidP="009F0A62">
      <w:pPr>
        <w:spacing w:after="0"/>
        <w:rPr>
          <w:i/>
          <w:iCs/>
          <w:lang w:val="fr-CA"/>
        </w:rPr>
      </w:pPr>
    </w:p>
    <w:p w14:paraId="2CEEC616" w14:textId="4A6BCB7A" w:rsidR="00B549D7" w:rsidRPr="00435216" w:rsidRDefault="00435216" w:rsidP="00105D48">
      <w:pPr>
        <w:pStyle w:val="ListParagraph"/>
        <w:numPr>
          <w:ilvl w:val="0"/>
          <w:numId w:val="25"/>
        </w:numPr>
        <w:rPr>
          <w:b/>
          <w:bCs/>
          <w:lang w:val="fr-CA"/>
        </w:rPr>
      </w:pPr>
      <w:r w:rsidRPr="00435216">
        <w:rPr>
          <w:b/>
          <w:bCs/>
          <w:lang w:val="fr-CA"/>
        </w:rPr>
        <w:t xml:space="preserve">Évaluation des initiatives provinciales visant à promouvoir </w:t>
      </w:r>
      <w:r w:rsidR="00E157FE">
        <w:rPr>
          <w:b/>
          <w:bCs/>
          <w:lang w:val="fr-CA"/>
        </w:rPr>
        <w:t>la fiabilité de l’</w:t>
      </w:r>
      <w:r w:rsidR="00105D48" w:rsidRPr="00105D48">
        <w:rPr>
          <w:b/>
          <w:bCs/>
          <w:lang w:val="fr-CA"/>
        </w:rPr>
        <w:t>IA dans le secteur de la justice pénale</w:t>
      </w:r>
    </w:p>
    <w:p w14:paraId="5F3205E5" w14:textId="4DE5EF41" w:rsidR="00B549D7" w:rsidRPr="00A317D7" w:rsidRDefault="00435216" w:rsidP="009F0A62">
      <w:pPr>
        <w:rPr>
          <w:lang w:val="fr-CA"/>
        </w:rPr>
      </w:pPr>
      <w:r w:rsidRPr="00435216">
        <w:rPr>
          <w:lang w:val="fr-CA"/>
        </w:rPr>
        <w:t xml:space="preserve">Le gouvernement provincial a pris des premières mesures importantes pour promouvoir </w:t>
      </w:r>
      <w:r w:rsidR="00E157FE" w:rsidRPr="00E157FE">
        <w:rPr>
          <w:lang w:val="fr-CA"/>
        </w:rPr>
        <w:t xml:space="preserve">la fiabilité de l’IA </w:t>
      </w:r>
      <w:r w:rsidRPr="00435216">
        <w:rPr>
          <w:lang w:val="fr-CA"/>
        </w:rPr>
        <w:t>dans l</w:t>
      </w:r>
      <w:r w:rsidR="00C62E0C">
        <w:rPr>
          <w:lang w:val="fr-CA"/>
        </w:rPr>
        <w:t>’</w:t>
      </w:r>
      <w:r w:rsidRPr="00435216">
        <w:rPr>
          <w:lang w:val="fr-CA"/>
        </w:rPr>
        <w:t>ensemble du secteur public de l</w:t>
      </w:r>
      <w:r w:rsidR="00C62E0C">
        <w:rPr>
          <w:lang w:val="fr-CA"/>
        </w:rPr>
        <w:t>’</w:t>
      </w:r>
      <w:r w:rsidRPr="00435216">
        <w:rPr>
          <w:lang w:val="fr-CA"/>
        </w:rPr>
        <w:t>Ontario. À ce jour, cet engagement ne s</w:t>
      </w:r>
      <w:r w:rsidR="00C62E0C">
        <w:rPr>
          <w:lang w:val="fr-CA"/>
        </w:rPr>
        <w:t>’</w:t>
      </w:r>
      <w:r w:rsidRPr="00435216">
        <w:rPr>
          <w:lang w:val="fr-CA"/>
        </w:rPr>
        <w:t>étend pas aux systèmes d</w:t>
      </w:r>
      <w:r w:rsidR="00C62E0C">
        <w:rPr>
          <w:lang w:val="fr-CA"/>
        </w:rPr>
        <w:t>’</w:t>
      </w:r>
      <w:r w:rsidRPr="00435216">
        <w:rPr>
          <w:lang w:val="fr-CA"/>
        </w:rPr>
        <w:t>IA utilisés dans les services provinciaux chargés de l</w:t>
      </w:r>
      <w:r w:rsidR="00C62E0C">
        <w:rPr>
          <w:lang w:val="fr-CA"/>
        </w:rPr>
        <w:t>’</w:t>
      </w:r>
      <w:r w:rsidRPr="00435216">
        <w:rPr>
          <w:lang w:val="fr-CA"/>
        </w:rPr>
        <w:t>application de la loi ou dans le système provincial de justice pénale. Par conséquent, il n</w:t>
      </w:r>
      <w:r w:rsidR="00C62E0C">
        <w:rPr>
          <w:lang w:val="fr-CA"/>
        </w:rPr>
        <w:t>’</w:t>
      </w:r>
      <w:r w:rsidRPr="00435216">
        <w:rPr>
          <w:lang w:val="fr-CA"/>
        </w:rPr>
        <w:t xml:space="preserve">existe aucune loi, directive ou politique spécifique établissant </w:t>
      </w:r>
      <w:r w:rsidR="00E157FE">
        <w:rPr>
          <w:lang w:val="fr-CA"/>
        </w:rPr>
        <w:t>la fiabilité de l’</w:t>
      </w:r>
      <w:r w:rsidRPr="00435216">
        <w:rPr>
          <w:lang w:val="fr-CA"/>
        </w:rPr>
        <w:t>IA dans le système de justice pénale de l</w:t>
      </w:r>
      <w:r w:rsidR="00C62E0C">
        <w:rPr>
          <w:lang w:val="fr-CA"/>
        </w:rPr>
        <w:t>’</w:t>
      </w:r>
      <w:r w:rsidRPr="00435216">
        <w:rPr>
          <w:lang w:val="fr-CA"/>
        </w:rPr>
        <w:t>Ontario</w:t>
      </w:r>
      <w:r w:rsidR="00B549D7" w:rsidRPr="00A317D7">
        <w:rPr>
          <w:lang w:val="fr-CA"/>
        </w:rPr>
        <w:t>.</w:t>
      </w:r>
    </w:p>
    <w:p w14:paraId="1D18FC1C" w14:textId="0D76115B" w:rsidR="00B549D7" w:rsidRPr="00A317D7" w:rsidRDefault="00435216" w:rsidP="009F0A62">
      <w:pPr>
        <w:rPr>
          <w:lang w:val="fr-CA"/>
        </w:rPr>
      </w:pPr>
      <w:r w:rsidRPr="00435216">
        <w:rPr>
          <w:lang w:val="fr-CA"/>
        </w:rPr>
        <w:t>La</w:t>
      </w:r>
      <w:r>
        <w:rPr>
          <w:i/>
          <w:lang w:val="fr-CA"/>
        </w:rPr>
        <w:t xml:space="preserve"> </w:t>
      </w:r>
      <w:r w:rsidR="00E157FE" w:rsidRPr="00BC468E">
        <w:rPr>
          <w:rFonts w:eastAsia="Times New Roman" w:cstheme="minorHAnsi"/>
          <w:i/>
          <w:kern w:val="0"/>
          <w:lang w:val="fr-CA" w:eastAsia="en-CA"/>
          <w14:ligatures w14:val="none"/>
        </w:rPr>
        <w:t>LRSCN</w:t>
      </w:r>
      <w:r>
        <w:rPr>
          <w:bCs/>
          <w:i/>
          <w:iCs/>
          <w:lang w:val="fr-CA"/>
        </w:rPr>
        <w:t xml:space="preserve"> </w:t>
      </w:r>
      <w:r w:rsidRPr="00435216">
        <w:rPr>
          <w:bCs/>
          <w:lang w:val="fr-CA"/>
        </w:rPr>
        <w:t>n</w:t>
      </w:r>
      <w:r w:rsidR="00C62E0C">
        <w:rPr>
          <w:bCs/>
          <w:lang w:val="fr-CA"/>
        </w:rPr>
        <w:t>’</w:t>
      </w:r>
      <w:r w:rsidRPr="00435216">
        <w:rPr>
          <w:bCs/>
          <w:lang w:val="fr-CA"/>
        </w:rPr>
        <w:t xml:space="preserve">établit pas de cadre complet pour </w:t>
      </w:r>
      <w:r w:rsidR="00E157FE">
        <w:rPr>
          <w:bCs/>
          <w:lang w:val="fr-CA"/>
        </w:rPr>
        <w:t xml:space="preserve">la fiabilité de </w:t>
      </w:r>
      <w:r w:rsidRPr="00435216">
        <w:rPr>
          <w:bCs/>
          <w:lang w:val="fr-CA"/>
        </w:rPr>
        <w:t>l</w:t>
      </w:r>
      <w:r w:rsidR="00C62E0C">
        <w:rPr>
          <w:bCs/>
          <w:lang w:val="fr-CA"/>
        </w:rPr>
        <w:t>’</w:t>
      </w:r>
      <w:r w:rsidRPr="00435216">
        <w:rPr>
          <w:bCs/>
          <w:lang w:val="fr-CA"/>
        </w:rPr>
        <w:t>IA dans les systèmes d</w:t>
      </w:r>
      <w:r w:rsidR="00C62E0C">
        <w:rPr>
          <w:bCs/>
          <w:lang w:val="fr-CA"/>
        </w:rPr>
        <w:t>’</w:t>
      </w:r>
      <w:r w:rsidRPr="00435216">
        <w:rPr>
          <w:bCs/>
          <w:lang w:val="fr-CA"/>
        </w:rPr>
        <w:t>IA du secteur public provincial en général ni dans le système de justice pénale en particulier</w:t>
      </w:r>
      <w:r w:rsidR="00B549D7" w:rsidRPr="00A317D7">
        <w:rPr>
          <w:lang w:val="fr-CA"/>
        </w:rPr>
        <w:t>.</w:t>
      </w:r>
      <w:r w:rsidR="00BE6D0C" w:rsidRPr="00A317D7">
        <w:rPr>
          <w:lang w:val="fr-CA"/>
        </w:rPr>
        <w:t xml:space="preserve"> </w:t>
      </w:r>
    </w:p>
    <w:p w14:paraId="628C7072" w14:textId="7F6BF418" w:rsidR="00B549D7" w:rsidRPr="00A317D7" w:rsidRDefault="00F61724" w:rsidP="009F0A62">
      <w:pPr>
        <w:rPr>
          <w:lang w:val="fr-CA"/>
        </w:rPr>
      </w:pPr>
      <w:r w:rsidRPr="00F61724">
        <w:rPr>
          <w:lang w:val="fr-CA"/>
        </w:rPr>
        <w:t xml:space="preserve">La </w:t>
      </w:r>
      <w:r>
        <w:rPr>
          <w:lang w:val="fr-CA"/>
        </w:rPr>
        <w:t>d</w:t>
      </w:r>
      <w:r w:rsidRPr="00A80A0C">
        <w:rPr>
          <w:lang w:val="fr-CA"/>
        </w:rPr>
        <w:t>irective de l</w:t>
      </w:r>
      <w:r w:rsidR="00C62E0C">
        <w:rPr>
          <w:lang w:val="fr-CA"/>
        </w:rPr>
        <w:t>’</w:t>
      </w:r>
      <w:r w:rsidRPr="00A80A0C">
        <w:rPr>
          <w:lang w:val="fr-CA"/>
        </w:rPr>
        <w:t>Ontario sur l</w:t>
      </w:r>
      <w:r w:rsidR="00C62E0C">
        <w:rPr>
          <w:lang w:val="fr-CA"/>
        </w:rPr>
        <w:t>’</w:t>
      </w:r>
      <w:r w:rsidRPr="00A80A0C">
        <w:rPr>
          <w:lang w:val="fr-CA"/>
        </w:rPr>
        <w:t>IA</w:t>
      </w:r>
      <w:r w:rsidRPr="00F61724">
        <w:rPr>
          <w:lang w:val="fr-CA"/>
        </w:rPr>
        <w:t xml:space="preserve"> </w:t>
      </w:r>
      <w:r>
        <w:rPr>
          <w:lang w:val="fr-CA"/>
        </w:rPr>
        <w:t xml:space="preserve">est plus </w:t>
      </w:r>
      <w:r w:rsidR="00EF2CC3">
        <w:rPr>
          <w:lang w:val="fr-CA"/>
        </w:rPr>
        <w:t>détaillée</w:t>
      </w:r>
      <w:r>
        <w:rPr>
          <w:lang w:val="fr-CA"/>
        </w:rPr>
        <w:t xml:space="preserve"> que </w:t>
      </w:r>
      <w:r w:rsidRPr="00F61724">
        <w:rPr>
          <w:lang w:val="fr-CA"/>
        </w:rPr>
        <w:t xml:space="preserve">la </w:t>
      </w:r>
      <w:r w:rsidR="00E157FE" w:rsidRPr="00BC468E">
        <w:rPr>
          <w:rFonts w:eastAsia="Times New Roman" w:cstheme="minorHAnsi"/>
          <w:i/>
          <w:kern w:val="0"/>
          <w:lang w:val="fr-CA" w:eastAsia="en-CA"/>
          <w14:ligatures w14:val="none"/>
        </w:rPr>
        <w:t>LRSCN</w:t>
      </w:r>
      <w:r w:rsidR="00B549D7" w:rsidRPr="00F61724">
        <w:rPr>
          <w:lang w:val="fr-CA"/>
        </w:rPr>
        <w:t xml:space="preserve">, </w:t>
      </w:r>
      <w:r w:rsidRPr="00F61724">
        <w:rPr>
          <w:lang w:val="fr-CA"/>
        </w:rPr>
        <w:t>mais de nombreuses questions restent en suspens. Il est important de noter que la directive de l</w:t>
      </w:r>
      <w:r w:rsidR="00C62E0C">
        <w:rPr>
          <w:lang w:val="fr-CA"/>
        </w:rPr>
        <w:t>’</w:t>
      </w:r>
      <w:r w:rsidRPr="00F61724">
        <w:rPr>
          <w:lang w:val="fr-CA"/>
        </w:rPr>
        <w:t>Ontario sur l</w:t>
      </w:r>
      <w:r w:rsidR="00C62E0C">
        <w:rPr>
          <w:lang w:val="fr-CA"/>
        </w:rPr>
        <w:t>’</w:t>
      </w:r>
      <w:r w:rsidRPr="00F61724">
        <w:rPr>
          <w:lang w:val="fr-CA"/>
        </w:rPr>
        <w:t>IA ne s</w:t>
      </w:r>
      <w:r w:rsidR="00C62E0C">
        <w:rPr>
          <w:lang w:val="fr-CA"/>
        </w:rPr>
        <w:t>’</w:t>
      </w:r>
      <w:r w:rsidRPr="00F61724">
        <w:rPr>
          <w:lang w:val="fr-CA"/>
        </w:rPr>
        <w:t>applique à aucun service de police de l</w:t>
      </w:r>
      <w:r w:rsidR="00C62E0C">
        <w:rPr>
          <w:lang w:val="fr-CA"/>
        </w:rPr>
        <w:t>’</w:t>
      </w:r>
      <w:r w:rsidRPr="00F61724">
        <w:rPr>
          <w:lang w:val="fr-CA"/>
        </w:rPr>
        <w:t>Ontario</w:t>
      </w:r>
      <w:r w:rsidR="00B549D7" w:rsidRPr="00A317D7">
        <w:rPr>
          <w:lang w:val="fr-CA"/>
        </w:rPr>
        <w:t xml:space="preserve">. </w:t>
      </w:r>
    </w:p>
    <w:p w14:paraId="0A74B7F6" w14:textId="395AA4F9" w:rsidR="00B549D7" w:rsidRPr="00A317D7" w:rsidRDefault="00F61724" w:rsidP="009F0A62">
      <w:pPr>
        <w:rPr>
          <w:rFonts w:cstheme="minorHAnsi"/>
          <w:lang w:val="fr-CA"/>
        </w:rPr>
      </w:pPr>
      <w:r w:rsidRPr="00F61724">
        <w:rPr>
          <w:bCs/>
          <w:lang w:val="fr-CA"/>
        </w:rPr>
        <w:t xml:space="preserve">La politique en matière </w:t>
      </w:r>
      <w:r w:rsidR="00EF2CC3">
        <w:rPr>
          <w:bCs/>
          <w:lang w:val="fr-CA"/>
        </w:rPr>
        <w:t>de fiabilité de l</w:t>
      </w:r>
      <w:r w:rsidR="00C62E0C">
        <w:rPr>
          <w:bCs/>
          <w:lang w:val="fr-CA"/>
        </w:rPr>
        <w:t>’</w:t>
      </w:r>
      <w:r w:rsidRPr="00F61724">
        <w:rPr>
          <w:bCs/>
          <w:lang w:val="fr-CA"/>
        </w:rPr>
        <w:t xml:space="preserve">IA dans le </w:t>
      </w:r>
      <w:r w:rsidR="00E157FE">
        <w:rPr>
          <w:bCs/>
          <w:lang w:val="fr-CA"/>
        </w:rPr>
        <w:t xml:space="preserve">système de justice </w:t>
      </w:r>
      <w:r w:rsidRPr="00F61724">
        <w:rPr>
          <w:bCs/>
          <w:lang w:val="fr-CA"/>
        </w:rPr>
        <w:t>pénal</w:t>
      </w:r>
      <w:r w:rsidR="00E157FE">
        <w:rPr>
          <w:bCs/>
          <w:lang w:val="fr-CA"/>
        </w:rPr>
        <w:t>e</w:t>
      </w:r>
      <w:r w:rsidRPr="00F61724">
        <w:rPr>
          <w:bCs/>
          <w:lang w:val="fr-CA"/>
        </w:rPr>
        <w:t xml:space="preserve"> la plus substantielle en Ontario est la politique d</w:t>
      </w:r>
      <w:r>
        <w:rPr>
          <w:bCs/>
          <w:lang w:val="fr-CA"/>
        </w:rPr>
        <w:t xml:space="preserve">e la </w:t>
      </w:r>
      <w:r>
        <w:rPr>
          <w:lang w:val="fr-CA"/>
        </w:rPr>
        <w:t>CSPT</w:t>
      </w:r>
      <w:r>
        <w:rPr>
          <w:bCs/>
          <w:lang w:val="fr-CA"/>
        </w:rPr>
        <w:t xml:space="preserve"> </w:t>
      </w:r>
      <w:r w:rsidRPr="00F61724">
        <w:rPr>
          <w:bCs/>
          <w:lang w:val="fr-CA"/>
        </w:rPr>
        <w:t>sur l</w:t>
      </w:r>
      <w:r w:rsidR="00C62E0C">
        <w:rPr>
          <w:bCs/>
          <w:lang w:val="fr-CA"/>
        </w:rPr>
        <w:t>’</w:t>
      </w:r>
      <w:r w:rsidRPr="00F61724">
        <w:rPr>
          <w:bCs/>
          <w:lang w:val="fr-CA"/>
        </w:rPr>
        <w:t>IA. Il s</w:t>
      </w:r>
      <w:r w:rsidR="00C62E0C">
        <w:rPr>
          <w:bCs/>
          <w:lang w:val="fr-CA"/>
        </w:rPr>
        <w:t>’</w:t>
      </w:r>
      <w:r w:rsidRPr="00F61724">
        <w:rPr>
          <w:bCs/>
          <w:lang w:val="fr-CA"/>
        </w:rPr>
        <w:t>agit d</w:t>
      </w:r>
      <w:r w:rsidR="00C62E0C">
        <w:rPr>
          <w:bCs/>
          <w:lang w:val="fr-CA"/>
        </w:rPr>
        <w:t>’</w:t>
      </w:r>
      <w:r w:rsidRPr="00F61724">
        <w:rPr>
          <w:bCs/>
          <w:lang w:val="fr-CA"/>
        </w:rPr>
        <w:t xml:space="preserve">un document </w:t>
      </w:r>
      <w:r w:rsidR="00E157FE">
        <w:rPr>
          <w:bCs/>
          <w:lang w:val="fr-CA"/>
        </w:rPr>
        <w:t xml:space="preserve">complexe </w:t>
      </w:r>
      <w:r w:rsidRPr="00F61724">
        <w:rPr>
          <w:bCs/>
          <w:lang w:val="fr-CA"/>
        </w:rPr>
        <w:t xml:space="preserve">qui intègre de nombreux principes relatifs à </w:t>
      </w:r>
      <w:r w:rsidR="00E157FE">
        <w:rPr>
          <w:bCs/>
          <w:lang w:val="fr-CA"/>
        </w:rPr>
        <w:t>la fiabilité de l’</w:t>
      </w:r>
      <w:r w:rsidR="00105D48" w:rsidRPr="00105D48">
        <w:rPr>
          <w:bCs/>
          <w:lang w:val="fr-CA"/>
        </w:rPr>
        <w:t xml:space="preserve">IA dans le secteur de la justice pénale </w:t>
      </w:r>
      <w:r w:rsidRPr="00F61724">
        <w:rPr>
          <w:bCs/>
          <w:lang w:val="fr-CA"/>
        </w:rPr>
        <w:t>identifiés par la CDO et d</w:t>
      </w:r>
      <w:r w:rsidR="00C62E0C">
        <w:rPr>
          <w:bCs/>
          <w:lang w:val="fr-CA"/>
        </w:rPr>
        <w:t>’</w:t>
      </w:r>
      <w:r w:rsidRPr="00F61724">
        <w:rPr>
          <w:bCs/>
          <w:lang w:val="fr-CA"/>
        </w:rPr>
        <w:t xml:space="preserve">autres </w:t>
      </w:r>
      <w:r w:rsidR="00E157FE">
        <w:rPr>
          <w:bCs/>
          <w:lang w:val="fr-CA"/>
        </w:rPr>
        <w:t>juridictions</w:t>
      </w:r>
      <w:r w:rsidRPr="00F61724">
        <w:rPr>
          <w:bCs/>
          <w:lang w:val="fr-CA"/>
        </w:rPr>
        <w:t xml:space="preserve">. </w:t>
      </w:r>
      <w:r w:rsidR="00895AB6">
        <w:rPr>
          <w:bCs/>
          <w:lang w:val="fr-CA"/>
        </w:rPr>
        <w:t>Toutefois, la politique de la CSPT sur l’IA présente certaines limites structurelles qui font obstacle à son utilisation comme outil de gouvernance d’une IA fiable dans le secteur de la justice pénale.</w:t>
      </w:r>
      <w:r w:rsidR="00B549D7" w:rsidRPr="00A317D7">
        <w:rPr>
          <w:rFonts w:cstheme="minorHAnsi"/>
          <w:lang w:val="fr-CA"/>
        </w:rPr>
        <w:t xml:space="preserve"> </w:t>
      </w:r>
    </w:p>
    <w:p w14:paraId="3AC22099" w14:textId="40CF7A16" w:rsidR="00B549D7" w:rsidRPr="00A317D7" w:rsidRDefault="00F61724" w:rsidP="009F0A62">
      <w:pPr>
        <w:rPr>
          <w:rFonts w:cstheme="minorHAnsi"/>
          <w:lang w:val="fr-CA"/>
        </w:rPr>
      </w:pPr>
      <w:r w:rsidRPr="00F61724">
        <w:rPr>
          <w:rFonts w:cstheme="minorHAnsi"/>
          <w:lang w:val="fr-CA"/>
        </w:rPr>
        <w:t>D’abord</w:t>
      </w:r>
      <w:r w:rsidR="00B549D7" w:rsidRPr="00F61724">
        <w:rPr>
          <w:rFonts w:cstheme="minorHAnsi"/>
          <w:lang w:val="fr-CA"/>
        </w:rPr>
        <w:t xml:space="preserve">, </w:t>
      </w:r>
      <w:r w:rsidRPr="00F61724">
        <w:rPr>
          <w:rFonts w:cstheme="minorHAnsi"/>
          <w:lang w:val="fr-CA"/>
        </w:rPr>
        <w:t xml:space="preserve">la politique de </w:t>
      </w:r>
      <w:r w:rsidRPr="00F61724">
        <w:rPr>
          <w:bCs/>
          <w:lang w:val="fr-CA"/>
        </w:rPr>
        <w:t xml:space="preserve">la </w:t>
      </w:r>
      <w:r w:rsidRPr="00F61724">
        <w:rPr>
          <w:lang w:val="fr-CA"/>
        </w:rPr>
        <w:t>CSPT</w:t>
      </w:r>
      <w:r w:rsidRPr="00F61724">
        <w:rPr>
          <w:bCs/>
          <w:lang w:val="fr-CA"/>
        </w:rPr>
        <w:t xml:space="preserve"> en matière d</w:t>
      </w:r>
      <w:r w:rsidR="00C62E0C">
        <w:rPr>
          <w:bCs/>
          <w:lang w:val="fr-CA"/>
        </w:rPr>
        <w:t>’</w:t>
      </w:r>
      <w:r w:rsidRPr="00F61724">
        <w:rPr>
          <w:bCs/>
          <w:lang w:val="fr-CA"/>
        </w:rPr>
        <w:t xml:space="preserve">IA </w:t>
      </w:r>
      <w:r>
        <w:rPr>
          <w:bCs/>
          <w:lang w:val="fr-CA"/>
        </w:rPr>
        <w:t xml:space="preserve">n’est pas </w:t>
      </w:r>
      <w:r w:rsidRPr="00F61724">
        <w:rPr>
          <w:rFonts w:cstheme="minorHAnsi"/>
          <w:lang w:val="fr-CA"/>
        </w:rPr>
        <w:t>juridiquement contraignante</w:t>
      </w:r>
      <w:r w:rsidR="00B549D7" w:rsidRPr="00F61724">
        <w:rPr>
          <w:rFonts w:cstheme="minorHAnsi"/>
          <w:lang w:val="fr-CA"/>
        </w:rPr>
        <w:t xml:space="preserve">. </w:t>
      </w:r>
      <w:r w:rsidRPr="00F61724">
        <w:rPr>
          <w:rFonts w:cstheme="minorHAnsi"/>
          <w:lang w:val="fr-CA"/>
        </w:rPr>
        <w:t>Elle ne crée pas de régime de responsabilité juridique, ni de dispositions correctives ou de sanctions en cas de non-respect</w:t>
      </w:r>
      <w:r w:rsidR="00B549D7" w:rsidRPr="00A317D7">
        <w:rPr>
          <w:rFonts w:cstheme="minorHAnsi"/>
          <w:lang w:val="fr-CA"/>
        </w:rPr>
        <w:t>.</w:t>
      </w:r>
      <w:r w:rsidR="00BE6D0C" w:rsidRPr="00A317D7">
        <w:rPr>
          <w:rFonts w:cstheme="minorHAnsi"/>
          <w:lang w:val="fr-CA"/>
        </w:rPr>
        <w:t xml:space="preserve"> </w:t>
      </w:r>
    </w:p>
    <w:p w14:paraId="44696B51" w14:textId="746ABA3B" w:rsidR="00B549D7" w:rsidRPr="00A317D7" w:rsidRDefault="00F61724" w:rsidP="009F0A62">
      <w:pPr>
        <w:rPr>
          <w:lang w:val="fr-CA"/>
        </w:rPr>
      </w:pPr>
      <w:r>
        <w:rPr>
          <w:lang w:val="fr-CA"/>
        </w:rPr>
        <w:t>Ensuite</w:t>
      </w:r>
      <w:r w:rsidR="00B549D7" w:rsidRPr="00A317D7">
        <w:rPr>
          <w:lang w:val="fr-CA"/>
        </w:rPr>
        <w:t xml:space="preserve">, </w:t>
      </w:r>
      <w:r w:rsidRPr="00F61724">
        <w:rPr>
          <w:rFonts w:cstheme="minorHAnsi"/>
          <w:lang w:val="fr-CA"/>
        </w:rPr>
        <w:t xml:space="preserve">la politique de </w:t>
      </w:r>
      <w:r w:rsidRPr="00F61724">
        <w:rPr>
          <w:bCs/>
          <w:lang w:val="fr-CA"/>
        </w:rPr>
        <w:t xml:space="preserve">la </w:t>
      </w:r>
      <w:r w:rsidRPr="00F61724">
        <w:rPr>
          <w:lang w:val="fr-CA"/>
        </w:rPr>
        <w:t>CSPT</w:t>
      </w:r>
      <w:r w:rsidRPr="00F61724">
        <w:rPr>
          <w:bCs/>
          <w:lang w:val="fr-CA"/>
        </w:rPr>
        <w:t xml:space="preserve"> en matière d</w:t>
      </w:r>
      <w:r w:rsidR="00C62E0C">
        <w:rPr>
          <w:bCs/>
          <w:lang w:val="fr-CA"/>
        </w:rPr>
        <w:t>’</w:t>
      </w:r>
      <w:r w:rsidRPr="00F61724">
        <w:rPr>
          <w:bCs/>
          <w:lang w:val="fr-CA"/>
        </w:rPr>
        <w:t xml:space="preserve">IA </w:t>
      </w:r>
      <w:r w:rsidRPr="00F61724">
        <w:rPr>
          <w:rFonts w:cstheme="minorHAnsi"/>
          <w:lang w:val="fr-CA"/>
        </w:rPr>
        <w:t>est autorégulée. Elle ne crée pas d</w:t>
      </w:r>
      <w:r w:rsidR="00C62E0C">
        <w:rPr>
          <w:rFonts w:cstheme="minorHAnsi"/>
          <w:lang w:val="fr-CA"/>
        </w:rPr>
        <w:t>’</w:t>
      </w:r>
      <w:r w:rsidRPr="00F61724">
        <w:rPr>
          <w:rFonts w:cstheme="minorHAnsi"/>
          <w:lang w:val="fr-CA"/>
        </w:rPr>
        <w:t>organisme de surveillance indépendant ni de mécanisme d</w:t>
      </w:r>
      <w:r w:rsidR="00C62E0C">
        <w:rPr>
          <w:rFonts w:cstheme="minorHAnsi"/>
          <w:lang w:val="fr-CA"/>
        </w:rPr>
        <w:t>’</w:t>
      </w:r>
      <w:r w:rsidRPr="00F61724">
        <w:rPr>
          <w:rFonts w:cstheme="minorHAnsi"/>
          <w:lang w:val="fr-CA"/>
        </w:rPr>
        <w:t>examen externe. En conséquence, l</w:t>
      </w:r>
      <w:r>
        <w:rPr>
          <w:rFonts w:cstheme="minorHAnsi"/>
          <w:lang w:val="fr-CA"/>
        </w:rPr>
        <w:t xml:space="preserve">a CSPT </w:t>
      </w:r>
      <w:r w:rsidRPr="00F61724">
        <w:rPr>
          <w:rFonts w:cstheme="minorHAnsi"/>
          <w:lang w:val="fr-CA"/>
        </w:rPr>
        <w:t>a été critiqué</w:t>
      </w:r>
      <w:r>
        <w:rPr>
          <w:rFonts w:cstheme="minorHAnsi"/>
          <w:lang w:val="fr-CA"/>
        </w:rPr>
        <w:t>e</w:t>
      </w:r>
      <w:r w:rsidRPr="00F61724">
        <w:rPr>
          <w:rFonts w:cstheme="minorHAnsi"/>
          <w:lang w:val="fr-CA"/>
        </w:rPr>
        <w:t xml:space="preserve"> pour son interprétation laxiste de </w:t>
      </w:r>
      <w:r>
        <w:rPr>
          <w:rFonts w:cstheme="minorHAnsi"/>
          <w:lang w:val="fr-CA"/>
        </w:rPr>
        <w:t>s</w:t>
      </w:r>
      <w:r w:rsidRPr="00F61724">
        <w:rPr>
          <w:rFonts w:cstheme="minorHAnsi"/>
          <w:lang w:val="fr-CA"/>
        </w:rPr>
        <w:t>a politique en matière d</w:t>
      </w:r>
      <w:r w:rsidR="00C62E0C">
        <w:rPr>
          <w:rFonts w:cstheme="minorHAnsi"/>
          <w:lang w:val="fr-CA"/>
        </w:rPr>
        <w:t>’</w:t>
      </w:r>
      <w:r w:rsidRPr="00F61724">
        <w:rPr>
          <w:rFonts w:cstheme="minorHAnsi"/>
          <w:lang w:val="fr-CA"/>
        </w:rPr>
        <w:t>IA</w:t>
      </w:r>
      <w:r w:rsidR="00B549D7" w:rsidRPr="00A317D7">
        <w:rPr>
          <w:rStyle w:val="EndnoteReference"/>
          <w:rFonts w:cstheme="minorHAnsi"/>
          <w:lang w:val="fr-CA"/>
        </w:rPr>
        <w:endnoteReference w:id="60"/>
      </w:r>
      <w:r>
        <w:rPr>
          <w:rFonts w:cstheme="minorHAnsi"/>
          <w:lang w:val="fr-CA"/>
        </w:rPr>
        <w:t>.</w:t>
      </w:r>
    </w:p>
    <w:p w14:paraId="39E4634D" w14:textId="16EBDCF3" w:rsidR="00E00910" w:rsidRPr="00A317D7" w:rsidRDefault="00F61724" w:rsidP="009F0A62">
      <w:pPr>
        <w:rPr>
          <w:rFonts w:cstheme="minorHAnsi"/>
          <w:lang w:val="fr-CA"/>
        </w:rPr>
      </w:pPr>
      <w:r w:rsidRPr="00F61724">
        <w:rPr>
          <w:rFonts w:cstheme="minorHAnsi"/>
          <w:lang w:val="fr-CA"/>
        </w:rPr>
        <w:t>Enfin, et surtout, la politique de la CSPT en matière d</w:t>
      </w:r>
      <w:r w:rsidR="00C62E0C">
        <w:rPr>
          <w:rFonts w:cstheme="minorHAnsi"/>
          <w:lang w:val="fr-CA"/>
        </w:rPr>
        <w:t>’</w:t>
      </w:r>
      <w:r w:rsidRPr="00F61724">
        <w:rPr>
          <w:rFonts w:cstheme="minorHAnsi"/>
          <w:lang w:val="fr-CA"/>
        </w:rPr>
        <w:t>IA est une politique administrative qui régit un seul service de police en Ontario. Elle n</w:t>
      </w:r>
      <w:r w:rsidR="00C62E0C">
        <w:rPr>
          <w:rFonts w:cstheme="minorHAnsi"/>
          <w:lang w:val="fr-CA"/>
        </w:rPr>
        <w:t>’</w:t>
      </w:r>
      <w:r w:rsidRPr="00F61724">
        <w:rPr>
          <w:rFonts w:cstheme="minorHAnsi"/>
          <w:lang w:val="fr-CA"/>
        </w:rPr>
        <w:t>établit pas de norme provinciale en matière d</w:t>
      </w:r>
      <w:r w:rsidR="00C62E0C">
        <w:rPr>
          <w:rFonts w:cstheme="minorHAnsi"/>
          <w:lang w:val="fr-CA"/>
        </w:rPr>
        <w:t>’</w:t>
      </w:r>
      <w:r w:rsidRPr="00F61724">
        <w:rPr>
          <w:rFonts w:cstheme="minorHAnsi"/>
          <w:lang w:val="fr-CA"/>
        </w:rPr>
        <w:t>IA pour les services de police en général ni pour aucun autre élément du système de justice pénale de l</w:t>
      </w:r>
      <w:r w:rsidR="00C62E0C">
        <w:rPr>
          <w:rFonts w:cstheme="minorHAnsi"/>
          <w:lang w:val="fr-CA"/>
        </w:rPr>
        <w:t>’</w:t>
      </w:r>
      <w:r w:rsidRPr="00F61724">
        <w:rPr>
          <w:rFonts w:cstheme="minorHAnsi"/>
          <w:lang w:val="fr-CA"/>
        </w:rPr>
        <w:t>Ontario</w:t>
      </w:r>
      <w:r w:rsidR="00377D26" w:rsidRPr="00A317D7">
        <w:rPr>
          <w:rFonts w:cstheme="minorHAnsi"/>
          <w:lang w:val="fr-CA"/>
        </w:rPr>
        <w:t>.</w:t>
      </w:r>
    </w:p>
    <w:p w14:paraId="09D2FEFD" w14:textId="5F156BD3" w:rsidR="00B549D7" w:rsidRPr="00A317D7" w:rsidRDefault="009E4963" w:rsidP="009F0A62">
      <w:pPr>
        <w:rPr>
          <w:rFonts w:cstheme="minorHAnsi"/>
          <w:lang w:val="fr-CA"/>
        </w:rPr>
      </w:pPr>
      <w:r>
        <w:rPr>
          <w:rFonts w:cstheme="minorHAnsi"/>
          <w:lang w:val="fr-CA"/>
        </w:rPr>
        <w:t xml:space="preserve">Du </w:t>
      </w:r>
      <w:r w:rsidR="00C62E0C">
        <w:rPr>
          <w:rFonts w:cstheme="minorHAnsi"/>
          <w:lang w:val="fr-CA"/>
        </w:rPr>
        <w:t>point de vue provincial, la politique de la CSPT en matière d’IA souligne les défis et les dangers de déléguer la règlementation des systèmes d’IA utilisés dans le domaine policier aux services de police et aux commissions individuelles : l’Ontario compte 53 services de police.</w:t>
      </w:r>
      <w:r w:rsidR="004B4387" w:rsidRPr="004B4387">
        <w:rPr>
          <w:rFonts w:cstheme="minorHAnsi"/>
          <w:lang w:val="fr-CA"/>
        </w:rPr>
        <w:t xml:space="preserve"> À ce jour, seuls deux services semblent avoir adopté des politiques spécifiques en matière d</w:t>
      </w:r>
      <w:r w:rsidR="00C62E0C">
        <w:rPr>
          <w:rFonts w:cstheme="minorHAnsi"/>
          <w:lang w:val="fr-CA"/>
        </w:rPr>
        <w:t>’</w:t>
      </w:r>
      <w:r w:rsidR="004B4387" w:rsidRPr="004B4387">
        <w:rPr>
          <w:rFonts w:cstheme="minorHAnsi"/>
          <w:lang w:val="fr-CA"/>
        </w:rPr>
        <w:t xml:space="preserve">IA. Cela signifie que 51 services de police en Ontario ne sont soumis </w:t>
      </w:r>
      <w:r w:rsidR="00EF2CC3">
        <w:rPr>
          <w:rFonts w:cstheme="minorHAnsi"/>
          <w:lang w:val="fr-CA"/>
        </w:rPr>
        <w:t xml:space="preserve">à aucune </w:t>
      </w:r>
      <w:r w:rsidR="004B4387" w:rsidRPr="004B4387">
        <w:rPr>
          <w:rFonts w:cstheme="minorHAnsi"/>
          <w:lang w:val="fr-CA"/>
        </w:rPr>
        <w:t xml:space="preserve">interdiction, </w:t>
      </w:r>
      <w:r w:rsidR="00EF2CC3">
        <w:rPr>
          <w:rFonts w:cstheme="minorHAnsi"/>
          <w:lang w:val="fr-CA"/>
        </w:rPr>
        <w:t xml:space="preserve">à aucun </w:t>
      </w:r>
      <w:r w:rsidR="004B4387" w:rsidRPr="004B4387">
        <w:rPr>
          <w:rFonts w:cstheme="minorHAnsi"/>
          <w:lang w:val="fr-CA"/>
        </w:rPr>
        <w:t xml:space="preserve">critère de risque </w:t>
      </w:r>
      <w:r w:rsidR="00EF2CC3">
        <w:rPr>
          <w:rFonts w:cstheme="minorHAnsi"/>
          <w:lang w:val="fr-CA"/>
        </w:rPr>
        <w:t xml:space="preserve">ni à aucune </w:t>
      </w:r>
      <w:r w:rsidR="004B4387" w:rsidRPr="004B4387">
        <w:rPr>
          <w:rFonts w:cstheme="minorHAnsi"/>
          <w:lang w:val="fr-CA"/>
        </w:rPr>
        <w:t>exigence de divulgation et de consultation</w:t>
      </w:r>
      <w:r w:rsidR="00C62E0C">
        <w:rPr>
          <w:rFonts w:cstheme="minorHAnsi"/>
          <w:lang w:val="fr-CA"/>
        </w:rPr>
        <w:t xml:space="preserve"> </w:t>
      </w:r>
      <w:r w:rsidR="004B4387" w:rsidRPr="004B4387">
        <w:rPr>
          <w:rFonts w:cstheme="minorHAnsi"/>
          <w:lang w:val="fr-CA"/>
        </w:rPr>
        <w:t>en matière d</w:t>
      </w:r>
      <w:r w:rsidR="00C62E0C">
        <w:rPr>
          <w:rFonts w:cstheme="minorHAnsi"/>
          <w:lang w:val="fr-CA"/>
        </w:rPr>
        <w:t>’</w:t>
      </w:r>
      <w:r w:rsidR="004B4387" w:rsidRPr="004B4387">
        <w:rPr>
          <w:rFonts w:cstheme="minorHAnsi"/>
          <w:lang w:val="fr-CA"/>
        </w:rPr>
        <w:t xml:space="preserve">IA. </w:t>
      </w:r>
      <w:r w:rsidR="00C62E0C">
        <w:rPr>
          <w:rFonts w:cstheme="minorHAnsi"/>
          <w:lang w:val="fr-CA"/>
        </w:rPr>
        <w:t xml:space="preserve">Par conséquent, l’un ou plusieurs des 51 services de police pourraient adopter des systèmes d’IA à « risque extrême » (tels que la reconnaissance faciale en temps </w:t>
      </w:r>
      <w:r w:rsidR="00C62E0C">
        <w:rPr>
          <w:rFonts w:cstheme="minorHAnsi"/>
          <w:lang w:val="fr-CA"/>
        </w:rPr>
        <w:lastRenderedPageBreak/>
        <w:t>réel ou le maintien de l’ordre prédictif) sans barrières de protection efficaces, sans obligation de rendre des comptes et sans divulgation publique.</w:t>
      </w:r>
      <w:r w:rsidR="004B4387" w:rsidRPr="004B4387">
        <w:rPr>
          <w:rFonts w:cstheme="minorHAnsi"/>
          <w:lang w:val="fr-CA"/>
        </w:rPr>
        <w:t xml:space="preserve"> Il s</w:t>
      </w:r>
      <w:r w:rsidR="00C62E0C">
        <w:rPr>
          <w:rFonts w:cstheme="minorHAnsi"/>
          <w:lang w:val="fr-CA"/>
        </w:rPr>
        <w:t>’</w:t>
      </w:r>
      <w:r w:rsidR="004B4387" w:rsidRPr="004B4387">
        <w:rPr>
          <w:rFonts w:cstheme="minorHAnsi"/>
          <w:lang w:val="fr-CA"/>
        </w:rPr>
        <w:t>agit là du pire scénari</w:t>
      </w:r>
      <w:r w:rsidR="004B4387">
        <w:rPr>
          <w:rFonts w:cstheme="minorHAnsi"/>
          <w:lang w:val="fr-CA"/>
        </w:rPr>
        <w:t>o, mais il n</w:t>
      </w:r>
      <w:r w:rsidR="00C62E0C">
        <w:rPr>
          <w:rFonts w:cstheme="minorHAnsi"/>
          <w:lang w:val="fr-CA"/>
        </w:rPr>
        <w:t>’</w:t>
      </w:r>
      <w:r w:rsidR="004B4387">
        <w:rPr>
          <w:rFonts w:cstheme="minorHAnsi"/>
          <w:lang w:val="fr-CA"/>
        </w:rPr>
        <w:t>est pas impossible</w:t>
      </w:r>
      <w:r w:rsidR="00B549D7" w:rsidRPr="00A317D7">
        <w:rPr>
          <w:rFonts w:cstheme="minorHAnsi"/>
          <w:lang w:val="fr-CA"/>
        </w:rPr>
        <w:t xml:space="preserve">. </w:t>
      </w:r>
    </w:p>
    <w:p w14:paraId="7E8CEB40" w14:textId="6BAF742F" w:rsidR="00B549D7" w:rsidRPr="00A317D7" w:rsidRDefault="004B4387" w:rsidP="009F0A62">
      <w:pPr>
        <w:rPr>
          <w:rFonts w:cstheme="minorHAnsi"/>
          <w:lang w:val="fr-CA"/>
        </w:rPr>
      </w:pPr>
      <w:r w:rsidRPr="004B4387">
        <w:rPr>
          <w:rFonts w:cstheme="minorHAnsi"/>
          <w:lang w:val="fr-CA"/>
        </w:rPr>
        <w:t>De plus, les services de police ne sont pas les seules institutions ou acteurs provinciaux de la justice pénale susceptibles d</w:t>
      </w:r>
      <w:r w:rsidR="00C62E0C">
        <w:rPr>
          <w:rFonts w:cstheme="minorHAnsi"/>
          <w:lang w:val="fr-CA"/>
        </w:rPr>
        <w:t>’</w:t>
      </w:r>
      <w:r w:rsidRPr="004B4387">
        <w:rPr>
          <w:rFonts w:cstheme="minorHAnsi"/>
          <w:lang w:val="fr-CA"/>
        </w:rPr>
        <w:t>être touchés par les systèmes d</w:t>
      </w:r>
      <w:r w:rsidR="00C62E0C">
        <w:rPr>
          <w:rFonts w:cstheme="minorHAnsi"/>
          <w:lang w:val="fr-CA"/>
        </w:rPr>
        <w:t>’</w:t>
      </w:r>
      <w:r w:rsidRPr="004B4387">
        <w:rPr>
          <w:rFonts w:cstheme="minorHAnsi"/>
          <w:lang w:val="fr-CA"/>
        </w:rPr>
        <w:t>IA. Il y a aussi les ministères du Solliciteur général et du Procureur général, les tribunaux, les procureurs de la Couronne, les avocats de la défense, Aide juridique Ontario et d</w:t>
      </w:r>
      <w:r w:rsidR="00C62E0C">
        <w:rPr>
          <w:rFonts w:cstheme="minorHAnsi"/>
          <w:lang w:val="fr-CA"/>
        </w:rPr>
        <w:t>’</w:t>
      </w:r>
      <w:r w:rsidRPr="004B4387">
        <w:rPr>
          <w:rFonts w:cstheme="minorHAnsi"/>
          <w:lang w:val="fr-CA"/>
        </w:rPr>
        <w:t>autres. En avril 2025, il n</w:t>
      </w:r>
      <w:r w:rsidR="00C62E0C">
        <w:rPr>
          <w:rFonts w:cstheme="minorHAnsi"/>
          <w:lang w:val="fr-CA"/>
        </w:rPr>
        <w:t>’</w:t>
      </w:r>
      <w:r w:rsidRPr="004B4387">
        <w:rPr>
          <w:rFonts w:cstheme="minorHAnsi"/>
          <w:lang w:val="fr-CA"/>
        </w:rPr>
        <w:t>y avait pas de lois ou de règles spécifiques régissant l</w:t>
      </w:r>
      <w:r w:rsidR="00C62E0C">
        <w:rPr>
          <w:rFonts w:cstheme="minorHAnsi"/>
          <w:lang w:val="fr-CA"/>
        </w:rPr>
        <w:t>’</w:t>
      </w:r>
      <w:r w:rsidRPr="004B4387">
        <w:rPr>
          <w:rFonts w:cstheme="minorHAnsi"/>
          <w:lang w:val="fr-CA"/>
        </w:rPr>
        <w:t>utilisation ou l</w:t>
      </w:r>
      <w:r w:rsidR="00C62E0C">
        <w:rPr>
          <w:rFonts w:cstheme="minorHAnsi"/>
          <w:lang w:val="fr-CA"/>
        </w:rPr>
        <w:t>’</w:t>
      </w:r>
      <w:r w:rsidRPr="004B4387">
        <w:rPr>
          <w:rFonts w:cstheme="minorHAnsi"/>
          <w:lang w:val="fr-CA"/>
        </w:rPr>
        <w:t>interprétation des systèmes d</w:t>
      </w:r>
      <w:r w:rsidR="00C62E0C">
        <w:rPr>
          <w:rFonts w:cstheme="minorHAnsi"/>
          <w:lang w:val="fr-CA"/>
        </w:rPr>
        <w:t>’</w:t>
      </w:r>
      <w:r w:rsidRPr="004B4387">
        <w:rPr>
          <w:rFonts w:cstheme="minorHAnsi"/>
          <w:lang w:val="fr-CA"/>
        </w:rPr>
        <w:t xml:space="preserve">IA dans le </w:t>
      </w:r>
      <w:r w:rsidR="00FB5F73">
        <w:rPr>
          <w:rFonts w:cstheme="minorHAnsi"/>
          <w:lang w:val="fr-CA"/>
        </w:rPr>
        <w:t>secteur</w:t>
      </w:r>
      <w:r w:rsidRPr="004B4387">
        <w:rPr>
          <w:rFonts w:cstheme="minorHAnsi"/>
          <w:lang w:val="fr-CA"/>
        </w:rPr>
        <w:t xml:space="preserve"> pénal par ces organisations.</w:t>
      </w:r>
      <w:r w:rsidR="00B549D7" w:rsidRPr="00A317D7">
        <w:rPr>
          <w:rFonts w:cstheme="minorHAnsi"/>
          <w:lang w:val="fr-CA"/>
        </w:rPr>
        <w:t xml:space="preserve"> </w:t>
      </w:r>
    </w:p>
    <w:p w14:paraId="7F29F10E" w14:textId="5F739DCA" w:rsidR="00B549D7" w:rsidRPr="00A317D7" w:rsidRDefault="004B4387" w:rsidP="00C35167">
      <w:pPr>
        <w:spacing w:after="0"/>
        <w:rPr>
          <w:rFonts w:cstheme="minorHAnsi"/>
          <w:lang w:val="fr-CA"/>
        </w:rPr>
      </w:pPr>
      <w:r w:rsidRPr="004B4387">
        <w:rPr>
          <w:rFonts w:cstheme="minorHAnsi"/>
          <w:lang w:val="fr-CA"/>
        </w:rPr>
        <w:t>Sans intervention provinciale, toutes ces institutions devront élaborer leurs propres politiques en matière d</w:t>
      </w:r>
      <w:r w:rsidR="00C62E0C">
        <w:rPr>
          <w:rFonts w:cstheme="minorHAnsi"/>
          <w:lang w:val="fr-CA"/>
        </w:rPr>
        <w:t>’</w:t>
      </w:r>
      <w:r w:rsidRPr="004B4387">
        <w:rPr>
          <w:rFonts w:cstheme="minorHAnsi"/>
          <w:lang w:val="fr-CA"/>
        </w:rPr>
        <w:t xml:space="preserve">IA. </w:t>
      </w:r>
      <w:r w:rsidR="00C62E0C">
        <w:rPr>
          <w:rFonts w:cstheme="minorHAnsi"/>
          <w:lang w:val="fr-CA"/>
        </w:rPr>
        <w:t xml:space="preserve">Ces politiques peuvent être cohérentes ou non, respecter ou non les règles juridiques existantes, protéger ou non les droits et intégrer ou non des principes </w:t>
      </w:r>
      <w:r w:rsidR="009E4963">
        <w:rPr>
          <w:rFonts w:cstheme="minorHAnsi"/>
          <w:lang w:val="fr-CA"/>
        </w:rPr>
        <w:t xml:space="preserve">de fiabilité </w:t>
      </w:r>
      <w:r w:rsidR="00C62E0C">
        <w:rPr>
          <w:rFonts w:cstheme="minorHAnsi"/>
          <w:lang w:val="fr-CA"/>
        </w:rPr>
        <w:t xml:space="preserve">en matière d’IA dans le </w:t>
      </w:r>
      <w:r w:rsidR="00FB5F73">
        <w:rPr>
          <w:rFonts w:cstheme="minorHAnsi"/>
          <w:lang w:val="fr-CA"/>
        </w:rPr>
        <w:t>secteur</w:t>
      </w:r>
      <w:r w:rsidR="00FB5F73" w:rsidRPr="004B4387">
        <w:rPr>
          <w:rFonts w:cstheme="minorHAnsi"/>
          <w:lang w:val="fr-CA"/>
        </w:rPr>
        <w:t xml:space="preserve"> </w:t>
      </w:r>
      <w:r w:rsidR="00C62E0C">
        <w:rPr>
          <w:rFonts w:cstheme="minorHAnsi"/>
          <w:lang w:val="fr-CA"/>
        </w:rPr>
        <w:t>pénal.</w:t>
      </w:r>
      <w:r w:rsidRPr="004B4387">
        <w:rPr>
          <w:rFonts w:cstheme="minorHAnsi"/>
          <w:lang w:val="fr-CA"/>
        </w:rPr>
        <w:t xml:space="preserve"> Malheureusement, l</w:t>
      </w:r>
      <w:r w:rsidR="00C62E0C">
        <w:rPr>
          <w:rFonts w:cstheme="minorHAnsi"/>
          <w:lang w:val="fr-CA"/>
        </w:rPr>
        <w:t>’</w:t>
      </w:r>
      <w:r w:rsidRPr="004B4387">
        <w:rPr>
          <w:rFonts w:cstheme="minorHAnsi"/>
          <w:lang w:val="fr-CA"/>
        </w:rPr>
        <w:t>expérience montre que des règles fragmentées ou variables en matière d</w:t>
      </w:r>
      <w:r w:rsidR="00C62E0C">
        <w:rPr>
          <w:rFonts w:cstheme="minorHAnsi"/>
          <w:lang w:val="fr-CA"/>
        </w:rPr>
        <w:t>’</w:t>
      </w:r>
      <w:r w:rsidRPr="004B4387">
        <w:rPr>
          <w:rFonts w:cstheme="minorHAnsi"/>
          <w:lang w:val="fr-CA"/>
        </w:rPr>
        <w:t xml:space="preserve">IA dans le </w:t>
      </w:r>
      <w:r w:rsidR="00FB5F73">
        <w:rPr>
          <w:rFonts w:cstheme="minorHAnsi"/>
          <w:lang w:val="fr-CA"/>
        </w:rPr>
        <w:t>secteur</w:t>
      </w:r>
      <w:r w:rsidR="00FB5F73" w:rsidRPr="004B4387">
        <w:rPr>
          <w:rFonts w:cstheme="minorHAnsi"/>
          <w:lang w:val="fr-CA"/>
        </w:rPr>
        <w:t xml:space="preserve"> </w:t>
      </w:r>
      <w:r w:rsidRPr="004B4387">
        <w:rPr>
          <w:rFonts w:cstheme="minorHAnsi"/>
          <w:lang w:val="fr-CA"/>
        </w:rPr>
        <w:t>pénal peuvent exposer les habitants de certaines régions de la province à un risque accru de discrimination fondée sur l</w:t>
      </w:r>
      <w:r w:rsidR="00C62E0C">
        <w:rPr>
          <w:rFonts w:cstheme="minorHAnsi"/>
          <w:lang w:val="fr-CA"/>
        </w:rPr>
        <w:t>’</w:t>
      </w:r>
      <w:r w:rsidRPr="004B4387">
        <w:rPr>
          <w:rFonts w:cstheme="minorHAnsi"/>
          <w:lang w:val="fr-CA"/>
        </w:rPr>
        <w:t>IA, d</w:t>
      </w:r>
      <w:r w:rsidR="00C62E0C">
        <w:rPr>
          <w:rFonts w:cstheme="minorHAnsi"/>
          <w:lang w:val="fr-CA"/>
        </w:rPr>
        <w:t>’</w:t>
      </w:r>
      <w:r w:rsidRPr="004B4387">
        <w:rPr>
          <w:rFonts w:cstheme="minorHAnsi"/>
          <w:lang w:val="fr-CA"/>
        </w:rPr>
        <w:t>arrestations arbitraires, de v</w:t>
      </w:r>
      <w:r>
        <w:rPr>
          <w:rFonts w:cstheme="minorHAnsi"/>
          <w:lang w:val="fr-CA"/>
        </w:rPr>
        <w:t>iolations de la vie privée, etc</w:t>
      </w:r>
      <w:r w:rsidR="00B549D7" w:rsidRPr="00A317D7">
        <w:rPr>
          <w:rFonts w:cstheme="minorHAnsi"/>
          <w:lang w:val="fr-CA"/>
        </w:rPr>
        <w:t xml:space="preserve">. </w:t>
      </w:r>
    </w:p>
    <w:p w14:paraId="780CD9DB" w14:textId="77777777" w:rsidR="00B549D7" w:rsidRPr="00A317D7" w:rsidRDefault="00B549D7" w:rsidP="00C35167">
      <w:pPr>
        <w:spacing w:after="0"/>
        <w:rPr>
          <w:rFonts w:cstheme="minorHAnsi"/>
          <w:lang w:val="fr-CA"/>
        </w:rPr>
      </w:pPr>
    </w:p>
    <w:p w14:paraId="07119B34" w14:textId="71CEBB62" w:rsidR="00B549D7" w:rsidRPr="00331AAB" w:rsidRDefault="00331AAB" w:rsidP="00F64420">
      <w:pPr>
        <w:pStyle w:val="Heading2"/>
        <w:rPr>
          <w:b w:val="0"/>
          <w:bCs/>
          <w:lang w:val="fr-CA"/>
        </w:rPr>
      </w:pPr>
      <w:bookmarkStart w:id="59" w:name="_Toc197599891"/>
      <w:r w:rsidRPr="00331AAB">
        <w:rPr>
          <w:b w:val="0"/>
          <w:bCs/>
          <w:lang w:val="fr-CA"/>
        </w:rPr>
        <w:t>Directives des commissaires à la protection de la vie privée et des tribunaux canadiens</w:t>
      </w:r>
      <w:bookmarkEnd w:id="59"/>
    </w:p>
    <w:p w14:paraId="51243037" w14:textId="77777777" w:rsidR="00B549D7" w:rsidRPr="00331AAB" w:rsidRDefault="00B549D7" w:rsidP="00C35167">
      <w:pPr>
        <w:spacing w:after="0"/>
        <w:rPr>
          <w:rFonts w:eastAsia="Times New Roman" w:cstheme="minorHAnsi"/>
          <w:color w:val="1A1A1A"/>
          <w:lang w:val="fr-CA"/>
        </w:rPr>
      </w:pPr>
    </w:p>
    <w:p w14:paraId="497BC9C5" w14:textId="31BBD8BA" w:rsidR="00B549D7" w:rsidRPr="00A317D7" w:rsidRDefault="00A70C59" w:rsidP="00C35167">
      <w:pPr>
        <w:spacing w:after="0"/>
        <w:rPr>
          <w:rFonts w:cstheme="minorHAnsi"/>
          <w:sz w:val="24"/>
          <w:szCs w:val="24"/>
          <w:lang w:val="fr-CA"/>
        </w:rPr>
      </w:pPr>
      <w:r>
        <w:rPr>
          <w:rFonts w:eastAsia="Times New Roman" w:cstheme="minorHAnsi"/>
          <w:color w:val="1A1A1A"/>
          <w:lang w:val="fr-CA"/>
        </w:rPr>
        <w:t>L</w:t>
      </w:r>
      <w:r w:rsidRPr="00BD4BB8">
        <w:rPr>
          <w:rFonts w:eastAsia="Times New Roman" w:cstheme="minorHAnsi"/>
          <w:color w:val="1A1A1A"/>
          <w:lang w:val="fr-CA"/>
        </w:rPr>
        <w:t>es commissaires à la protection de la vie privée et les tribunaux can</w:t>
      </w:r>
      <w:r>
        <w:rPr>
          <w:rFonts w:eastAsia="Times New Roman" w:cstheme="minorHAnsi"/>
          <w:color w:val="1A1A1A"/>
          <w:lang w:val="fr-CA"/>
        </w:rPr>
        <w:t>adiens</w:t>
      </w:r>
      <w:r w:rsidRPr="00BD4BB8">
        <w:rPr>
          <w:rFonts w:eastAsia="Times New Roman" w:cstheme="minorHAnsi"/>
          <w:color w:val="1A1A1A"/>
          <w:lang w:val="fr-CA"/>
        </w:rPr>
        <w:t xml:space="preserve"> </w:t>
      </w:r>
      <w:r>
        <w:rPr>
          <w:rFonts w:eastAsia="Times New Roman" w:cstheme="minorHAnsi"/>
          <w:color w:val="1A1A1A"/>
          <w:lang w:val="fr-CA"/>
        </w:rPr>
        <w:t>constituent u</w:t>
      </w:r>
      <w:r w:rsidR="00BD4BB8" w:rsidRPr="00BD4BB8">
        <w:rPr>
          <w:rFonts w:eastAsia="Times New Roman" w:cstheme="minorHAnsi"/>
          <w:color w:val="1A1A1A"/>
          <w:lang w:val="fr-CA"/>
        </w:rPr>
        <w:t xml:space="preserve">ne dernière source de politiques en matière </w:t>
      </w:r>
      <w:r>
        <w:rPr>
          <w:rFonts w:eastAsia="Times New Roman" w:cstheme="minorHAnsi"/>
          <w:color w:val="1A1A1A"/>
          <w:lang w:val="fr-CA"/>
        </w:rPr>
        <w:t>de fiabilité de l</w:t>
      </w:r>
      <w:r w:rsidR="00C62E0C">
        <w:rPr>
          <w:rFonts w:eastAsia="Times New Roman" w:cstheme="minorHAnsi"/>
          <w:color w:val="1A1A1A"/>
          <w:lang w:val="fr-CA"/>
        </w:rPr>
        <w:t>’</w:t>
      </w:r>
      <w:r w:rsidR="00BD4BB8" w:rsidRPr="00BD4BB8">
        <w:rPr>
          <w:rFonts w:eastAsia="Times New Roman" w:cstheme="minorHAnsi"/>
          <w:color w:val="1A1A1A"/>
          <w:lang w:val="fr-CA"/>
        </w:rPr>
        <w:t xml:space="preserve">IA </w:t>
      </w:r>
      <w:r w:rsidR="00105D48" w:rsidRPr="00105D48">
        <w:rPr>
          <w:rFonts w:eastAsia="Times New Roman" w:cstheme="minorHAnsi"/>
          <w:color w:val="1A1A1A"/>
          <w:lang w:val="fr-CA"/>
        </w:rPr>
        <w:t>dans le secteur de la justice pénale</w:t>
      </w:r>
      <w:r w:rsidR="00B549D7" w:rsidRPr="00A317D7">
        <w:rPr>
          <w:rFonts w:eastAsia="Times New Roman" w:cstheme="minorHAnsi"/>
          <w:color w:val="1A1A1A"/>
          <w:lang w:val="fr-CA"/>
        </w:rPr>
        <w:t>.</w:t>
      </w:r>
      <w:r w:rsidR="00BE6D0C" w:rsidRPr="00A317D7">
        <w:rPr>
          <w:rFonts w:eastAsia="Times New Roman" w:cstheme="minorHAnsi"/>
          <w:color w:val="1A1A1A"/>
          <w:lang w:val="fr-CA"/>
        </w:rPr>
        <w:t xml:space="preserve"> </w:t>
      </w:r>
    </w:p>
    <w:p w14:paraId="2CF86708" w14:textId="77777777" w:rsidR="00B549D7" w:rsidRPr="00A317D7" w:rsidRDefault="00B549D7" w:rsidP="00077000">
      <w:pPr>
        <w:spacing w:after="0"/>
        <w:rPr>
          <w:rFonts w:cstheme="minorHAnsi"/>
          <w:lang w:val="fr-CA"/>
        </w:rPr>
      </w:pPr>
    </w:p>
    <w:p w14:paraId="5A9F68BA" w14:textId="0BB64E90" w:rsidR="00B549D7" w:rsidRPr="00BD4BB8" w:rsidRDefault="00BD4BB8" w:rsidP="00077000">
      <w:pPr>
        <w:spacing w:after="0"/>
        <w:rPr>
          <w:lang w:val="fr-CA"/>
        </w:rPr>
      </w:pPr>
      <w:r w:rsidRPr="00BD4BB8">
        <w:rPr>
          <w:lang w:val="fr-CA"/>
        </w:rPr>
        <w:t xml:space="preserve">Les commissaires à la protection de la vie privée du Canada ont joué un rôle de premier plan dans la promotion </w:t>
      </w:r>
      <w:r w:rsidR="00A70C59">
        <w:rPr>
          <w:lang w:val="fr-CA"/>
        </w:rPr>
        <w:t xml:space="preserve">de la </w:t>
      </w:r>
      <w:r w:rsidR="00A70C59">
        <w:rPr>
          <w:rFonts w:eastAsia="Times New Roman" w:cstheme="minorHAnsi"/>
          <w:color w:val="1A1A1A"/>
          <w:lang w:val="fr-CA"/>
        </w:rPr>
        <w:t>fiabilité de l’</w:t>
      </w:r>
      <w:r w:rsidR="00A70C59" w:rsidRPr="00BD4BB8">
        <w:rPr>
          <w:rFonts w:eastAsia="Times New Roman" w:cstheme="minorHAnsi"/>
          <w:color w:val="1A1A1A"/>
          <w:lang w:val="fr-CA"/>
        </w:rPr>
        <w:t xml:space="preserve">IA </w:t>
      </w:r>
      <w:r w:rsidR="00105D48" w:rsidRPr="00105D48">
        <w:rPr>
          <w:lang w:val="fr-CA"/>
        </w:rPr>
        <w:t xml:space="preserve">dans le secteur de la justice pénale </w:t>
      </w:r>
      <w:r w:rsidRPr="00BD4BB8">
        <w:rPr>
          <w:lang w:val="fr-CA"/>
        </w:rPr>
        <w:t>au Canada. À ce jour, les commissaires à la protection de la vie privée du Canada ont réalisé au moins cinq études ou rapports sur les technologies de reconnaissance faciale dans les services de police canadiens</w:t>
      </w:r>
      <w:r w:rsidR="00EC0C2B" w:rsidRPr="00A317D7">
        <w:rPr>
          <w:rStyle w:val="EndnoteReference"/>
          <w:rFonts w:cstheme="minorHAnsi"/>
          <w:sz w:val="24"/>
          <w:szCs w:val="24"/>
          <w:lang w:val="fr-CA"/>
        </w:rPr>
        <w:endnoteReference w:id="61"/>
      </w:r>
      <w:r>
        <w:rPr>
          <w:lang w:val="fr-CA"/>
        </w:rPr>
        <w:t>.</w:t>
      </w:r>
      <w:r w:rsidR="00EC0C2B" w:rsidRPr="00A317D7">
        <w:rPr>
          <w:lang w:val="fr-CA"/>
        </w:rPr>
        <w:t xml:space="preserve"> </w:t>
      </w:r>
      <w:r w:rsidRPr="00BD4BB8">
        <w:rPr>
          <w:lang w:val="fr-CA"/>
        </w:rPr>
        <w:t>Ces rapports fournissent des directives détaillées sur la manière dont les services de police peuvent utiliser les systèmes d</w:t>
      </w:r>
      <w:r w:rsidR="00C62E0C">
        <w:rPr>
          <w:lang w:val="fr-CA"/>
        </w:rPr>
        <w:t>’</w:t>
      </w:r>
      <w:r w:rsidRPr="00BD4BB8">
        <w:rPr>
          <w:lang w:val="fr-CA"/>
        </w:rPr>
        <w:t>IA tout en respectant le droit à la vie privée. L</w:t>
      </w:r>
      <w:r>
        <w:rPr>
          <w:lang w:val="fr-CA"/>
        </w:rPr>
        <w:t>a</w:t>
      </w:r>
      <w:r w:rsidRPr="00BD4BB8">
        <w:rPr>
          <w:lang w:val="fr-CA"/>
        </w:rPr>
        <w:t xml:space="preserve"> CDO espère que les commissaires à la protection de la vie privée du Canada continueront à se pencher sur les questions liées à l</w:t>
      </w:r>
      <w:r w:rsidR="00C62E0C">
        <w:rPr>
          <w:lang w:val="fr-CA"/>
        </w:rPr>
        <w:t>’</w:t>
      </w:r>
      <w:r w:rsidRPr="00BD4BB8">
        <w:rPr>
          <w:lang w:val="fr-CA"/>
        </w:rPr>
        <w:t xml:space="preserve">IA dans le </w:t>
      </w:r>
      <w:r w:rsidR="00A70C59">
        <w:rPr>
          <w:lang w:val="fr-CA"/>
        </w:rPr>
        <w:t>système</w:t>
      </w:r>
      <w:r w:rsidRPr="00BD4BB8">
        <w:rPr>
          <w:lang w:val="fr-CA"/>
        </w:rPr>
        <w:t xml:space="preserve"> </w:t>
      </w:r>
      <w:r w:rsidR="00A70C59">
        <w:rPr>
          <w:lang w:val="fr-CA"/>
        </w:rPr>
        <w:t xml:space="preserve">de justice </w:t>
      </w:r>
      <w:r w:rsidRPr="00BD4BB8">
        <w:rPr>
          <w:lang w:val="fr-CA"/>
        </w:rPr>
        <w:t>pénal</w:t>
      </w:r>
      <w:r w:rsidR="00A70C59">
        <w:rPr>
          <w:lang w:val="fr-CA"/>
        </w:rPr>
        <w:t>e</w:t>
      </w:r>
      <w:r w:rsidR="00B549D7" w:rsidRPr="00BD4BB8">
        <w:rPr>
          <w:rFonts w:eastAsia="Times New Roman" w:cstheme="minorHAnsi"/>
          <w:color w:val="1A1A1A"/>
          <w:lang w:val="fr-CA"/>
        </w:rPr>
        <w:t xml:space="preserve">. </w:t>
      </w:r>
    </w:p>
    <w:p w14:paraId="30819185" w14:textId="77777777" w:rsidR="00B549D7" w:rsidRPr="00BD4BB8" w:rsidRDefault="00B549D7" w:rsidP="00077000">
      <w:pPr>
        <w:spacing w:after="0"/>
        <w:rPr>
          <w:rFonts w:eastAsia="Times New Roman" w:cstheme="minorHAnsi"/>
          <w:color w:val="1A1A1A"/>
          <w:lang w:val="fr-CA"/>
        </w:rPr>
      </w:pPr>
    </w:p>
    <w:p w14:paraId="01B92321" w14:textId="623C8168" w:rsidR="00077000" w:rsidRPr="00BD4BB8" w:rsidRDefault="00BD4BB8" w:rsidP="00077000">
      <w:pPr>
        <w:spacing w:after="0"/>
        <w:rPr>
          <w:lang w:val="fr-CA"/>
        </w:rPr>
      </w:pPr>
      <w:r w:rsidRPr="00BD4BB8">
        <w:rPr>
          <w:lang w:val="fr-CA"/>
        </w:rPr>
        <w:t>Outre les commissaires à la protection de la vie privée, plusieurs tribunaux canadiens ont adopté des politiques en matière d</w:t>
      </w:r>
      <w:r w:rsidR="00C62E0C">
        <w:rPr>
          <w:lang w:val="fr-CA"/>
        </w:rPr>
        <w:t>’</w:t>
      </w:r>
      <w:r w:rsidRPr="00BD4BB8">
        <w:rPr>
          <w:lang w:val="fr-CA"/>
        </w:rPr>
        <w:t>IA. Par exemple, la Cour fédérale a adopté des politiques visant à encadrer l</w:t>
      </w:r>
      <w:r w:rsidR="00C62E0C">
        <w:rPr>
          <w:lang w:val="fr-CA"/>
        </w:rPr>
        <w:t>’</w:t>
      </w:r>
      <w:r w:rsidRPr="00BD4BB8">
        <w:rPr>
          <w:lang w:val="fr-CA"/>
        </w:rPr>
        <w:t>utilisation de l</w:t>
      </w:r>
      <w:r w:rsidR="00C62E0C">
        <w:rPr>
          <w:lang w:val="fr-CA"/>
        </w:rPr>
        <w:t>’</w:t>
      </w:r>
      <w:r w:rsidRPr="00BD4BB8">
        <w:rPr>
          <w:lang w:val="fr-CA"/>
        </w:rPr>
        <w:t>IA par la Cour et à orienter l</w:t>
      </w:r>
      <w:r w:rsidR="00C62E0C">
        <w:rPr>
          <w:lang w:val="fr-CA"/>
        </w:rPr>
        <w:t>’</w:t>
      </w:r>
      <w:r w:rsidRPr="00BD4BB8">
        <w:rPr>
          <w:lang w:val="fr-CA"/>
        </w:rPr>
        <w:t>utilisation de l</w:t>
      </w:r>
      <w:r w:rsidR="00C62E0C">
        <w:rPr>
          <w:lang w:val="fr-CA"/>
        </w:rPr>
        <w:t>’</w:t>
      </w:r>
      <w:r w:rsidRPr="00BD4BB8">
        <w:rPr>
          <w:lang w:val="fr-CA"/>
        </w:rPr>
        <w:t>IA par les parties et les professionnels qui comparaissent devant elle</w:t>
      </w:r>
      <w:r w:rsidR="00B549D7" w:rsidRPr="00A317D7">
        <w:rPr>
          <w:rStyle w:val="EndnoteReference"/>
          <w:rFonts w:cstheme="minorHAnsi"/>
          <w:sz w:val="24"/>
          <w:szCs w:val="24"/>
          <w:lang w:val="fr-CA"/>
        </w:rPr>
        <w:endnoteReference w:id="62"/>
      </w:r>
      <w:r>
        <w:rPr>
          <w:lang w:val="fr-CA"/>
        </w:rPr>
        <w:t>.</w:t>
      </w:r>
      <w:r w:rsidR="00B549D7" w:rsidRPr="00A317D7">
        <w:rPr>
          <w:lang w:val="fr-CA"/>
        </w:rPr>
        <w:t xml:space="preserve"> </w:t>
      </w:r>
      <w:r w:rsidRPr="00BD4BB8">
        <w:rPr>
          <w:lang w:val="fr-CA"/>
        </w:rPr>
        <w:t>Les tribunaux de l</w:t>
      </w:r>
      <w:r w:rsidR="00C62E0C">
        <w:rPr>
          <w:lang w:val="fr-CA"/>
        </w:rPr>
        <w:t>’</w:t>
      </w:r>
      <w:r w:rsidRPr="00BD4BB8">
        <w:rPr>
          <w:lang w:val="fr-CA"/>
        </w:rPr>
        <w:t>Alberta, du Manitoba et du Québec ont adopté des politiques similaires</w:t>
      </w:r>
      <w:r w:rsidR="00B549D7" w:rsidRPr="00A317D7">
        <w:rPr>
          <w:rStyle w:val="EndnoteReference"/>
          <w:rFonts w:cstheme="minorHAnsi"/>
          <w:sz w:val="24"/>
          <w:szCs w:val="24"/>
          <w:lang w:val="fr-CA"/>
        </w:rPr>
        <w:endnoteReference w:id="63"/>
      </w:r>
      <w:r>
        <w:rPr>
          <w:lang w:val="fr-CA"/>
        </w:rPr>
        <w:t>.</w:t>
      </w:r>
      <w:r w:rsidR="00B549D7" w:rsidRPr="00BD4BB8">
        <w:rPr>
          <w:lang w:val="fr-CA"/>
        </w:rPr>
        <w:t xml:space="preserve"> </w:t>
      </w:r>
      <w:r w:rsidRPr="00BD4BB8">
        <w:rPr>
          <w:lang w:val="fr-CA"/>
        </w:rPr>
        <w:t xml:space="preserve">Enfin, le Conseil canadien de la magistrature a produit un ensemble de lignes directrices bien pensées intitulées </w:t>
      </w:r>
      <w:r w:rsidRPr="00AB1362">
        <w:rPr>
          <w:i/>
          <w:lang w:val="fr-CA"/>
        </w:rPr>
        <w:t>Lignes directrices sur l</w:t>
      </w:r>
      <w:r w:rsidR="00C62E0C" w:rsidRPr="00AB1362">
        <w:rPr>
          <w:i/>
          <w:lang w:val="fr-CA"/>
        </w:rPr>
        <w:t>’</w:t>
      </w:r>
      <w:r w:rsidRPr="00AB1362">
        <w:rPr>
          <w:i/>
          <w:lang w:val="fr-CA"/>
        </w:rPr>
        <w:t>utilisation de l</w:t>
      </w:r>
      <w:r w:rsidR="00C62E0C" w:rsidRPr="00AB1362">
        <w:rPr>
          <w:i/>
          <w:lang w:val="fr-CA"/>
        </w:rPr>
        <w:t>’</w:t>
      </w:r>
      <w:r w:rsidRPr="00AB1362">
        <w:rPr>
          <w:i/>
          <w:lang w:val="fr-CA"/>
        </w:rPr>
        <w:t>intelligence artificielle dans les tribunaux canadiens</w:t>
      </w:r>
      <w:r w:rsidR="00B549D7" w:rsidRPr="00A317D7">
        <w:rPr>
          <w:rStyle w:val="EndnoteReference"/>
          <w:lang w:val="fr-CA"/>
        </w:rPr>
        <w:endnoteReference w:id="64"/>
      </w:r>
      <w:r>
        <w:rPr>
          <w:lang w:val="fr-CA"/>
        </w:rPr>
        <w:t>.</w:t>
      </w:r>
      <w:r w:rsidR="00B549D7" w:rsidRPr="00BD4BB8">
        <w:rPr>
          <w:lang w:val="fr-CA"/>
        </w:rPr>
        <w:t xml:space="preserve"> </w:t>
      </w:r>
      <w:r w:rsidRPr="00BD4BB8">
        <w:rPr>
          <w:lang w:val="fr-CA"/>
        </w:rPr>
        <w:t>Ces lignes directrices soulignent la nécessité de maintenir et de respecter l</w:t>
      </w:r>
      <w:r w:rsidR="00C62E0C">
        <w:rPr>
          <w:lang w:val="fr-CA"/>
        </w:rPr>
        <w:t>’</w:t>
      </w:r>
      <w:r w:rsidRPr="00BD4BB8">
        <w:rPr>
          <w:lang w:val="fr-CA"/>
        </w:rPr>
        <w:t>indépendance judiciaire lorsque les tribunaux mettent en œuvre des systèmes d</w:t>
      </w:r>
      <w:r w:rsidR="00C62E0C">
        <w:rPr>
          <w:lang w:val="fr-CA"/>
        </w:rPr>
        <w:t>’</w:t>
      </w:r>
      <w:r w:rsidRPr="00BD4BB8">
        <w:rPr>
          <w:lang w:val="fr-CA"/>
        </w:rPr>
        <w:t>IA</w:t>
      </w:r>
      <w:r w:rsidR="005D349A" w:rsidRPr="00BD4BB8">
        <w:rPr>
          <w:lang w:val="fr-CA"/>
        </w:rPr>
        <w:t>.</w:t>
      </w:r>
      <w:r w:rsidR="00BE6D0C" w:rsidRPr="00BD4BB8">
        <w:rPr>
          <w:lang w:val="fr-CA"/>
        </w:rPr>
        <w:t xml:space="preserve"> </w:t>
      </w:r>
      <w:bookmarkStart w:id="60" w:name="_Hlk145933197"/>
      <w:bookmarkStart w:id="61" w:name="_Toc173918241"/>
    </w:p>
    <w:p w14:paraId="3F879BCF" w14:textId="2CF6251A" w:rsidR="009F0A62" w:rsidRPr="00BD4BB8" w:rsidRDefault="009F0A62" w:rsidP="00077000">
      <w:pPr>
        <w:spacing w:after="0"/>
        <w:rPr>
          <w:lang w:val="fr-CA"/>
        </w:rPr>
      </w:pPr>
    </w:p>
    <w:p w14:paraId="1FD514C2" w14:textId="32522E35" w:rsidR="009F0A62" w:rsidRPr="00A317D7" w:rsidRDefault="00BD4BB8" w:rsidP="009F0A62">
      <w:pPr>
        <w:rPr>
          <w:lang w:val="fr-CA"/>
        </w:rPr>
      </w:pPr>
      <w:r w:rsidRPr="00BD4BB8">
        <w:rPr>
          <w:lang w:val="fr-CA"/>
        </w:rPr>
        <w:t>Les directives des commissaires à la protection de la vie privée et des tribunaux constituent des efforts importants pour établir des principes en matière</w:t>
      </w:r>
      <w:r w:rsidR="00EF5867">
        <w:rPr>
          <w:lang w:val="fr-CA"/>
        </w:rPr>
        <w:t xml:space="preserve"> de fiabilité de l</w:t>
      </w:r>
      <w:r w:rsidR="00C62E0C">
        <w:rPr>
          <w:lang w:val="fr-CA"/>
        </w:rPr>
        <w:t>’</w:t>
      </w:r>
      <w:r w:rsidRPr="00BD4BB8">
        <w:rPr>
          <w:lang w:val="fr-CA"/>
        </w:rPr>
        <w:t>IA dans leurs domaines respectifs. Elles n</w:t>
      </w:r>
      <w:r w:rsidR="00C62E0C">
        <w:rPr>
          <w:lang w:val="fr-CA"/>
        </w:rPr>
        <w:t>’</w:t>
      </w:r>
      <w:r w:rsidRPr="00BD4BB8">
        <w:rPr>
          <w:lang w:val="fr-CA"/>
        </w:rPr>
        <w:t>établissent toutefois pas de responsabilité globale pour les systèmes d</w:t>
      </w:r>
      <w:r w:rsidR="00C62E0C">
        <w:rPr>
          <w:lang w:val="fr-CA"/>
        </w:rPr>
        <w:t>’</w:t>
      </w:r>
      <w:r w:rsidRPr="00BD4BB8">
        <w:rPr>
          <w:lang w:val="fr-CA"/>
        </w:rPr>
        <w:t xml:space="preserve">IA dans le </w:t>
      </w:r>
      <w:r w:rsidR="00EF5867">
        <w:rPr>
          <w:lang w:val="fr-CA"/>
        </w:rPr>
        <w:t xml:space="preserve">secteur </w:t>
      </w:r>
      <w:r w:rsidRPr="00BD4BB8">
        <w:rPr>
          <w:lang w:val="fr-CA"/>
        </w:rPr>
        <w:t>pénal, que ce soit à l</w:t>
      </w:r>
      <w:r w:rsidR="00C62E0C">
        <w:rPr>
          <w:lang w:val="fr-CA"/>
        </w:rPr>
        <w:t>’</w:t>
      </w:r>
      <w:r w:rsidRPr="00BD4BB8">
        <w:rPr>
          <w:lang w:val="fr-CA"/>
        </w:rPr>
        <w:t>échelle nationale ou provinciale</w:t>
      </w:r>
      <w:r w:rsidR="00B9245B" w:rsidRPr="00A317D7">
        <w:rPr>
          <w:lang w:val="fr-CA"/>
        </w:rPr>
        <w:t>.</w:t>
      </w:r>
      <w:r w:rsidR="00BE6D0C" w:rsidRPr="00A317D7">
        <w:rPr>
          <w:lang w:val="fr-CA"/>
        </w:rPr>
        <w:t xml:space="preserve"> </w:t>
      </w:r>
    </w:p>
    <w:p w14:paraId="50D35029" w14:textId="77777777" w:rsidR="008B55B6" w:rsidRPr="00A317D7" w:rsidRDefault="008B55B6" w:rsidP="009F0A62">
      <w:pPr>
        <w:rPr>
          <w:highlight w:val="yellow"/>
          <w:lang w:val="fr-CA"/>
        </w:rPr>
      </w:pPr>
    </w:p>
    <w:p w14:paraId="07322B57" w14:textId="0D18F2CB" w:rsidR="003315DA" w:rsidRPr="00A317D7" w:rsidRDefault="003315DA" w:rsidP="00965500">
      <w:pPr>
        <w:pStyle w:val="Heading1"/>
        <w:numPr>
          <w:ilvl w:val="0"/>
          <w:numId w:val="21"/>
        </w:numPr>
        <w:rPr>
          <w:lang w:val="fr-CA"/>
        </w:rPr>
      </w:pPr>
      <w:bookmarkStart w:id="62" w:name="_Toc188900929"/>
      <w:bookmarkStart w:id="63" w:name="_Toc194406409"/>
      <w:bookmarkStart w:id="64" w:name="_Toc197353493"/>
      <w:bookmarkStart w:id="65" w:name="_Toc197599892"/>
      <w:bookmarkEnd w:id="60"/>
      <w:bookmarkEnd w:id="61"/>
      <w:r w:rsidRPr="00A317D7">
        <w:rPr>
          <w:lang w:val="fr-CA"/>
        </w:rPr>
        <w:lastRenderedPageBreak/>
        <w:t>Conclusion</w:t>
      </w:r>
      <w:bookmarkEnd w:id="62"/>
      <w:bookmarkEnd w:id="63"/>
      <w:bookmarkEnd w:id="64"/>
      <w:bookmarkEnd w:id="65"/>
    </w:p>
    <w:p w14:paraId="054D9FF6" w14:textId="77777777" w:rsidR="00DD5082" w:rsidRPr="00A317D7" w:rsidRDefault="00DD5082" w:rsidP="00DD5082">
      <w:pPr>
        <w:spacing w:after="0"/>
        <w:rPr>
          <w:lang w:val="fr-CA" w:eastAsia="en-CA"/>
        </w:rPr>
      </w:pPr>
    </w:p>
    <w:p w14:paraId="671E9956" w14:textId="681F8E20" w:rsidR="00DD5082" w:rsidRPr="00A317D7" w:rsidRDefault="00EE3CFA" w:rsidP="008960D2">
      <w:pPr>
        <w:spacing w:after="0"/>
        <w:rPr>
          <w:lang w:val="fr-CA"/>
        </w:rPr>
      </w:pPr>
      <w:r w:rsidRPr="00EE3CFA">
        <w:rPr>
          <w:lang w:val="fr-CA" w:eastAsia="en-CA"/>
        </w:rPr>
        <w:t>De nombreux progrès ont été réalisés en matière de gouvernance de l</w:t>
      </w:r>
      <w:r w:rsidR="00C62E0C">
        <w:rPr>
          <w:lang w:val="fr-CA" w:eastAsia="en-CA"/>
        </w:rPr>
        <w:t>’</w:t>
      </w:r>
      <w:r w:rsidRPr="00EE3CFA">
        <w:rPr>
          <w:lang w:val="fr-CA" w:eastAsia="en-CA"/>
        </w:rPr>
        <w:t>IA à l</w:t>
      </w:r>
      <w:r w:rsidR="00C62E0C">
        <w:rPr>
          <w:lang w:val="fr-CA" w:eastAsia="en-CA"/>
        </w:rPr>
        <w:t>’</w:t>
      </w:r>
      <w:r w:rsidRPr="00EE3CFA">
        <w:rPr>
          <w:lang w:val="fr-CA" w:eastAsia="en-CA"/>
        </w:rPr>
        <w:t>échelle fédérale et provinciale au Canada. Il faut saluer les efforts déployés par plusieurs services de police, commissaires à la protection de la vie privée et autres intervenants canadiens, qui ont pris d</w:t>
      </w:r>
      <w:r w:rsidR="00C62E0C">
        <w:rPr>
          <w:lang w:val="fr-CA" w:eastAsia="en-CA"/>
        </w:rPr>
        <w:t>’</w:t>
      </w:r>
      <w:r w:rsidRPr="00EE3CFA">
        <w:rPr>
          <w:lang w:val="fr-CA" w:eastAsia="en-CA"/>
        </w:rPr>
        <w:t>importantes initiatives pour lutter contre les risques liés à l</w:t>
      </w:r>
      <w:r w:rsidR="00C62E0C">
        <w:rPr>
          <w:lang w:val="fr-CA" w:eastAsia="en-CA"/>
        </w:rPr>
        <w:t>’</w:t>
      </w:r>
      <w:r w:rsidRPr="00EE3CFA">
        <w:rPr>
          <w:lang w:val="fr-CA" w:eastAsia="en-CA"/>
        </w:rPr>
        <w:t xml:space="preserve">IA dans le </w:t>
      </w:r>
      <w:r w:rsidR="002560A5">
        <w:rPr>
          <w:lang w:val="fr-CA" w:eastAsia="en-CA"/>
        </w:rPr>
        <w:t xml:space="preserve">système de justice </w:t>
      </w:r>
      <w:r w:rsidRPr="00EE3CFA">
        <w:rPr>
          <w:lang w:val="fr-CA" w:eastAsia="en-CA"/>
        </w:rPr>
        <w:t>pénal</w:t>
      </w:r>
      <w:r w:rsidR="002560A5">
        <w:rPr>
          <w:lang w:val="fr-CA" w:eastAsia="en-CA"/>
        </w:rPr>
        <w:t>e</w:t>
      </w:r>
      <w:r w:rsidRPr="00EE3CFA">
        <w:rPr>
          <w:lang w:val="fr-CA" w:eastAsia="en-CA"/>
        </w:rPr>
        <w:t>. Malheureusement, il existe encore des lacunes importantes et lourdes de conséquences dans le cadre législatif ou juridique régissant les systèmes d</w:t>
      </w:r>
      <w:r w:rsidR="00C62E0C">
        <w:rPr>
          <w:lang w:val="fr-CA" w:eastAsia="en-CA"/>
        </w:rPr>
        <w:t>’</w:t>
      </w:r>
      <w:r w:rsidRPr="00EE3CFA">
        <w:rPr>
          <w:lang w:val="fr-CA" w:eastAsia="en-CA"/>
        </w:rPr>
        <w:t xml:space="preserve">IA dans le </w:t>
      </w:r>
      <w:r w:rsidR="002560A5">
        <w:rPr>
          <w:lang w:val="fr-CA" w:eastAsia="en-CA"/>
        </w:rPr>
        <w:t xml:space="preserve">secteur </w:t>
      </w:r>
      <w:r w:rsidRPr="00EE3CFA">
        <w:rPr>
          <w:lang w:val="fr-CA" w:eastAsia="en-CA"/>
        </w:rPr>
        <w:t>pénal, notamment</w:t>
      </w:r>
      <w:r>
        <w:rPr>
          <w:lang w:val="fr-CA" w:eastAsia="en-CA"/>
        </w:rPr>
        <w:t> </w:t>
      </w:r>
      <w:r w:rsidR="002F1814" w:rsidRPr="00A317D7">
        <w:rPr>
          <w:lang w:val="fr-CA"/>
        </w:rPr>
        <w:t>:</w:t>
      </w:r>
      <w:r w:rsidR="002F1814" w:rsidRPr="00A317D7">
        <w:rPr>
          <w:lang w:val="fr-CA" w:eastAsia="en-CA"/>
        </w:rPr>
        <w:t xml:space="preserve"> </w:t>
      </w:r>
    </w:p>
    <w:p w14:paraId="71AC8E16" w14:textId="77777777" w:rsidR="00DD5082" w:rsidRPr="00A317D7" w:rsidRDefault="00DD5082" w:rsidP="008960D2">
      <w:pPr>
        <w:spacing w:after="0"/>
        <w:rPr>
          <w:lang w:val="fr-CA" w:eastAsia="en-CA"/>
        </w:rPr>
      </w:pPr>
    </w:p>
    <w:p w14:paraId="36A6332F" w14:textId="5D12500F" w:rsidR="00F75E2B" w:rsidRPr="00A317D7" w:rsidRDefault="00E81E71" w:rsidP="00E81E71">
      <w:pPr>
        <w:pStyle w:val="ListParagraph"/>
        <w:numPr>
          <w:ilvl w:val="0"/>
          <w:numId w:val="12"/>
        </w:numPr>
        <w:rPr>
          <w:rFonts w:ascii="Calibri" w:hAnsi="Calibri" w:cs="Calibri"/>
          <w:lang w:val="fr-CA" w:eastAsia="en-CA"/>
        </w:rPr>
      </w:pPr>
      <w:r w:rsidRPr="00E81E71">
        <w:rPr>
          <w:rFonts w:ascii="Calibri" w:hAnsi="Calibri" w:cs="Calibri"/>
          <w:b/>
          <w:bCs/>
          <w:lang w:val="fr-CA" w:eastAsia="en-CA"/>
        </w:rPr>
        <w:t>Absence d</w:t>
      </w:r>
      <w:r w:rsidR="00C62E0C">
        <w:rPr>
          <w:rFonts w:ascii="Calibri" w:hAnsi="Calibri" w:cs="Calibri"/>
          <w:b/>
          <w:bCs/>
          <w:lang w:val="fr-CA" w:eastAsia="en-CA"/>
        </w:rPr>
        <w:t>’</w:t>
      </w:r>
      <w:r w:rsidRPr="00E81E71">
        <w:rPr>
          <w:rFonts w:ascii="Calibri" w:hAnsi="Calibri" w:cs="Calibri"/>
          <w:b/>
          <w:bCs/>
          <w:lang w:val="fr-CA" w:eastAsia="en-CA"/>
        </w:rPr>
        <w:t>exigences obligatoires et cohérentes en matière de divulgation</w:t>
      </w:r>
      <w:r w:rsidR="00F75E2B" w:rsidRPr="00A317D7">
        <w:rPr>
          <w:rFonts w:ascii="Calibri" w:hAnsi="Calibri" w:cs="Calibri"/>
          <w:b/>
          <w:bCs/>
          <w:lang w:val="fr-CA" w:eastAsia="en-CA"/>
        </w:rPr>
        <w:t>.</w:t>
      </w:r>
      <w:r w:rsidR="00F75E2B" w:rsidRPr="00A317D7">
        <w:rPr>
          <w:rFonts w:ascii="Calibri" w:hAnsi="Calibri" w:cs="Calibri"/>
          <w:lang w:val="fr-CA" w:eastAsia="en-CA"/>
        </w:rPr>
        <w:t xml:space="preserve"> </w:t>
      </w:r>
      <w:r w:rsidRPr="00E81E71">
        <w:rPr>
          <w:rFonts w:ascii="Calibri" w:hAnsi="Calibri" w:cs="Calibri"/>
          <w:lang w:val="fr-CA" w:eastAsia="en-CA"/>
        </w:rPr>
        <w:t>À l</w:t>
      </w:r>
      <w:r w:rsidR="00C62E0C">
        <w:rPr>
          <w:rFonts w:ascii="Calibri" w:hAnsi="Calibri" w:cs="Calibri"/>
          <w:lang w:val="fr-CA" w:eastAsia="en-CA"/>
        </w:rPr>
        <w:t>’</w:t>
      </w:r>
      <w:r w:rsidRPr="00E81E71">
        <w:rPr>
          <w:rFonts w:ascii="Calibri" w:hAnsi="Calibri" w:cs="Calibri"/>
          <w:lang w:val="fr-CA" w:eastAsia="en-CA"/>
        </w:rPr>
        <w:t>heure actuelle, la grande majorité des services de police de l</w:t>
      </w:r>
      <w:r w:rsidR="00C62E0C">
        <w:rPr>
          <w:rFonts w:ascii="Calibri" w:hAnsi="Calibri" w:cs="Calibri"/>
          <w:lang w:val="fr-CA" w:eastAsia="en-CA"/>
        </w:rPr>
        <w:t>’</w:t>
      </w:r>
      <w:r w:rsidRPr="00E81E71">
        <w:rPr>
          <w:rFonts w:ascii="Calibri" w:hAnsi="Calibri" w:cs="Calibri"/>
          <w:lang w:val="fr-CA" w:eastAsia="en-CA"/>
        </w:rPr>
        <w:t>Ontario pourraient mettre en œuvre le maintien de l</w:t>
      </w:r>
      <w:r w:rsidR="00C62E0C">
        <w:rPr>
          <w:rFonts w:ascii="Calibri" w:hAnsi="Calibri" w:cs="Calibri"/>
          <w:lang w:val="fr-CA" w:eastAsia="en-CA"/>
        </w:rPr>
        <w:t>’</w:t>
      </w:r>
      <w:r w:rsidRPr="00E81E71">
        <w:rPr>
          <w:rFonts w:ascii="Calibri" w:hAnsi="Calibri" w:cs="Calibri"/>
          <w:lang w:val="fr-CA" w:eastAsia="en-CA"/>
        </w:rPr>
        <w:t>ordre prédictif, la technologie de reconnaissance faciale ou d</w:t>
      </w:r>
      <w:r w:rsidR="00C62E0C">
        <w:rPr>
          <w:rFonts w:ascii="Calibri" w:hAnsi="Calibri" w:cs="Calibri"/>
          <w:lang w:val="fr-CA" w:eastAsia="en-CA"/>
        </w:rPr>
        <w:t>’</w:t>
      </w:r>
      <w:r w:rsidRPr="00E81E71">
        <w:rPr>
          <w:rFonts w:ascii="Calibri" w:hAnsi="Calibri" w:cs="Calibri"/>
          <w:lang w:val="fr-CA" w:eastAsia="en-CA"/>
        </w:rPr>
        <w:t>autres formes d</w:t>
      </w:r>
      <w:r w:rsidR="00C62E0C">
        <w:rPr>
          <w:rFonts w:ascii="Calibri" w:hAnsi="Calibri" w:cs="Calibri"/>
          <w:lang w:val="fr-CA" w:eastAsia="en-CA"/>
        </w:rPr>
        <w:t>’</w:t>
      </w:r>
      <w:r w:rsidRPr="00E81E71">
        <w:rPr>
          <w:rFonts w:ascii="Calibri" w:hAnsi="Calibri" w:cs="Calibri"/>
          <w:lang w:val="fr-CA" w:eastAsia="en-CA"/>
        </w:rPr>
        <w:t xml:space="preserve">IA sans avoir à </w:t>
      </w:r>
      <w:r w:rsidR="002560A5">
        <w:rPr>
          <w:rFonts w:ascii="Calibri" w:hAnsi="Calibri" w:cs="Calibri"/>
          <w:lang w:val="fr-CA" w:eastAsia="en-CA"/>
        </w:rPr>
        <w:t>en informer le public</w:t>
      </w:r>
      <w:r w:rsidR="00F75E2B" w:rsidRPr="00A317D7">
        <w:rPr>
          <w:rFonts w:ascii="Calibri" w:hAnsi="Calibri" w:cs="Calibri"/>
          <w:lang w:val="fr-CA" w:eastAsia="en-CA"/>
        </w:rPr>
        <w:t xml:space="preserve">. </w:t>
      </w:r>
    </w:p>
    <w:p w14:paraId="210659C8" w14:textId="19C70191" w:rsidR="00F75E2B" w:rsidRPr="00A317D7" w:rsidRDefault="00E81E71" w:rsidP="00E81E71">
      <w:pPr>
        <w:pStyle w:val="ListParagraph"/>
        <w:numPr>
          <w:ilvl w:val="0"/>
          <w:numId w:val="12"/>
        </w:numPr>
        <w:rPr>
          <w:rFonts w:ascii="Calibri" w:hAnsi="Calibri" w:cs="Calibri"/>
          <w:lang w:val="fr-CA" w:eastAsia="en-CA"/>
        </w:rPr>
      </w:pPr>
      <w:r w:rsidRPr="00E81E71">
        <w:rPr>
          <w:rFonts w:ascii="Calibri" w:hAnsi="Calibri" w:cs="Calibri"/>
          <w:b/>
          <w:bCs/>
          <w:lang w:val="fr-CA" w:eastAsia="en-CA"/>
        </w:rPr>
        <w:t>Absence d</w:t>
      </w:r>
      <w:r w:rsidR="00C62E0C">
        <w:rPr>
          <w:rFonts w:ascii="Calibri" w:hAnsi="Calibri" w:cs="Calibri"/>
          <w:b/>
          <w:bCs/>
          <w:lang w:val="fr-CA" w:eastAsia="en-CA"/>
        </w:rPr>
        <w:t>’</w:t>
      </w:r>
      <w:r w:rsidRPr="00E81E71">
        <w:rPr>
          <w:rFonts w:ascii="Calibri" w:hAnsi="Calibri" w:cs="Calibri"/>
          <w:b/>
          <w:bCs/>
          <w:lang w:val="fr-CA" w:eastAsia="en-CA"/>
        </w:rPr>
        <w:t>interdictions relatives à l</w:t>
      </w:r>
      <w:r w:rsidR="00C62E0C">
        <w:rPr>
          <w:rFonts w:ascii="Calibri" w:hAnsi="Calibri" w:cs="Calibri"/>
          <w:b/>
          <w:bCs/>
          <w:lang w:val="fr-CA" w:eastAsia="en-CA"/>
        </w:rPr>
        <w:t>’</w:t>
      </w:r>
      <w:r w:rsidRPr="00E81E71">
        <w:rPr>
          <w:rFonts w:ascii="Calibri" w:hAnsi="Calibri" w:cs="Calibri"/>
          <w:b/>
          <w:bCs/>
          <w:lang w:val="fr-CA" w:eastAsia="en-CA"/>
        </w:rPr>
        <w:t>IA en matière pénale, de «</w:t>
      </w:r>
      <w:r>
        <w:rPr>
          <w:rFonts w:ascii="Calibri" w:hAnsi="Calibri" w:cs="Calibri"/>
          <w:b/>
          <w:bCs/>
          <w:lang w:val="fr-CA" w:eastAsia="en-CA"/>
        </w:rPr>
        <w:t> </w:t>
      </w:r>
      <w:r w:rsidRPr="00E81E71">
        <w:rPr>
          <w:rFonts w:ascii="Calibri" w:hAnsi="Calibri" w:cs="Calibri"/>
          <w:b/>
          <w:bCs/>
          <w:lang w:val="fr-CA" w:eastAsia="en-CA"/>
        </w:rPr>
        <w:t>barrière de protection</w:t>
      </w:r>
      <w:r>
        <w:rPr>
          <w:rFonts w:ascii="Calibri" w:hAnsi="Calibri" w:cs="Calibri"/>
          <w:b/>
          <w:bCs/>
          <w:lang w:val="fr-CA" w:eastAsia="en-CA"/>
        </w:rPr>
        <w:t> </w:t>
      </w:r>
      <w:r w:rsidRPr="00E81E71">
        <w:rPr>
          <w:rFonts w:ascii="Calibri" w:hAnsi="Calibri" w:cs="Calibri"/>
          <w:b/>
          <w:bCs/>
          <w:lang w:val="fr-CA" w:eastAsia="en-CA"/>
        </w:rPr>
        <w:t>» ou de critères de risque cohérents</w:t>
      </w:r>
      <w:r w:rsidR="00F75E2B" w:rsidRPr="00A317D7">
        <w:rPr>
          <w:rFonts w:ascii="Calibri" w:hAnsi="Calibri" w:cs="Calibri"/>
          <w:b/>
          <w:bCs/>
          <w:lang w:val="fr-CA" w:eastAsia="en-CA"/>
        </w:rPr>
        <w:t>.</w:t>
      </w:r>
      <w:r w:rsidR="00F75E2B" w:rsidRPr="00A317D7">
        <w:rPr>
          <w:rFonts w:ascii="Calibri" w:hAnsi="Calibri" w:cs="Calibri"/>
          <w:lang w:val="fr-CA" w:eastAsia="en-CA"/>
        </w:rPr>
        <w:t xml:space="preserve"> </w:t>
      </w:r>
      <w:r w:rsidRPr="00E81E71">
        <w:rPr>
          <w:rFonts w:ascii="Calibri" w:hAnsi="Calibri" w:cs="Calibri"/>
          <w:lang w:val="fr-CA" w:eastAsia="en-CA"/>
        </w:rPr>
        <w:t>En Ontario, il n</w:t>
      </w:r>
      <w:r w:rsidR="00C62E0C">
        <w:rPr>
          <w:rFonts w:ascii="Calibri" w:hAnsi="Calibri" w:cs="Calibri"/>
          <w:lang w:val="fr-CA" w:eastAsia="en-CA"/>
        </w:rPr>
        <w:t>’</w:t>
      </w:r>
      <w:r w:rsidRPr="00E81E71">
        <w:rPr>
          <w:rFonts w:ascii="Calibri" w:hAnsi="Calibri" w:cs="Calibri"/>
          <w:lang w:val="fr-CA" w:eastAsia="en-CA"/>
        </w:rPr>
        <w:t>existe aucune «</w:t>
      </w:r>
      <w:r w:rsidR="00C62E0C">
        <w:rPr>
          <w:rFonts w:ascii="Calibri" w:hAnsi="Calibri" w:cs="Calibri"/>
          <w:lang w:val="fr-CA" w:eastAsia="en-CA"/>
        </w:rPr>
        <w:t> </w:t>
      </w:r>
      <w:r w:rsidRPr="00E81E71">
        <w:rPr>
          <w:rFonts w:ascii="Calibri" w:hAnsi="Calibri" w:cs="Calibri"/>
          <w:lang w:val="fr-CA" w:eastAsia="en-CA"/>
        </w:rPr>
        <w:t>barrière de protection</w:t>
      </w:r>
      <w:r w:rsidR="00C62E0C">
        <w:rPr>
          <w:rFonts w:ascii="Calibri" w:hAnsi="Calibri" w:cs="Calibri"/>
          <w:lang w:val="fr-CA" w:eastAsia="en-CA"/>
        </w:rPr>
        <w:t> </w:t>
      </w:r>
      <w:r w:rsidRPr="00E81E71">
        <w:rPr>
          <w:rFonts w:ascii="Calibri" w:hAnsi="Calibri" w:cs="Calibri"/>
          <w:lang w:val="fr-CA" w:eastAsia="en-CA"/>
        </w:rPr>
        <w:t>» légale interdisant ou r</w:t>
      </w:r>
      <w:r w:rsidR="00C62E0C">
        <w:rPr>
          <w:rFonts w:ascii="Calibri" w:hAnsi="Calibri" w:cs="Calibri"/>
          <w:lang w:val="fr-CA" w:eastAsia="en-CA"/>
        </w:rPr>
        <w:t>è</w:t>
      </w:r>
      <w:r w:rsidRPr="00E81E71">
        <w:rPr>
          <w:rFonts w:ascii="Calibri" w:hAnsi="Calibri" w:cs="Calibri"/>
          <w:lang w:val="fr-CA" w:eastAsia="en-CA"/>
        </w:rPr>
        <w:t>glementant les systèmes d</w:t>
      </w:r>
      <w:r w:rsidR="00C62E0C">
        <w:rPr>
          <w:rFonts w:ascii="Calibri" w:hAnsi="Calibri" w:cs="Calibri"/>
          <w:lang w:val="fr-CA" w:eastAsia="en-CA"/>
        </w:rPr>
        <w:t>’</w:t>
      </w:r>
      <w:r w:rsidRPr="00E81E71">
        <w:rPr>
          <w:rFonts w:ascii="Calibri" w:hAnsi="Calibri" w:cs="Calibri"/>
          <w:lang w:val="fr-CA" w:eastAsia="en-CA"/>
        </w:rPr>
        <w:t xml:space="preserve">IA dans le </w:t>
      </w:r>
      <w:r w:rsidR="002560A5">
        <w:rPr>
          <w:rFonts w:ascii="Calibri" w:hAnsi="Calibri" w:cs="Calibri"/>
          <w:lang w:val="fr-CA" w:eastAsia="en-CA"/>
        </w:rPr>
        <w:t>secteur</w:t>
      </w:r>
      <w:r w:rsidRPr="00E81E71">
        <w:rPr>
          <w:rFonts w:ascii="Calibri" w:hAnsi="Calibri" w:cs="Calibri"/>
          <w:lang w:val="fr-CA" w:eastAsia="en-CA"/>
        </w:rPr>
        <w:t xml:space="preserve"> pénal les plus risqués, tels que la surveillance de masse en temps réel et le maintien de l</w:t>
      </w:r>
      <w:r w:rsidR="00C62E0C">
        <w:rPr>
          <w:rFonts w:ascii="Calibri" w:hAnsi="Calibri" w:cs="Calibri"/>
          <w:lang w:val="fr-CA" w:eastAsia="en-CA"/>
        </w:rPr>
        <w:t>’</w:t>
      </w:r>
      <w:r w:rsidRPr="00E81E71">
        <w:rPr>
          <w:rFonts w:ascii="Calibri" w:hAnsi="Calibri" w:cs="Calibri"/>
          <w:lang w:val="fr-CA" w:eastAsia="en-CA"/>
        </w:rPr>
        <w:t>ordre prédictif. Il n</w:t>
      </w:r>
      <w:r w:rsidR="00C62E0C">
        <w:rPr>
          <w:rFonts w:ascii="Calibri" w:hAnsi="Calibri" w:cs="Calibri"/>
          <w:lang w:val="fr-CA" w:eastAsia="en-CA"/>
        </w:rPr>
        <w:t>’</w:t>
      </w:r>
      <w:r w:rsidRPr="00E81E71">
        <w:rPr>
          <w:rFonts w:ascii="Calibri" w:hAnsi="Calibri" w:cs="Calibri"/>
          <w:lang w:val="fr-CA" w:eastAsia="en-CA"/>
        </w:rPr>
        <w:t>existe pas non plus de catégories de risques transparentes et cohérentes permettant d</w:t>
      </w:r>
      <w:r w:rsidR="00C62E0C">
        <w:rPr>
          <w:rFonts w:ascii="Calibri" w:hAnsi="Calibri" w:cs="Calibri"/>
          <w:lang w:val="fr-CA" w:eastAsia="en-CA"/>
        </w:rPr>
        <w:t>’</w:t>
      </w:r>
      <w:r w:rsidRPr="00E81E71">
        <w:rPr>
          <w:rFonts w:ascii="Calibri" w:hAnsi="Calibri" w:cs="Calibri"/>
          <w:lang w:val="fr-CA" w:eastAsia="en-CA"/>
        </w:rPr>
        <w:t>identifier de manière systématique les risques liés à l</w:t>
      </w:r>
      <w:r w:rsidR="00C62E0C">
        <w:rPr>
          <w:rFonts w:ascii="Calibri" w:hAnsi="Calibri" w:cs="Calibri"/>
          <w:lang w:val="fr-CA" w:eastAsia="en-CA"/>
        </w:rPr>
        <w:t>’</w:t>
      </w:r>
      <w:r w:rsidRPr="00E81E71">
        <w:rPr>
          <w:rFonts w:ascii="Calibri" w:hAnsi="Calibri" w:cs="Calibri"/>
          <w:lang w:val="fr-CA" w:eastAsia="en-CA"/>
        </w:rPr>
        <w:t xml:space="preserve">IA dans le </w:t>
      </w:r>
      <w:r w:rsidR="002560A5">
        <w:rPr>
          <w:rFonts w:ascii="Calibri" w:hAnsi="Calibri" w:cs="Calibri"/>
          <w:lang w:val="fr-CA" w:eastAsia="en-CA"/>
        </w:rPr>
        <w:t xml:space="preserve">secteur </w:t>
      </w:r>
      <w:r w:rsidRPr="00E81E71">
        <w:rPr>
          <w:rFonts w:ascii="Calibri" w:hAnsi="Calibri" w:cs="Calibri"/>
          <w:lang w:val="fr-CA" w:eastAsia="en-CA"/>
        </w:rPr>
        <w:t>pénal et les stratégi</w:t>
      </w:r>
      <w:r>
        <w:rPr>
          <w:rFonts w:ascii="Calibri" w:hAnsi="Calibri" w:cs="Calibri"/>
          <w:lang w:val="fr-CA" w:eastAsia="en-CA"/>
        </w:rPr>
        <w:t>es d</w:t>
      </w:r>
      <w:r w:rsidR="00C62E0C">
        <w:rPr>
          <w:rFonts w:ascii="Calibri" w:hAnsi="Calibri" w:cs="Calibri"/>
          <w:lang w:val="fr-CA" w:eastAsia="en-CA"/>
        </w:rPr>
        <w:t>’</w:t>
      </w:r>
      <w:r>
        <w:rPr>
          <w:rFonts w:ascii="Calibri" w:hAnsi="Calibri" w:cs="Calibri"/>
          <w:lang w:val="fr-CA" w:eastAsia="en-CA"/>
        </w:rPr>
        <w:t>atténuation de ces risques</w:t>
      </w:r>
      <w:r w:rsidR="00F75E2B" w:rsidRPr="00A317D7">
        <w:rPr>
          <w:rFonts w:ascii="Calibri" w:hAnsi="Calibri" w:cs="Calibri"/>
          <w:lang w:val="fr-CA" w:eastAsia="en-CA"/>
        </w:rPr>
        <w:t>.</w:t>
      </w:r>
    </w:p>
    <w:p w14:paraId="0BAF20FB" w14:textId="028D6EA3" w:rsidR="00F75E2B" w:rsidRPr="00A317D7" w:rsidRDefault="00E81E71" w:rsidP="00E81E71">
      <w:pPr>
        <w:pStyle w:val="ListParagraph"/>
        <w:numPr>
          <w:ilvl w:val="0"/>
          <w:numId w:val="12"/>
        </w:numPr>
        <w:rPr>
          <w:rFonts w:ascii="Calibri" w:hAnsi="Calibri" w:cs="Calibri"/>
          <w:lang w:val="fr-CA" w:eastAsia="en-CA"/>
        </w:rPr>
      </w:pPr>
      <w:r w:rsidRPr="00E81E71">
        <w:rPr>
          <w:rFonts w:ascii="Calibri" w:hAnsi="Calibri" w:cs="Calibri"/>
          <w:b/>
          <w:bCs/>
          <w:lang w:val="fr-CA" w:eastAsia="en-CA"/>
        </w:rPr>
        <w:t>Absence d</w:t>
      </w:r>
      <w:r w:rsidR="00C62E0C">
        <w:rPr>
          <w:rFonts w:ascii="Calibri" w:hAnsi="Calibri" w:cs="Calibri"/>
          <w:b/>
          <w:bCs/>
          <w:lang w:val="fr-CA" w:eastAsia="en-CA"/>
        </w:rPr>
        <w:t>’</w:t>
      </w:r>
      <w:r w:rsidRPr="00E81E71">
        <w:rPr>
          <w:rFonts w:ascii="Calibri" w:hAnsi="Calibri" w:cs="Calibri"/>
          <w:b/>
          <w:bCs/>
          <w:lang w:val="fr-CA" w:eastAsia="en-CA"/>
        </w:rPr>
        <w:t>évaluations d</w:t>
      </w:r>
      <w:r w:rsidR="00C62E0C">
        <w:rPr>
          <w:rFonts w:ascii="Calibri" w:hAnsi="Calibri" w:cs="Calibri"/>
          <w:b/>
          <w:bCs/>
          <w:lang w:val="fr-CA" w:eastAsia="en-CA"/>
        </w:rPr>
        <w:t>’</w:t>
      </w:r>
      <w:r w:rsidRPr="00E81E71">
        <w:rPr>
          <w:rFonts w:ascii="Calibri" w:hAnsi="Calibri" w:cs="Calibri"/>
          <w:b/>
          <w:bCs/>
          <w:lang w:val="fr-CA" w:eastAsia="en-CA"/>
        </w:rPr>
        <w:t>i</w:t>
      </w:r>
      <w:r w:rsidR="00C00B53">
        <w:rPr>
          <w:rFonts w:ascii="Calibri" w:hAnsi="Calibri" w:cs="Calibri"/>
          <w:b/>
          <w:bCs/>
          <w:lang w:val="fr-CA" w:eastAsia="en-CA"/>
        </w:rPr>
        <w:t xml:space="preserve">ncidence </w:t>
      </w:r>
      <w:r w:rsidRPr="00E81E71">
        <w:rPr>
          <w:rFonts w:ascii="Calibri" w:hAnsi="Calibri" w:cs="Calibri"/>
          <w:b/>
          <w:bCs/>
          <w:lang w:val="fr-CA" w:eastAsia="en-CA"/>
        </w:rPr>
        <w:t>obligatoires</w:t>
      </w:r>
      <w:r w:rsidR="00F75E2B" w:rsidRPr="00A317D7">
        <w:rPr>
          <w:rFonts w:ascii="Calibri" w:hAnsi="Calibri" w:cs="Calibri"/>
          <w:b/>
          <w:bCs/>
          <w:lang w:val="fr-CA" w:eastAsia="en-CA"/>
        </w:rPr>
        <w:t>.</w:t>
      </w:r>
      <w:r w:rsidR="00F75E2B" w:rsidRPr="00A317D7">
        <w:rPr>
          <w:rFonts w:ascii="Calibri" w:hAnsi="Calibri" w:cs="Calibri"/>
          <w:lang w:val="fr-CA" w:eastAsia="en-CA"/>
        </w:rPr>
        <w:t xml:space="preserve"> </w:t>
      </w:r>
      <w:r w:rsidRPr="00E81E71">
        <w:rPr>
          <w:rFonts w:ascii="Calibri" w:hAnsi="Calibri" w:cs="Calibri"/>
          <w:lang w:val="fr-CA" w:eastAsia="en-CA"/>
        </w:rPr>
        <w:t>Il n</w:t>
      </w:r>
      <w:r w:rsidR="00C62E0C">
        <w:rPr>
          <w:rFonts w:ascii="Calibri" w:hAnsi="Calibri" w:cs="Calibri"/>
          <w:lang w:val="fr-CA" w:eastAsia="en-CA"/>
        </w:rPr>
        <w:t>’</w:t>
      </w:r>
      <w:r w:rsidRPr="00E81E71">
        <w:rPr>
          <w:rFonts w:ascii="Calibri" w:hAnsi="Calibri" w:cs="Calibri"/>
          <w:lang w:val="fr-CA" w:eastAsia="en-CA"/>
        </w:rPr>
        <w:t>existe aucune obligation provinciale pour les acteurs du système de justice pénale d</w:t>
      </w:r>
      <w:r w:rsidR="00C62E0C">
        <w:rPr>
          <w:rFonts w:ascii="Calibri" w:hAnsi="Calibri" w:cs="Calibri"/>
          <w:lang w:val="fr-CA" w:eastAsia="en-CA"/>
        </w:rPr>
        <w:t>’</w:t>
      </w:r>
      <w:r w:rsidRPr="00E81E71">
        <w:rPr>
          <w:rFonts w:ascii="Calibri" w:hAnsi="Calibri" w:cs="Calibri"/>
          <w:lang w:val="fr-CA" w:eastAsia="en-CA"/>
        </w:rPr>
        <w:t>évaluer l</w:t>
      </w:r>
      <w:r w:rsidR="00C62E0C">
        <w:rPr>
          <w:rFonts w:ascii="Calibri" w:hAnsi="Calibri" w:cs="Calibri"/>
          <w:lang w:val="fr-CA" w:eastAsia="en-CA"/>
        </w:rPr>
        <w:t>’</w:t>
      </w:r>
      <w:r w:rsidRPr="00E81E71">
        <w:rPr>
          <w:rFonts w:ascii="Calibri" w:hAnsi="Calibri" w:cs="Calibri"/>
          <w:lang w:val="fr-CA" w:eastAsia="en-CA"/>
        </w:rPr>
        <w:t>i</w:t>
      </w:r>
      <w:r w:rsidR="00C00B53">
        <w:rPr>
          <w:rFonts w:ascii="Calibri" w:hAnsi="Calibri" w:cs="Calibri"/>
          <w:lang w:val="fr-CA" w:eastAsia="en-CA"/>
        </w:rPr>
        <w:t xml:space="preserve">ncidence </w:t>
      </w:r>
      <w:r w:rsidRPr="00E81E71">
        <w:rPr>
          <w:rFonts w:ascii="Calibri" w:hAnsi="Calibri" w:cs="Calibri"/>
          <w:lang w:val="fr-CA" w:eastAsia="en-CA"/>
        </w:rPr>
        <w:t>d</w:t>
      </w:r>
      <w:r w:rsidR="00C62E0C">
        <w:rPr>
          <w:rFonts w:ascii="Calibri" w:hAnsi="Calibri" w:cs="Calibri"/>
          <w:lang w:val="fr-CA" w:eastAsia="en-CA"/>
        </w:rPr>
        <w:t>’</w:t>
      </w:r>
      <w:r w:rsidRPr="00E81E71">
        <w:rPr>
          <w:rFonts w:ascii="Calibri" w:hAnsi="Calibri" w:cs="Calibri"/>
          <w:lang w:val="fr-CA" w:eastAsia="en-CA"/>
        </w:rPr>
        <w:t>un système d</w:t>
      </w:r>
      <w:r w:rsidR="00C62E0C">
        <w:rPr>
          <w:rFonts w:ascii="Calibri" w:hAnsi="Calibri" w:cs="Calibri"/>
          <w:lang w:val="fr-CA" w:eastAsia="en-CA"/>
        </w:rPr>
        <w:t>’</w:t>
      </w:r>
      <w:r w:rsidRPr="00E81E71">
        <w:rPr>
          <w:rFonts w:ascii="Calibri" w:hAnsi="Calibri" w:cs="Calibri"/>
          <w:lang w:val="fr-CA" w:eastAsia="en-CA"/>
        </w:rPr>
        <w:t xml:space="preserve">IA sur les droits garantis par la </w:t>
      </w:r>
      <w:r w:rsidRPr="00E81E71">
        <w:rPr>
          <w:rFonts w:ascii="Calibri" w:hAnsi="Calibri" w:cs="Calibri"/>
          <w:i/>
          <w:lang w:val="fr-CA" w:eastAsia="en-CA"/>
        </w:rPr>
        <w:t>Charte</w:t>
      </w:r>
      <w:r w:rsidRPr="00E81E71">
        <w:rPr>
          <w:rFonts w:ascii="Calibri" w:hAnsi="Calibri" w:cs="Calibri"/>
          <w:lang w:val="fr-CA" w:eastAsia="en-CA"/>
        </w:rPr>
        <w:t>, les droits de la personne, la vie privée ou la justice procédurale</w:t>
      </w:r>
      <w:r w:rsidR="00F75E2B" w:rsidRPr="00A317D7">
        <w:rPr>
          <w:rFonts w:ascii="Calibri" w:hAnsi="Calibri" w:cs="Calibri"/>
          <w:lang w:val="fr-CA" w:eastAsia="en-CA"/>
        </w:rPr>
        <w:t>.</w:t>
      </w:r>
    </w:p>
    <w:p w14:paraId="5712F786" w14:textId="27FCD348" w:rsidR="006D0971" w:rsidRPr="00A317D7" w:rsidRDefault="00E81E71" w:rsidP="00E81E71">
      <w:pPr>
        <w:pStyle w:val="ListParagraph"/>
        <w:numPr>
          <w:ilvl w:val="0"/>
          <w:numId w:val="4"/>
        </w:numPr>
        <w:spacing w:after="240" w:line="240" w:lineRule="auto"/>
        <w:rPr>
          <w:lang w:val="fr-CA"/>
        </w:rPr>
      </w:pPr>
      <w:r w:rsidRPr="00E81E71">
        <w:rPr>
          <w:rFonts w:ascii="Calibri" w:hAnsi="Calibri" w:cs="Calibri"/>
          <w:b/>
          <w:bCs/>
          <w:lang w:val="fr-CA" w:eastAsia="en-CA"/>
        </w:rPr>
        <w:t>Absence de garanties procédurales pénales</w:t>
      </w:r>
      <w:r w:rsidR="006D0971" w:rsidRPr="00A317D7">
        <w:rPr>
          <w:rFonts w:ascii="Calibri" w:hAnsi="Calibri" w:cs="Calibri"/>
          <w:b/>
          <w:bCs/>
          <w:lang w:val="fr-CA" w:eastAsia="en-CA"/>
        </w:rPr>
        <w:t>.</w:t>
      </w:r>
      <w:r w:rsidR="006D0971" w:rsidRPr="00A317D7">
        <w:rPr>
          <w:rFonts w:ascii="Calibri" w:hAnsi="Calibri" w:cs="Calibri"/>
          <w:lang w:val="fr-CA" w:eastAsia="en-CA"/>
        </w:rPr>
        <w:t xml:space="preserve"> </w:t>
      </w:r>
      <w:r w:rsidRPr="00E81E71">
        <w:rPr>
          <w:rFonts w:ascii="Calibri" w:hAnsi="Calibri" w:cs="Calibri"/>
          <w:lang w:val="fr-CA" w:eastAsia="en-CA"/>
        </w:rPr>
        <w:t>Au Canada (et par extension, en Ontario), il n</w:t>
      </w:r>
      <w:r w:rsidR="00C62E0C">
        <w:rPr>
          <w:rFonts w:ascii="Calibri" w:hAnsi="Calibri" w:cs="Calibri"/>
          <w:lang w:val="fr-CA" w:eastAsia="en-CA"/>
        </w:rPr>
        <w:t>’</w:t>
      </w:r>
      <w:r w:rsidRPr="00E81E71">
        <w:rPr>
          <w:rFonts w:ascii="Calibri" w:hAnsi="Calibri" w:cs="Calibri"/>
          <w:lang w:val="fr-CA" w:eastAsia="en-CA"/>
        </w:rPr>
        <w:t>existe aucune protection procédurale explicite régissant l</w:t>
      </w:r>
      <w:r w:rsidR="00C62E0C">
        <w:rPr>
          <w:rFonts w:ascii="Calibri" w:hAnsi="Calibri" w:cs="Calibri"/>
          <w:lang w:val="fr-CA" w:eastAsia="en-CA"/>
        </w:rPr>
        <w:t>’</w:t>
      </w:r>
      <w:r w:rsidRPr="00E81E71">
        <w:rPr>
          <w:rFonts w:ascii="Calibri" w:hAnsi="Calibri" w:cs="Calibri"/>
          <w:lang w:val="fr-CA" w:eastAsia="en-CA"/>
        </w:rPr>
        <w:t>utilisation par la police ou les tribunaux de systèmes d</w:t>
      </w:r>
      <w:r w:rsidR="00C62E0C">
        <w:rPr>
          <w:rFonts w:ascii="Calibri" w:hAnsi="Calibri" w:cs="Calibri"/>
          <w:lang w:val="fr-CA" w:eastAsia="en-CA"/>
        </w:rPr>
        <w:t>’</w:t>
      </w:r>
      <w:r w:rsidRPr="00E81E71">
        <w:rPr>
          <w:rFonts w:ascii="Calibri" w:hAnsi="Calibri" w:cs="Calibri"/>
          <w:lang w:val="fr-CA" w:eastAsia="en-CA"/>
        </w:rPr>
        <w:t xml:space="preserve">IA dans le </w:t>
      </w:r>
      <w:r w:rsidR="002560A5">
        <w:rPr>
          <w:rFonts w:ascii="Calibri" w:hAnsi="Calibri" w:cs="Calibri"/>
          <w:lang w:val="fr-CA" w:eastAsia="en-CA"/>
        </w:rPr>
        <w:t xml:space="preserve">secteur </w:t>
      </w:r>
      <w:r w:rsidRPr="00E81E71">
        <w:rPr>
          <w:rFonts w:ascii="Calibri" w:hAnsi="Calibri" w:cs="Calibri"/>
          <w:lang w:val="fr-CA" w:eastAsia="en-CA"/>
        </w:rPr>
        <w:t>pénal à haut risque, telle que l</w:t>
      </w:r>
      <w:r w:rsidR="00C62E0C">
        <w:rPr>
          <w:rFonts w:ascii="Calibri" w:hAnsi="Calibri" w:cs="Calibri"/>
          <w:lang w:val="fr-CA" w:eastAsia="en-CA"/>
        </w:rPr>
        <w:t>’</w:t>
      </w:r>
      <w:r w:rsidRPr="00E81E71">
        <w:rPr>
          <w:rFonts w:ascii="Calibri" w:hAnsi="Calibri" w:cs="Calibri"/>
          <w:lang w:val="fr-CA" w:eastAsia="en-CA"/>
        </w:rPr>
        <w:t>obligation d</w:t>
      </w:r>
      <w:r w:rsidR="00C62E0C">
        <w:rPr>
          <w:rFonts w:ascii="Calibri" w:hAnsi="Calibri" w:cs="Calibri"/>
          <w:lang w:val="fr-CA" w:eastAsia="en-CA"/>
        </w:rPr>
        <w:t>’</w:t>
      </w:r>
      <w:r w:rsidRPr="00E81E71">
        <w:rPr>
          <w:rFonts w:ascii="Calibri" w:hAnsi="Calibri" w:cs="Calibri"/>
          <w:lang w:val="fr-CA" w:eastAsia="en-CA"/>
        </w:rPr>
        <w:t>obtenir un mandat pour utiliser ces systèmes. Il n</w:t>
      </w:r>
      <w:r w:rsidR="00C62E0C">
        <w:rPr>
          <w:rFonts w:ascii="Calibri" w:hAnsi="Calibri" w:cs="Calibri"/>
          <w:lang w:val="fr-CA" w:eastAsia="en-CA"/>
        </w:rPr>
        <w:t>’</w:t>
      </w:r>
      <w:r w:rsidRPr="00E81E71">
        <w:rPr>
          <w:rFonts w:ascii="Calibri" w:hAnsi="Calibri" w:cs="Calibri"/>
          <w:lang w:val="fr-CA" w:eastAsia="en-CA"/>
        </w:rPr>
        <w:t>existe pas non plus de politiques ou de programmes visant à garantir le droit à une défense complète, à une représentation juridique efficace ou à l</w:t>
      </w:r>
      <w:r w:rsidR="00C62E0C">
        <w:rPr>
          <w:rFonts w:ascii="Calibri" w:hAnsi="Calibri" w:cs="Calibri"/>
          <w:lang w:val="fr-CA" w:eastAsia="en-CA"/>
        </w:rPr>
        <w:t>’</w:t>
      </w:r>
      <w:r w:rsidRPr="00E81E71">
        <w:rPr>
          <w:rFonts w:ascii="Calibri" w:hAnsi="Calibri" w:cs="Calibri"/>
          <w:lang w:val="fr-CA" w:eastAsia="en-CA"/>
        </w:rPr>
        <w:t>accès à la justice</w:t>
      </w:r>
      <w:r w:rsidR="00CB210B" w:rsidRPr="00A317D7">
        <w:rPr>
          <w:lang w:val="fr-CA"/>
        </w:rPr>
        <w:t>.</w:t>
      </w:r>
      <w:r w:rsidR="00564F98" w:rsidRPr="00A317D7">
        <w:rPr>
          <w:lang w:val="fr-CA"/>
        </w:rPr>
        <w:t xml:space="preserve"> </w:t>
      </w:r>
    </w:p>
    <w:p w14:paraId="5890F00F" w14:textId="2BBFD8E6" w:rsidR="00F75E2B" w:rsidRPr="00A317D7" w:rsidRDefault="00E81E71" w:rsidP="00E81E71">
      <w:pPr>
        <w:pStyle w:val="ListParagraph"/>
        <w:numPr>
          <w:ilvl w:val="0"/>
          <w:numId w:val="12"/>
        </w:numPr>
        <w:rPr>
          <w:rFonts w:ascii="Calibri" w:hAnsi="Calibri" w:cs="Calibri"/>
          <w:lang w:val="fr-CA" w:eastAsia="en-CA"/>
        </w:rPr>
      </w:pPr>
      <w:r w:rsidRPr="00E81E71">
        <w:rPr>
          <w:rFonts w:ascii="Calibri" w:hAnsi="Calibri" w:cs="Calibri"/>
          <w:b/>
          <w:bCs/>
          <w:lang w:val="fr-CA" w:eastAsia="en-CA"/>
        </w:rPr>
        <w:t>Absence d</w:t>
      </w:r>
      <w:r w:rsidR="00C62E0C">
        <w:rPr>
          <w:rFonts w:ascii="Calibri" w:hAnsi="Calibri" w:cs="Calibri"/>
          <w:b/>
          <w:bCs/>
          <w:lang w:val="fr-CA" w:eastAsia="en-CA"/>
        </w:rPr>
        <w:t>’</w:t>
      </w:r>
      <w:r w:rsidRPr="00E81E71">
        <w:rPr>
          <w:rFonts w:ascii="Calibri" w:hAnsi="Calibri" w:cs="Calibri"/>
          <w:b/>
          <w:bCs/>
          <w:lang w:val="fr-CA" w:eastAsia="en-CA"/>
        </w:rPr>
        <w:t>obligation obligatoire de tester, d</w:t>
      </w:r>
      <w:r w:rsidR="00C62E0C">
        <w:rPr>
          <w:rFonts w:ascii="Calibri" w:hAnsi="Calibri" w:cs="Calibri"/>
          <w:b/>
          <w:bCs/>
          <w:lang w:val="fr-CA" w:eastAsia="en-CA"/>
        </w:rPr>
        <w:t>’</w:t>
      </w:r>
      <w:r w:rsidRPr="00E81E71">
        <w:rPr>
          <w:rFonts w:ascii="Calibri" w:hAnsi="Calibri" w:cs="Calibri"/>
          <w:b/>
          <w:bCs/>
          <w:lang w:val="fr-CA" w:eastAsia="en-CA"/>
        </w:rPr>
        <w:t>auditer ou d</w:t>
      </w:r>
      <w:r w:rsidR="00C62E0C">
        <w:rPr>
          <w:rFonts w:ascii="Calibri" w:hAnsi="Calibri" w:cs="Calibri"/>
          <w:b/>
          <w:bCs/>
          <w:lang w:val="fr-CA" w:eastAsia="en-CA"/>
        </w:rPr>
        <w:t>’</w:t>
      </w:r>
      <w:r w:rsidRPr="00E81E71">
        <w:rPr>
          <w:rFonts w:ascii="Calibri" w:hAnsi="Calibri" w:cs="Calibri"/>
          <w:b/>
          <w:bCs/>
          <w:lang w:val="fr-CA" w:eastAsia="en-CA"/>
        </w:rPr>
        <w:t>évaluer les systèmes d</w:t>
      </w:r>
      <w:r w:rsidR="00C62E0C">
        <w:rPr>
          <w:rFonts w:ascii="Calibri" w:hAnsi="Calibri" w:cs="Calibri"/>
          <w:b/>
          <w:bCs/>
          <w:lang w:val="fr-CA" w:eastAsia="en-CA"/>
        </w:rPr>
        <w:t>’</w:t>
      </w:r>
      <w:r w:rsidRPr="00E81E71">
        <w:rPr>
          <w:rFonts w:ascii="Calibri" w:hAnsi="Calibri" w:cs="Calibri"/>
          <w:b/>
          <w:bCs/>
          <w:lang w:val="fr-CA" w:eastAsia="en-CA"/>
        </w:rPr>
        <w:t xml:space="preserve">IA dans le </w:t>
      </w:r>
      <w:r w:rsidR="002560A5">
        <w:rPr>
          <w:rFonts w:ascii="Calibri" w:hAnsi="Calibri" w:cs="Calibri"/>
          <w:b/>
          <w:bCs/>
          <w:lang w:val="fr-CA" w:eastAsia="en-CA"/>
        </w:rPr>
        <w:t>secteur</w:t>
      </w:r>
      <w:r w:rsidRPr="00E81E71">
        <w:rPr>
          <w:rFonts w:ascii="Calibri" w:hAnsi="Calibri" w:cs="Calibri"/>
          <w:b/>
          <w:bCs/>
          <w:lang w:val="fr-CA" w:eastAsia="en-CA"/>
        </w:rPr>
        <w:t xml:space="preserve"> pénal</w:t>
      </w:r>
      <w:r w:rsidR="00F75E2B" w:rsidRPr="00A317D7">
        <w:rPr>
          <w:rFonts w:ascii="Calibri" w:hAnsi="Calibri" w:cs="Calibri"/>
          <w:b/>
          <w:bCs/>
          <w:lang w:val="fr-CA" w:eastAsia="en-CA"/>
        </w:rPr>
        <w:t>.</w:t>
      </w:r>
      <w:r w:rsidR="00F75E2B" w:rsidRPr="00A317D7">
        <w:rPr>
          <w:rFonts w:ascii="Calibri" w:hAnsi="Calibri" w:cs="Calibri"/>
          <w:lang w:val="fr-CA" w:eastAsia="en-CA"/>
        </w:rPr>
        <w:t xml:space="preserve"> </w:t>
      </w:r>
      <w:r w:rsidRPr="00E81E71">
        <w:rPr>
          <w:rFonts w:ascii="Calibri" w:hAnsi="Calibri" w:cs="Calibri"/>
          <w:lang w:val="fr-CA" w:eastAsia="en-CA"/>
        </w:rPr>
        <w:t>Un système d</w:t>
      </w:r>
      <w:r w:rsidR="00C62E0C">
        <w:rPr>
          <w:rFonts w:ascii="Calibri" w:hAnsi="Calibri" w:cs="Calibri"/>
          <w:lang w:val="fr-CA" w:eastAsia="en-CA"/>
        </w:rPr>
        <w:t>’</w:t>
      </w:r>
      <w:r w:rsidRPr="00E81E71">
        <w:rPr>
          <w:rFonts w:ascii="Calibri" w:hAnsi="Calibri" w:cs="Calibri"/>
          <w:lang w:val="fr-CA" w:eastAsia="en-CA"/>
        </w:rPr>
        <w:t>IA pourrait être mis en œuvre dans le système de justice pénale de l</w:t>
      </w:r>
      <w:r w:rsidR="00C62E0C">
        <w:rPr>
          <w:rFonts w:ascii="Calibri" w:hAnsi="Calibri" w:cs="Calibri"/>
          <w:lang w:val="fr-CA" w:eastAsia="en-CA"/>
        </w:rPr>
        <w:t>’</w:t>
      </w:r>
      <w:r w:rsidRPr="00E81E71">
        <w:rPr>
          <w:rFonts w:ascii="Calibri" w:hAnsi="Calibri" w:cs="Calibri"/>
          <w:lang w:val="fr-CA" w:eastAsia="en-CA"/>
        </w:rPr>
        <w:t>Ontario sans obligation de vérifier ou d</w:t>
      </w:r>
      <w:r w:rsidR="00C62E0C">
        <w:rPr>
          <w:rFonts w:ascii="Calibri" w:hAnsi="Calibri" w:cs="Calibri"/>
          <w:lang w:val="fr-CA" w:eastAsia="en-CA"/>
        </w:rPr>
        <w:t>’</w:t>
      </w:r>
      <w:r w:rsidRPr="00E81E71">
        <w:rPr>
          <w:rFonts w:ascii="Calibri" w:hAnsi="Calibri" w:cs="Calibri"/>
          <w:lang w:val="fr-CA" w:eastAsia="en-CA"/>
        </w:rPr>
        <w:t>évaluer son exactitude, son impartialité, sa validité, sa fiabilité, son admissibilité ou son efficacité</w:t>
      </w:r>
      <w:r w:rsidR="00F75E2B" w:rsidRPr="00A317D7">
        <w:rPr>
          <w:rFonts w:ascii="Calibri" w:hAnsi="Calibri" w:cs="Calibri"/>
          <w:lang w:val="fr-CA" w:eastAsia="en-CA"/>
        </w:rPr>
        <w:t>.</w:t>
      </w:r>
    </w:p>
    <w:p w14:paraId="2F00648D" w14:textId="7C60B434" w:rsidR="004378E4" w:rsidRPr="00A317D7" w:rsidRDefault="00E81E71" w:rsidP="00E81E71">
      <w:pPr>
        <w:pStyle w:val="ListParagraph"/>
        <w:numPr>
          <w:ilvl w:val="0"/>
          <w:numId w:val="12"/>
        </w:numPr>
        <w:rPr>
          <w:rFonts w:ascii="Calibri" w:hAnsi="Calibri" w:cs="Calibri"/>
          <w:lang w:val="fr-CA" w:eastAsia="en-CA"/>
        </w:rPr>
      </w:pPr>
      <w:r w:rsidRPr="00E81E71">
        <w:rPr>
          <w:rFonts w:ascii="Calibri" w:hAnsi="Calibri" w:cs="Calibri"/>
          <w:b/>
          <w:bCs/>
          <w:lang w:val="fr-CA" w:eastAsia="en-CA"/>
        </w:rPr>
        <w:t>Absence d</w:t>
      </w:r>
      <w:r w:rsidR="00C62E0C">
        <w:rPr>
          <w:rFonts w:ascii="Calibri" w:hAnsi="Calibri" w:cs="Calibri"/>
          <w:b/>
          <w:bCs/>
          <w:lang w:val="fr-CA" w:eastAsia="en-CA"/>
        </w:rPr>
        <w:t>’</w:t>
      </w:r>
      <w:r w:rsidRPr="00E81E71">
        <w:rPr>
          <w:rFonts w:ascii="Calibri" w:hAnsi="Calibri" w:cs="Calibri"/>
          <w:b/>
          <w:bCs/>
          <w:lang w:val="fr-CA" w:eastAsia="en-CA"/>
        </w:rPr>
        <w:t>obligation de mener des consultations publiques</w:t>
      </w:r>
      <w:r w:rsidR="00F75E2B" w:rsidRPr="00A317D7">
        <w:rPr>
          <w:rFonts w:ascii="Calibri" w:hAnsi="Calibri" w:cs="Calibri"/>
          <w:b/>
          <w:bCs/>
          <w:lang w:val="fr-CA" w:eastAsia="en-CA"/>
        </w:rPr>
        <w:t>.</w:t>
      </w:r>
      <w:r w:rsidR="00F75E2B" w:rsidRPr="00A317D7">
        <w:rPr>
          <w:rFonts w:ascii="Calibri" w:hAnsi="Calibri" w:cs="Calibri"/>
          <w:lang w:val="fr-CA" w:eastAsia="en-CA"/>
        </w:rPr>
        <w:t xml:space="preserve"> </w:t>
      </w:r>
      <w:r w:rsidR="002560A5">
        <w:rPr>
          <w:rFonts w:ascii="Calibri" w:hAnsi="Calibri" w:cs="Calibri"/>
          <w:lang w:val="fr-CA" w:eastAsia="en-CA"/>
        </w:rPr>
        <w:t xml:space="preserve">Sauf </w:t>
      </w:r>
      <w:r w:rsidRPr="00E81E71">
        <w:rPr>
          <w:rFonts w:ascii="Calibri" w:hAnsi="Calibri" w:cs="Calibri"/>
          <w:lang w:val="fr-CA" w:eastAsia="en-CA"/>
        </w:rPr>
        <w:t xml:space="preserve">pour le service </w:t>
      </w:r>
      <w:r w:rsidR="00C62E0C">
        <w:rPr>
          <w:rFonts w:ascii="Calibri" w:hAnsi="Calibri" w:cs="Calibri"/>
          <w:lang w:val="fr-CA" w:eastAsia="en-CA"/>
        </w:rPr>
        <w:t xml:space="preserve">policier </w:t>
      </w:r>
      <w:r w:rsidRPr="00E81E71">
        <w:rPr>
          <w:rFonts w:ascii="Calibri" w:hAnsi="Calibri" w:cs="Calibri"/>
          <w:lang w:val="fr-CA" w:eastAsia="en-CA"/>
        </w:rPr>
        <w:t>de Toronto, il n</w:t>
      </w:r>
      <w:r w:rsidR="00C62E0C">
        <w:rPr>
          <w:rFonts w:ascii="Calibri" w:hAnsi="Calibri" w:cs="Calibri"/>
          <w:lang w:val="fr-CA" w:eastAsia="en-CA"/>
        </w:rPr>
        <w:t>’</w:t>
      </w:r>
      <w:r w:rsidRPr="00E81E71">
        <w:rPr>
          <w:rFonts w:ascii="Calibri" w:hAnsi="Calibri" w:cs="Calibri"/>
          <w:lang w:val="fr-CA" w:eastAsia="en-CA"/>
        </w:rPr>
        <w:t xml:space="preserve">existe aucune obligation en Ontario de </w:t>
      </w:r>
      <w:r w:rsidR="002560A5">
        <w:rPr>
          <w:rFonts w:ascii="Calibri" w:hAnsi="Calibri" w:cs="Calibri"/>
          <w:lang w:val="fr-CA" w:eastAsia="en-CA"/>
        </w:rPr>
        <w:t xml:space="preserve">mener une </w:t>
      </w:r>
      <w:r w:rsidRPr="00E81E71">
        <w:rPr>
          <w:rFonts w:ascii="Calibri" w:hAnsi="Calibri" w:cs="Calibri"/>
          <w:lang w:val="fr-CA" w:eastAsia="en-CA"/>
        </w:rPr>
        <w:t>consult</w:t>
      </w:r>
      <w:r w:rsidR="002560A5">
        <w:rPr>
          <w:rFonts w:ascii="Calibri" w:hAnsi="Calibri" w:cs="Calibri"/>
          <w:lang w:val="fr-CA" w:eastAsia="en-CA"/>
        </w:rPr>
        <w:t xml:space="preserve">ation </w:t>
      </w:r>
      <w:r w:rsidRPr="00E81E71">
        <w:rPr>
          <w:rFonts w:ascii="Calibri" w:hAnsi="Calibri" w:cs="Calibri"/>
          <w:lang w:val="fr-CA" w:eastAsia="en-CA"/>
        </w:rPr>
        <w:t>publique</w:t>
      </w:r>
      <w:r w:rsidR="002560A5">
        <w:rPr>
          <w:rFonts w:ascii="Calibri" w:hAnsi="Calibri" w:cs="Calibri"/>
          <w:lang w:val="fr-CA" w:eastAsia="en-CA"/>
        </w:rPr>
        <w:t xml:space="preserve"> </w:t>
      </w:r>
      <w:r w:rsidRPr="00E81E71">
        <w:rPr>
          <w:rFonts w:ascii="Calibri" w:hAnsi="Calibri" w:cs="Calibri"/>
          <w:lang w:val="fr-CA" w:eastAsia="en-CA"/>
        </w:rPr>
        <w:t>sur les systèmes d</w:t>
      </w:r>
      <w:r w:rsidR="00C62E0C">
        <w:rPr>
          <w:rFonts w:ascii="Calibri" w:hAnsi="Calibri" w:cs="Calibri"/>
          <w:lang w:val="fr-CA" w:eastAsia="en-CA"/>
        </w:rPr>
        <w:t>’</w:t>
      </w:r>
      <w:r w:rsidRPr="00E81E71">
        <w:rPr>
          <w:rFonts w:ascii="Calibri" w:hAnsi="Calibri" w:cs="Calibri"/>
          <w:lang w:val="fr-CA" w:eastAsia="en-CA"/>
        </w:rPr>
        <w:t xml:space="preserve">IA utilisés dans le </w:t>
      </w:r>
      <w:r w:rsidR="002560A5">
        <w:rPr>
          <w:rFonts w:ascii="Calibri" w:hAnsi="Calibri" w:cs="Calibri"/>
          <w:lang w:val="fr-CA" w:eastAsia="en-CA"/>
        </w:rPr>
        <w:t xml:space="preserve">secteur </w:t>
      </w:r>
      <w:r w:rsidRPr="00E81E71">
        <w:rPr>
          <w:rFonts w:ascii="Calibri" w:hAnsi="Calibri" w:cs="Calibri"/>
          <w:lang w:val="fr-CA" w:eastAsia="en-CA"/>
        </w:rPr>
        <w:t>pénal</w:t>
      </w:r>
      <w:r w:rsidR="00F75E2B" w:rsidRPr="00A317D7">
        <w:rPr>
          <w:rFonts w:ascii="Calibri" w:hAnsi="Calibri" w:cs="Calibri"/>
          <w:lang w:val="fr-CA" w:eastAsia="en-CA"/>
        </w:rPr>
        <w:t xml:space="preserve">. </w:t>
      </w:r>
    </w:p>
    <w:p w14:paraId="0F8153B1" w14:textId="0AC9DF77" w:rsidR="001A5985" w:rsidRPr="00A317D7" w:rsidRDefault="00797289" w:rsidP="001A5985">
      <w:pPr>
        <w:rPr>
          <w:lang w:val="fr-CA"/>
        </w:rPr>
      </w:pPr>
      <w:r w:rsidRPr="00797289">
        <w:rPr>
          <w:rFonts w:cstheme="minorHAnsi"/>
          <w:lang w:val="fr-CA"/>
        </w:rPr>
        <w:t>La CDO reconna</w:t>
      </w:r>
      <w:r w:rsidR="002560A5">
        <w:rPr>
          <w:rFonts w:cstheme="minorHAnsi"/>
          <w:lang w:val="fr-CA"/>
        </w:rPr>
        <w:t>it</w:t>
      </w:r>
      <w:r w:rsidRPr="00797289">
        <w:rPr>
          <w:rFonts w:cstheme="minorHAnsi"/>
          <w:lang w:val="fr-CA"/>
        </w:rPr>
        <w:t xml:space="preserve"> que la r</w:t>
      </w:r>
      <w:r w:rsidR="00C62E0C">
        <w:rPr>
          <w:rFonts w:cstheme="minorHAnsi"/>
          <w:lang w:val="fr-CA"/>
        </w:rPr>
        <w:t>è</w:t>
      </w:r>
      <w:r w:rsidRPr="00797289">
        <w:rPr>
          <w:rFonts w:cstheme="minorHAnsi"/>
          <w:lang w:val="fr-CA"/>
        </w:rPr>
        <w:t>glementation de l</w:t>
      </w:r>
      <w:r w:rsidR="00C62E0C">
        <w:rPr>
          <w:rFonts w:cstheme="minorHAnsi"/>
          <w:lang w:val="fr-CA"/>
        </w:rPr>
        <w:t>’</w:t>
      </w:r>
      <w:r w:rsidRPr="00797289">
        <w:rPr>
          <w:rFonts w:cstheme="minorHAnsi"/>
          <w:lang w:val="fr-CA"/>
        </w:rPr>
        <w:t xml:space="preserve">IA dans le </w:t>
      </w:r>
      <w:r w:rsidR="002560A5">
        <w:rPr>
          <w:rFonts w:ascii="Calibri" w:hAnsi="Calibri" w:cs="Calibri"/>
          <w:lang w:val="fr-CA" w:eastAsia="en-CA"/>
        </w:rPr>
        <w:t xml:space="preserve">secteur </w:t>
      </w:r>
      <w:r w:rsidRPr="00797289">
        <w:rPr>
          <w:rFonts w:cstheme="minorHAnsi"/>
          <w:lang w:val="fr-CA"/>
        </w:rPr>
        <w:t>pénal en est encore à ses débuts en Ontario et au Canada. La directive fédérale, l</w:t>
      </w:r>
      <w:r w:rsidR="00C62E0C">
        <w:rPr>
          <w:rFonts w:cstheme="minorHAnsi"/>
          <w:lang w:val="fr-CA"/>
        </w:rPr>
        <w:t>’</w:t>
      </w:r>
      <w:r w:rsidRPr="00797289">
        <w:rPr>
          <w:rFonts w:cstheme="minorHAnsi"/>
          <w:lang w:val="fr-CA"/>
        </w:rPr>
        <w:t xml:space="preserve">EIA, la </w:t>
      </w:r>
      <w:r w:rsidR="002560A5" w:rsidRPr="00BC468E">
        <w:rPr>
          <w:rFonts w:eastAsia="Times New Roman" w:cstheme="minorHAnsi"/>
          <w:i/>
          <w:kern w:val="0"/>
          <w:lang w:val="fr-CA" w:eastAsia="en-CA"/>
          <w14:ligatures w14:val="none"/>
        </w:rPr>
        <w:t>LRSCN</w:t>
      </w:r>
      <w:r w:rsidRPr="00797289">
        <w:rPr>
          <w:rFonts w:cstheme="minorHAnsi"/>
          <w:lang w:val="fr-CA"/>
        </w:rPr>
        <w:t>, la directive de l</w:t>
      </w:r>
      <w:r w:rsidR="00C62E0C">
        <w:rPr>
          <w:rFonts w:cstheme="minorHAnsi"/>
          <w:lang w:val="fr-CA"/>
        </w:rPr>
        <w:t>’</w:t>
      </w:r>
      <w:r w:rsidRPr="00797289">
        <w:rPr>
          <w:rFonts w:cstheme="minorHAnsi"/>
          <w:lang w:val="fr-CA"/>
        </w:rPr>
        <w:t>Ontario sur l</w:t>
      </w:r>
      <w:r w:rsidR="00C62E0C">
        <w:rPr>
          <w:rFonts w:cstheme="minorHAnsi"/>
          <w:lang w:val="fr-CA"/>
        </w:rPr>
        <w:t>’</w:t>
      </w:r>
      <w:r w:rsidRPr="00797289">
        <w:rPr>
          <w:rFonts w:cstheme="minorHAnsi"/>
          <w:lang w:val="fr-CA"/>
        </w:rPr>
        <w:t>IA et les politiques de la CSPT en matière d</w:t>
      </w:r>
      <w:r w:rsidR="00C62E0C">
        <w:rPr>
          <w:rFonts w:cstheme="minorHAnsi"/>
          <w:lang w:val="fr-CA"/>
        </w:rPr>
        <w:t>’</w:t>
      </w:r>
      <w:r w:rsidRPr="00797289">
        <w:rPr>
          <w:rFonts w:cstheme="minorHAnsi"/>
          <w:lang w:val="fr-CA"/>
        </w:rPr>
        <w:t>IA ont toutes été adoptées au cours des dernières années. Cela dit, les décideurs politiques canadiens et provinciaux sont loin derrière leurs homologues internationaux dans la mise en place d</w:t>
      </w:r>
      <w:r w:rsidR="00C62E0C">
        <w:rPr>
          <w:rFonts w:cstheme="minorHAnsi"/>
          <w:lang w:val="fr-CA"/>
        </w:rPr>
        <w:t>’</w:t>
      </w:r>
      <w:r w:rsidRPr="00797289">
        <w:rPr>
          <w:rFonts w:cstheme="minorHAnsi"/>
          <w:lang w:val="fr-CA"/>
        </w:rPr>
        <w:t xml:space="preserve">outils de gouvernance pour faire face à cette </w:t>
      </w:r>
      <w:r>
        <w:rPr>
          <w:rFonts w:cstheme="minorHAnsi"/>
          <w:lang w:val="fr-CA"/>
        </w:rPr>
        <w:t>technologie en rapide évolution</w:t>
      </w:r>
      <w:r w:rsidR="008960D2" w:rsidRPr="00A317D7">
        <w:rPr>
          <w:lang w:val="fr-CA"/>
        </w:rPr>
        <w:t xml:space="preserve">. </w:t>
      </w:r>
    </w:p>
    <w:p w14:paraId="7CA8C0A6" w14:textId="77DD9EE5" w:rsidR="006659AB" w:rsidRPr="00A317D7" w:rsidRDefault="00797289" w:rsidP="00781EC9">
      <w:pPr>
        <w:spacing w:after="0"/>
        <w:rPr>
          <w:lang w:val="fr-CA" w:eastAsia="en-CA"/>
        </w:rPr>
      </w:pPr>
      <w:r w:rsidRPr="00797289">
        <w:rPr>
          <w:lang w:val="fr-CA" w:eastAsia="en-CA"/>
        </w:rPr>
        <w:t>Il n</w:t>
      </w:r>
      <w:r w:rsidR="00C62E0C">
        <w:rPr>
          <w:lang w:val="fr-CA" w:eastAsia="en-CA"/>
        </w:rPr>
        <w:t>’</w:t>
      </w:r>
      <w:r w:rsidRPr="00797289">
        <w:rPr>
          <w:lang w:val="fr-CA" w:eastAsia="en-CA"/>
        </w:rPr>
        <w:t>est pas trop tôt pour se demander ce qui pourrait arriver si les gouvernements ne r</w:t>
      </w:r>
      <w:r w:rsidR="00C62E0C">
        <w:rPr>
          <w:lang w:val="fr-CA" w:eastAsia="en-CA"/>
        </w:rPr>
        <w:t>è</w:t>
      </w:r>
      <w:r w:rsidRPr="00797289">
        <w:rPr>
          <w:lang w:val="fr-CA" w:eastAsia="en-CA"/>
        </w:rPr>
        <w:t>glementaient pas les systèmes d</w:t>
      </w:r>
      <w:r w:rsidR="00C62E0C">
        <w:rPr>
          <w:lang w:val="fr-CA" w:eastAsia="en-CA"/>
        </w:rPr>
        <w:t>’</w:t>
      </w:r>
      <w:r w:rsidRPr="00797289">
        <w:rPr>
          <w:lang w:val="fr-CA" w:eastAsia="en-CA"/>
        </w:rPr>
        <w:t xml:space="preserve">IA utilisés dans le </w:t>
      </w:r>
      <w:r w:rsidR="002560A5">
        <w:rPr>
          <w:lang w:val="fr-CA" w:eastAsia="en-CA"/>
        </w:rPr>
        <w:t xml:space="preserve">secteur </w:t>
      </w:r>
      <w:r w:rsidRPr="00797289">
        <w:rPr>
          <w:lang w:val="fr-CA" w:eastAsia="en-CA"/>
        </w:rPr>
        <w:t>pénal. Il ne s</w:t>
      </w:r>
      <w:r w:rsidR="00C62E0C">
        <w:rPr>
          <w:lang w:val="fr-CA" w:eastAsia="en-CA"/>
        </w:rPr>
        <w:t>’</w:t>
      </w:r>
      <w:r w:rsidRPr="00797289">
        <w:rPr>
          <w:lang w:val="fr-CA" w:eastAsia="en-CA"/>
        </w:rPr>
        <w:t>agit pas d</w:t>
      </w:r>
      <w:r w:rsidR="00C62E0C">
        <w:rPr>
          <w:lang w:val="fr-CA" w:eastAsia="en-CA"/>
        </w:rPr>
        <w:t>’</w:t>
      </w:r>
      <w:r w:rsidRPr="00797289">
        <w:rPr>
          <w:lang w:val="fr-CA" w:eastAsia="en-CA"/>
        </w:rPr>
        <w:t>une question hypothétique. Les systèmes d</w:t>
      </w:r>
      <w:r w:rsidR="00C62E0C">
        <w:rPr>
          <w:lang w:val="fr-CA" w:eastAsia="en-CA"/>
        </w:rPr>
        <w:t>’</w:t>
      </w:r>
      <w:r w:rsidRPr="00797289">
        <w:rPr>
          <w:lang w:val="fr-CA" w:eastAsia="en-CA"/>
        </w:rPr>
        <w:t xml:space="preserve">IA utilisés dans le </w:t>
      </w:r>
      <w:r w:rsidR="002560A5">
        <w:rPr>
          <w:lang w:val="fr-CA" w:eastAsia="en-CA"/>
        </w:rPr>
        <w:t xml:space="preserve">secteur </w:t>
      </w:r>
      <w:r w:rsidRPr="00797289">
        <w:rPr>
          <w:lang w:val="fr-CA" w:eastAsia="en-CA"/>
        </w:rPr>
        <w:t>pénal sont employés dans d</w:t>
      </w:r>
      <w:r w:rsidR="00C62E0C">
        <w:rPr>
          <w:lang w:val="fr-CA" w:eastAsia="en-CA"/>
        </w:rPr>
        <w:t>’</w:t>
      </w:r>
      <w:r w:rsidRPr="00797289">
        <w:rPr>
          <w:lang w:val="fr-CA" w:eastAsia="en-CA"/>
        </w:rPr>
        <w:t xml:space="preserve">autres </w:t>
      </w:r>
      <w:r w:rsidR="002560A5">
        <w:rPr>
          <w:lang w:val="fr-CA" w:eastAsia="en-CA"/>
        </w:rPr>
        <w:t xml:space="preserve">juridictions </w:t>
      </w:r>
      <w:r w:rsidRPr="00797289">
        <w:rPr>
          <w:lang w:val="fr-CA" w:eastAsia="en-CA"/>
        </w:rPr>
        <w:t xml:space="preserve">depuis plusieurs années. Les </w:t>
      </w:r>
      <w:r w:rsidRPr="00797289">
        <w:rPr>
          <w:lang w:val="fr-CA" w:eastAsia="en-CA"/>
        </w:rPr>
        <w:lastRenderedPageBreak/>
        <w:t>décideurs politiques disposent donc d</w:t>
      </w:r>
      <w:r w:rsidR="00C62E0C">
        <w:rPr>
          <w:lang w:val="fr-CA" w:eastAsia="en-CA"/>
        </w:rPr>
        <w:t>’</w:t>
      </w:r>
      <w:r w:rsidRPr="00797289">
        <w:rPr>
          <w:lang w:val="fr-CA" w:eastAsia="en-CA"/>
        </w:rPr>
        <w:t>un historique détaillé des risques et des préjudices bien documentés et largement médiatisés, notamment</w:t>
      </w:r>
      <w:r>
        <w:rPr>
          <w:lang w:val="fr-CA" w:eastAsia="en-CA"/>
        </w:rPr>
        <w:t xml:space="preserve"> les suivants </w:t>
      </w:r>
      <w:r w:rsidR="006659AB" w:rsidRPr="00A317D7">
        <w:rPr>
          <w:lang w:val="fr-CA"/>
        </w:rPr>
        <w:t>:</w:t>
      </w:r>
    </w:p>
    <w:p w14:paraId="1D94E07D" w14:textId="77777777" w:rsidR="00781EC9" w:rsidRPr="00A317D7" w:rsidRDefault="00781EC9" w:rsidP="00781EC9">
      <w:pPr>
        <w:spacing w:after="0"/>
        <w:rPr>
          <w:lang w:val="fr-CA"/>
        </w:rPr>
      </w:pPr>
    </w:p>
    <w:p w14:paraId="33AF69D1" w14:textId="5847C949" w:rsidR="00797289" w:rsidRPr="00797289" w:rsidRDefault="00797289" w:rsidP="00797289">
      <w:pPr>
        <w:pStyle w:val="ListParagraph"/>
        <w:numPr>
          <w:ilvl w:val="0"/>
          <w:numId w:val="9"/>
        </w:numPr>
        <w:rPr>
          <w:lang w:val="fr-CA"/>
        </w:rPr>
      </w:pPr>
      <w:r w:rsidRPr="00797289">
        <w:rPr>
          <w:lang w:val="fr-CA"/>
        </w:rPr>
        <w:t>Risque d</w:t>
      </w:r>
      <w:r w:rsidR="00C62E0C">
        <w:rPr>
          <w:lang w:val="fr-CA"/>
        </w:rPr>
        <w:t>’</w:t>
      </w:r>
      <w:r w:rsidRPr="00797289">
        <w:rPr>
          <w:lang w:val="fr-CA"/>
        </w:rPr>
        <w:t>arrestation ou d</w:t>
      </w:r>
      <w:r w:rsidR="00C62E0C">
        <w:rPr>
          <w:lang w:val="fr-CA"/>
        </w:rPr>
        <w:t>’</w:t>
      </w:r>
      <w:r w:rsidRPr="00797289">
        <w:rPr>
          <w:lang w:val="fr-CA"/>
        </w:rPr>
        <w:t>emprisonnement injustifié.</w:t>
      </w:r>
    </w:p>
    <w:p w14:paraId="6B7B3E08" w14:textId="77777777" w:rsidR="00797289" w:rsidRPr="00797289" w:rsidRDefault="00797289" w:rsidP="00797289">
      <w:pPr>
        <w:pStyle w:val="ListParagraph"/>
        <w:numPr>
          <w:ilvl w:val="0"/>
          <w:numId w:val="9"/>
        </w:numPr>
        <w:rPr>
          <w:lang w:val="fr-CA"/>
        </w:rPr>
      </w:pPr>
      <w:r w:rsidRPr="00797289">
        <w:rPr>
          <w:lang w:val="fr-CA"/>
        </w:rPr>
        <w:t>Biais dans les données et discrimination.</w:t>
      </w:r>
    </w:p>
    <w:p w14:paraId="7207A134" w14:textId="77777777" w:rsidR="00797289" w:rsidRPr="00797289" w:rsidRDefault="00797289" w:rsidP="00797289">
      <w:pPr>
        <w:pStyle w:val="ListParagraph"/>
        <w:numPr>
          <w:ilvl w:val="0"/>
          <w:numId w:val="9"/>
        </w:numPr>
        <w:rPr>
          <w:lang w:val="fr-CA"/>
        </w:rPr>
      </w:pPr>
      <w:r w:rsidRPr="00797289">
        <w:rPr>
          <w:lang w:val="fr-CA"/>
        </w:rPr>
        <w:t>Absence de responsabilité juridique.</w:t>
      </w:r>
    </w:p>
    <w:p w14:paraId="29C0421A" w14:textId="4528C3CE" w:rsidR="00797289" w:rsidRPr="00797289" w:rsidRDefault="00797289" w:rsidP="00797289">
      <w:pPr>
        <w:pStyle w:val="ListParagraph"/>
        <w:numPr>
          <w:ilvl w:val="0"/>
          <w:numId w:val="9"/>
        </w:numPr>
        <w:rPr>
          <w:lang w:val="fr-CA"/>
        </w:rPr>
      </w:pPr>
      <w:r w:rsidRPr="00797289">
        <w:rPr>
          <w:lang w:val="fr-CA"/>
        </w:rPr>
        <w:t>Risques pour la vie privée, les droits de la personne et l</w:t>
      </w:r>
      <w:r w:rsidR="00C62E0C">
        <w:rPr>
          <w:lang w:val="fr-CA"/>
        </w:rPr>
        <w:t>’</w:t>
      </w:r>
      <w:r w:rsidRPr="00797289">
        <w:rPr>
          <w:lang w:val="fr-CA"/>
        </w:rPr>
        <w:t>équité procédurale.</w:t>
      </w:r>
    </w:p>
    <w:p w14:paraId="4FB49CD0" w14:textId="77777777" w:rsidR="00797289" w:rsidRPr="00797289" w:rsidRDefault="00797289" w:rsidP="00797289">
      <w:pPr>
        <w:pStyle w:val="ListParagraph"/>
        <w:numPr>
          <w:ilvl w:val="0"/>
          <w:numId w:val="9"/>
        </w:numPr>
        <w:rPr>
          <w:lang w:val="fr-CA"/>
        </w:rPr>
      </w:pPr>
      <w:r w:rsidRPr="00797289">
        <w:rPr>
          <w:lang w:val="fr-CA"/>
        </w:rPr>
        <w:t>Incohérence dans les pratiques policières et les décisions judiciaires.</w:t>
      </w:r>
    </w:p>
    <w:p w14:paraId="5EF0A855" w14:textId="77777777" w:rsidR="00797289" w:rsidRPr="00797289" w:rsidRDefault="00797289" w:rsidP="00797289">
      <w:pPr>
        <w:pStyle w:val="ListParagraph"/>
        <w:numPr>
          <w:ilvl w:val="0"/>
          <w:numId w:val="9"/>
        </w:numPr>
        <w:rPr>
          <w:lang w:val="fr-CA"/>
        </w:rPr>
      </w:pPr>
      <w:r w:rsidRPr="00797289">
        <w:rPr>
          <w:lang w:val="fr-CA"/>
        </w:rPr>
        <w:t>Perte de confiance du public dans le système de justice pénale.</w:t>
      </w:r>
    </w:p>
    <w:p w14:paraId="447DE462" w14:textId="58849AB3" w:rsidR="006659AB" w:rsidRPr="00A317D7" w:rsidRDefault="00797289" w:rsidP="00797289">
      <w:pPr>
        <w:pStyle w:val="ListParagraph"/>
        <w:numPr>
          <w:ilvl w:val="0"/>
          <w:numId w:val="9"/>
        </w:numPr>
        <w:rPr>
          <w:lang w:val="fr-CA"/>
        </w:rPr>
      </w:pPr>
      <w:r w:rsidRPr="00797289">
        <w:rPr>
          <w:lang w:val="fr-CA"/>
        </w:rPr>
        <w:t>Risque d</w:t>
      </w:r>
      <w:r w:rsidR="00C62E0C">
        <w:rPr>
          <w:lang w:val="fr-CA"/>
        </w:rPr>
        <w:t>’</w:t>
      </w:r>
      <w:r w:rsidRPr="00797289">
        <w:rPr>
          <w:lang w:val="fr-CA"/>
        </w:rPr>
        <w:t>aggraver la surreprésentation actuelle des communautés à faible revenu, racisées et autochtones da</w:t>
      </w:r>
      <w:r>
        <w:rPr>
          <w:lang w:val="fr-CA"/>
        </w:rPr>
        <w:t>ns le système de justice pénale</w:t>
      </w:r>
      <w:r w:rsidR="006659AB" w:rsidRPr="00A317D7">
        <w:rPr>
          <w:lang w:val="fr-CA"/>
        </w:rPr>
        <w:t xml:space="preserve">. </w:t>
      </w:r>
    </w:p>
    <w:p w14:paraId="6F62B309" w14:textId="445E4418" w:rsidR="008B55B6" w:rsidRPr="00A317D7" w:rsidRDefault="00797289" w:rsidP="006659AB">
      <w:pPr>
        <w:rPr>
          <w:lang w:val="fr-CA"/>
        </w:rPr>
      </w:pPr>
      <w:r w:rsidRPr="00797289">
        <w:rPr>
          <w:lang w:val="fr-CA"/>
        </w:rPr>
        <w:t>À défaut de mesures proactives, ces risques et conséquences sont à la fois prévisibles et significatifs</w:t>
      </w:r>
      <w:r w:rsidR="00AE6BB1" w:rsidRPr="00A317D7">
        <w:rPr>
          <w:lang w:val="fr-CA"/>
        </w:rPr>
        <w:t>.</w:t>
      </w:r>
    </w:p>
    <w:p w14:paraId="6F2ABDE4" w14:textId="34F1B11E" w:rsidR="008960D2" w:rsidRPr="00A317D7" w:rsidRDefault="00797289" w:rsidP="008960D2">
      <w:pPr>
        <w:spacing w:after="0"/>
        <w:rPr>
          <w:lang w:val="fr-CA"/>
        </w:rPr>
      </w:pPr>
      <w:r w:rsidRPr="00797289">
        <w:rPr>
          <w:lang w:val="fr-CA"/>
        </w:rPr>
        <w:t>La CDO estime qu</w:t>
      </w:r>
      <w:r w:rsidR="00C62E0C">
        <w:rPr>
          <w:lang w:val="fr-CA"/>
        </w:rPr>
        <w:t>’</w:t>
      </w:r>
      <w:r w:rsidRPr="00797289">
        <w:rPr>
          <w:lang w:val="fr-CA"/>
        </w:rPr>
        <w:t>il est urgent de garantir la fiabilité de l</w:t>
      </w:r>
      <w:r w:rsidR="00C62E0C">
        <w:rPr>
          <w:lang w:val="fr-CA"/>
        </w:rPr>
        <w:t>’</w:t>
      </w:r>
      <w:r w:rsidRPr="00797289">
        <w:rPr>
          <w:lang w:val="fr-CA"/>
        </w:rPr>
        <w:t xml:space="preserve">IA dans le </w:t>
      </w:r>
      <w:r w:rsidR="002D08EF">
        <w:rPr>
          <w:lang w:val="fr-CA"/>
        </w:rPr>
        <w:t>secteur pénal</w:t>
      </w:r>
      <w:r w:rsidR="002D08EF" w:rsidRPr="00797289">
        <w:rPr>
          <w:lang w:val="fr-CA"/>
        </w:rPr>
        <w:t xml:space="preserve"> </w:t>
      </w:r>
      <w:r w:rsidRPr="00797289">
        <w:rPr>
          <w:lang w:val="fr-CA"/>
        </w:rPr>
        <w:t xml:space="preserve">au Canada. </w:t>
      </w:r>
      <w:r w:rsidR="00C617A6">
        <w:rPr>
          <w:lang w:val="fr-CA"/>
        </w:rPr>
        <w:t>L’intelligence artificielle dans le système judiciaire pénal soulève des questions cruciales pour la société canadienne, telles que la sécurité publique, les droits constitutionnels, les droits de la personne, les libertés civiles, la protection de la vie privée, l’équité procédurale et la confiance du public dans les institutions publiques clés, telles que les tribunaux et la police.</w:t>
      </w:r>
      <w:r w:rsidR="008960D2" w:rsidRPr="00A317D7">
        <w:rPr>
          <w:lang w:val="fr-CA"/>
        </w:rPr>
        <w:t xml:space="preserve"> </w:t>
      </w:r>
    </w:p>
    <w:p w14:paraId="3583350E" w14:textId="77777777" w:rsidR="008B55B6" w:rsidRPr="00A317D7" w:rsidRDefault="008B55B6" w:rsidP="006659AB">
      <w:pPr>
        <w:rPr>
          <w:lang w:val="fr-CA"/>
        </w:rPr>
      </w:pPr>
    </w:p>
    <w:p w14:paraId="5BFE9663" w14:textId="0EB42FE7" w:rsidR="00F04D5D" w:rsidRPr="00C20DA6" w:rsidRDefault="00D873AD" w:rsidP="00965500">
      <w:pPr>
        <w:pStyle w:val="Heading1"/>
        <w:numPr>
          <w:ilvl w:val="0"/>
          <w:numId w:val="21"/>
        </w:numPr>
        <w:rPr>
          <w:lang w:val="fr-CA" w:eastAsia="en-CA"/>
        </w:rPr>
      </w:pPr>
      <w:bookmarkStart w:id="66" w:name="_bookmark15"/>
      <w:bookmarkStart w:id="67" w:name="_Toc188900930"/>
      <w:bookmarkStart w:id="68" w:name="_Toc194406410"/>
      <w:bookmarkStart w:id="69" w:name="_Toc197353494"/>
      <w:bookmarkStart w:id="70" w:name="_Toc197599893"/>
      <w:bookmarkEnd w:id="66"/>
      <w:r w:rsidRPr="00C20DA6">
        <w:rPr>
          <w:lang w:val="fr-CA" w:eastAsia="en-CA"/>
        </w:rPr>
        <w:t xml:space="preserve">Prochaines étapes </w:t>
      </w:r>
      <w:bookmarkEnd w:id="67"/>
      <w:r w:rsidRPr="00C20DA6">
        <w:rPr>
          <w:lang w:val="fr-CA" w:eastAsia="en-CA"/>
        </w:rPr>
        <w:t>et c</w:t>
      </w:r>
      <w:r w:rsidR="003346B0" w:rsidRPr="00C20DA6">
        <w:rPr>
          <w:lang w:val="fr-CA" w:eastAsia="en-CA"/>
        </w:rPr>
        <w:t>o</w:t>
      </w:r>
      <w:r w:rsidR="009003DB" w:rsidRPr="00C20DA6">
        <w:rPr>
          <w:lang w:val="fr-CA" w:eastAsia="en-CA"/>
        </w:rPr>
        <w:t>ordonnées</w:t>
      </w:r>
      <w:bookmarkEnd w:id="68"/>
      <w:bookmarkEnd w:id="69"/>
      <w:bookmarkEnd w:id="70"/>
      <w:r w:rsidR="003346B0" w:rsidRPr="00C20DA6">
        <w:rPr>
          <w:lang w:val="fr-CA" w:eastAsia="en-CA"/>
        </w:rPr>
        <w:t xml:space="preserve"> </w:t>
      </w:r>
    </w:p>
    <w:p w14:paraId="430A9A44" w14:textId="77777777" w:rsidR="00414E25" w:rsidRPr="00C00B53" w:rsidRDefault="00414E25" w:rsidP="00414E25">
      <w:pPr>
        <w:spacing w:after="0"/>
        <w:rPr>
          <w:lang w:val="fr-CA"/>
        </w:rPr>
      </w:pPr>
    </w:p>
    <w:p w14:paraId="01FA0B27" w14:textId="05365612" w:rsidR="003346B0" w:rsidRPr="00A317D7" w:rsidRDefault="00797289" w:rsidP="003346B0">
      <w:pPr>
        <w:spacing w:after="240" w:line="240" w:lineRule="auto"/>
        <w:rPr>
          <w:lang w:val="fr-CA"/>
        </w:rPr>
      </w:pPr>
      <w:r w:rsidRPr="00797289">
        <w:rPr>
          <w:rFonts w:cstheme="minorHAnsi"/>
          <w:lang w:val="fr-CA"/>
        </w:rPr>
        <w:t>L</w:t>
      </w:r>
      <w:r w:rsidR="00C62E0C">
        <w:rPr>
          <w:rFonts w:cstheme="minorHAnsi"/>
          <w:lang w:val="fr-CA"/>
        </w:rPr>
        <w:t>’</w:t>
      </w:r>
      <w:r w:rsidRPr="00797289">
        <w:rPr>
          <w:rFonts w:cstheme="minorHAnsi"/>
          <w:lang w:val="fr-CA"/>
        </w:rPr>
        <w:t>une des leçons importantes tirées de ce projet est que l</w:t>
      </w:r>
      <w:r w:rsidR="00C62E0C">
        <w:rPr>
          <w:rFonts w:cstheme="minorHAnsi"/>
          <w:lang w:val="fr-CA"/>
        </w:rPr>
        <w:t>’</w:t>
      </w:r>
      <w:r w:rsidRPr="00797289">
        <w:rPr>
          <w:rFonts w:cstheme="minorHAnsi"/>
          <w:lang w:val="fr-CA"/>
        </w:rPr>
        <w:t>i</w:t>
      </w:r>
      <w:r w:rsidR="00C00B53">
        <w:rPr>
          <w:rFonts w:cstheme="minorHAnsi"/>
          <w:lang w:val="fr-CA"/>
        </w:rPr>
        <w:t xml:space="preserve">ncidence </w:t>
      </w:r>
      <w:r w:rsidRPr="00797289">
        <w:rPr>
          <w:rFonts w:cstheme="minorHAnsi"/>
          <w:lang w:val="fr-CA"/>
        </w:rPr>
        <w:t>positi</w:t>
      </w:r>
      <w:r w:rsidR="00C00B53">
        <w:rPr>
          <w:rFonts w:cstheme="minorHAnsi"/>
          <w:lang w:val="fr-CA"/>
        </w:rPr>
        <w:t>ve</w:t>
      </w:r>
      <w:r w:rsidRPr="00797289">
        <w:rPr>
          <w:rFonts w:cstheme="minorHAnsi"/>
          <w:lang w:val="fr-CA"/>
        </w:rPr>
        <w:t xml:space="preserve"> ou négati</w:t>
      </w:r>
      <w:r w:rsidR="00C00B53">
        <w:rPr>
          <w:rFonts w:cstheme="minorHAnsi"/>
          <w:lang w:val="fr-CA"/>
        </w:rPr>
        <w:t>ve</w:t>
      </w:r>
      <w:r w:rsidRPr="00797289">
        <w:rPr>
          <w:rFonts w:cstheme="minorHAnsi"/>
          <w:lang w:val="fr-CA"/>
        </w:rPr>
        <w:t xml:space="preserve"> de l</w:t>
      </w:r>
      <w:r w:rsidR="00C62E0C">
        <w:rPr>
          <w:rFonts w:cstheme="minorHAnsi"/>
          <w:lang w:val="fr-CA"/>
        </w:rPr>
        <w:t>’</w:t>
      </w:r>
      <w:r w:rsidRPr="00797289">
        <w:rPr>
          <w:rFonts w:cstheme="minorHAnsi"/>
          <w:lang w:val="fr-CA"/>
        </w:rPr>
        <w:t xml:space="preserve">IA dans le </w:t>
      </w:r>
      <w:r w:rsidR="0088166C">
        <w:rPr>
          <w:lang w:val="fr-CA"/>
        </w:rPr>
        <w:t>système de justice pénale</w:t>
      </w:r>
      <w:r w:rsidR="0088166C" w:rsidRPr="00797289">
        <w:rPr>
          <w:rFonts w:cstheme="minorHAnsi"/>
          <w:lang w:val="fr-CA"/>
        </w:rPr>
        <w:t xml:space="preserve"> </w:t>
      </w:r>
      <w:r w:rsidR="002C0DC8">
        <w:rPr>
          <w:rFonts w:cstheme="minorHAnsi"/>
          <w:lang w:val="fr-CA"/>
        </w:rPr>
        <w:t xml:space="preserve">repose sur une </w:t>
      </w:r>
      <w:r w:rsidRPr="00797289">
        <w:rPr>
          <w:rFonts w:cstheme="minorHAnsi"/>
          <w:lang w:val="fr-CA"/>
        </w:rPr>
        <w:t>série complexe et interdépendante de choix techniques, opérationnels, politiques et juridiques. Une deuxième leçon importante est qu</w:t>
      </w:r>
      <w:r w:rsidR="00C62E0C">
        <w:rPr>
          <w:rFonts w:cstheme="minorHAnsi"/>
          <w:lang w:val="fr-CA"/>
        </w:rPr>
        <w:t>’</w:t>
      </w:r>
      <w:r w:rsidRPr="00797289">
        <w:rPr>
          <w:rFonts w:cstheme="minorHAnsi"/>
          <w:lang w:val="fr-CA"/>
        </w:rPr>
        <w:t>il est essentiel de mettre en place des collaborations et des consultations à grande échelle. Compte tenu des enjeux, aucune organisation ou partie prenante ne peut ni ne d</w:t>
      </w:r>
      <w:r>
        <w:rPr>
          <w:rFonts w:cstheme="minorHAnsi"/>
          <w:lang w:val="fr-CA"/>
        </w:rPr>
        <w:t>oit agir de manière unilatérale</w:t>
      </w:r>
      <w:r w:rsidR="00AA079B" w:rsidRPr="00A317D7">
        <w:rPr>
          <w:lang w:val="fr-CA"/>
        </w:rPr>
        <w:t>.</w:t>
      </w:r>
      <w:r w:rsidR="00BE6D0C" w:rsidRPr="00A317D7">
        <w:rPr>
          <w:lang w:val="fr-CA"/>
        </w:rPr>
        <w:t xml:space="preserve"> </w:t>
      </w:r>
    </w:p>
    <w:p w14:paraId="180F6945" w14:textId="0A559542" w:rsidR="003346B0" w:rsidRPr="00797289" w:rsidRDefault="00797289" w:rsidP="003346B0">
      <w:pPr>
        <w:rPr>
          <w:lang w:val="fr-CA"/>
        </w:rPr>
      </w:pPr>
      <w:r w:rsidRPr="00797289">
        <w:rPr>
          <w:lang w:val="fr-CA"/>
        </w:rPr>
        <w:t>La CDO est convaincue que les décideurs politiques provinciaux et les parties prenantes sont déterminés à traiter ces questions de manière réfléchie et collaborative. À cette fin, la CDO organisera des consultations sur le pro</w:t>
      </w:r>
      <w:r>
        <w:rPr>
          <w:lang w:val="fr-CA"/>
        </w:rPr>
        <w:t>jet au cours des prochains mois</w:t>
      </w:r>
      <w:r w:rsidR="00337FA1" w:rsidRPr="00797289">
        <w:rPr>
          <w:rFonts w:ascii="Calibri" w:eastAsia="Calibri" w:hAnsi="Calibri" w:cs="Times New Roman"/>
          <w:lang w:val="fr-CA"/>
        </w:rPr>
        <w:t xml:space="preserve">. </w:t>
      </w:r>
    </w:p>
    <w:p w14:paraId="641613A6" w14:textId="3822562A" w:rsidR="00414E25" w:rsidRPr="00797289" w:rsidRDefault="00797289" w:rsidP="00414E25">
      <w:pPr>
        <w:spacing w:after="0"/>
        <w:rPr>
          <w:rFonts w:ascii="Calibri" w:eastAsia="Calibri" w:hAnsi="Calibri" w:cs="Times New Roman"/>
          <w:lang w:val="fr-CA"/>
        </w:rPr>
      </w:pPr>
      <w:r w:rsidRPr="00797289">
        <w:rPr>
          <w:rFonts w:ascii="Calibri" w:eastAsia="Calibri" w:hAnsi="Calibri" w:cs="Times New Roman"/>
          <w:lang w:val="fr-CA"/>
        </w:rPr>
        <w:t xml:space="preserve">Les personnes ou organisations intéressées par une collaboration avec la CDO sont invitées à contacter </w:t>
      </w:r>
      <w:r w:rsidR="003346B0" w:rsidRPr="00797289">
        <w:rPr>
          <w:rFonts w:ascii="Calibri" w:eastAsia="Calibri" w:hAnsi="Calibri" w:cs="Times New Roman"/>
          <w:lang w:val="fr-CA"/>
        </w:rPr>
        <w:t xml:space="preserve">Ryan Fritsch, </w:t>
      </w:r>
      <w:r>
        <w:rPr>
          <w:rFonts w:ascii="Calibri" w:eastAsia="Calibri" w:hAnsi="Calibri" w:cs="Times New Roman"/>
          <w:lang w:val="fr-CA"/>
        </w:rPr>
        <w:t>responsable du projet de la CDO sur l’IA dans le secteur de la justice pénale</w:t>
      </w:r>
      <w:r w:rsidR="003346B0" w:rsidRPr="00797289">
        <w:rPr>
          <w:rFonts w:ascii="Calibri" w:eastAsia="Calibri" w:hAnsi="Calibri" w:cs="Times New Roman"/>
          <w:lang w:val="fr-CA"/>
        </w:rPr>
        <w:t xml:space="preserve">, </w:t>
      </w:r>
      <w:r>
        <w:rPr>
          <w:rFonts w:ascii="Calibri" w:eastAsia="Calibri" w:hAnsi="Calibri" w:cs="Times New Roman"/>
          <w:lang w:val="fr-CA"/>
        </w:rPr>
        <w:t xml:space="preserve">à </w:t>
      </w:r>
      <w:hyperlink r:id="rId34" w:history="1">
        <w:r w:rsidR="0040140A" w:rsidRPr="00797289">
          <w:rPr>
            <w:rFonts w:ascii="Calibri" w:eastAsia="Calibri" w:hAnsi="Calibri" w:cs="Times New Roman"/>
            <w:color w:val="0563C1" w:themeColor="hyperlink"/>
            <w:kern w:val="0"/>
            <w:u w:val="single"/>
            <w:lang w:val="fr-CA" w:eastAsia="en-CA"/>
            <w14:ligatures w14:val="none"/>
          </w:rPr>
          <w:t>rfritsch@lco-cdo.org</w:t>
        </w:r>
      </w:hyperlink>
      <w:r w:rsidR="0040140A" w:rsidRPr="00797289">
        <w:rPr>
          <w:rFonts w:ascii="Calibri" w:eastAsia="Calibri" w:hAnsi="Calibri" w:cs="Times New Roman"/>
          <w:kern w:val="0"/>
          <w:lang w:val="fr-CA" w:eastAsia="en-CA"/>
          <w14:ligatures w14:val="none"/>
        </w:rPr>
        <w:t>.</w:t>
      </w:r>
      <w:r w:rsidR="00BE6D0C" w:rsidRPr="00797289">
        <w:rPr>
          <w:rFonts w:ascii="Calibri" w:eastAsia="Calibri" w:hAnsi="Calibri" w:cs="Times New Roman"/>
          <w:kern w:val="0"/>
          <w:lang w:val="fr-CA" w:eastAsia="en-CA"/>
          <w14:ligatures w14:val="none"/>
        </w:rPr>
        <w:t xml:space="preserve"> </w:t>
      </w:r>
    </w:p>
    <w:p w14:paraId="678B7A6B" w14:textId="77777777" w:rsidR="003346B0" w:rsidRPr="00797289" w:rsidRDefault="003346B0" w:rsidP="00414E25">
      <w:pPr>
        <w:spacing w:after="0"/>
        <w:rPr>
          <w:rFonts w:ascii="Calibri" w:eastAsia="Calibri" w:hAnsi="Calibri" w:cs="Times New Roman"/>
          <w:lang w:val="fr-CA"/>
        </w:rPr>
      </w:pPr>
    </w:p>
    <w:p w14:paraId="22277749" w14:textId="4D836FD3" w:rsidR="0040140A" w:rsidRPr="00797289" w:rsidRDefault="00797289" w:rsidP="0040140A">
      <w:pPr>
        <w:rPr>
          <w:lang w:val="fr-CA" w:eastAsia="en-CA"/>
        </w:rPr>
      </w:pPr>
      <w:r w:rsidRPr="00797289">
        <w:rPr>
          <w:rFonts w:eastAsia="Calibri" w:cstheme="minorHAnsi"/>
          <w:kern w:val="0"/>
          <w:lang w:val="fr-CA" w:eastAsia="en-CA"/>
          <w14:ligatures w14:val="none"/>
        </w:rPr>
        <w:t>De plus amples renseignements sur nos projets de consultation, nos documents de réflexion sur l</w:t>
      </w:r>
      <w:r w:rsidR="00C62E0C">
        <w:rPr>
          <w:rFonts w:eastAsia="Calibri" w:cstheme="minorHAnsi"/>
          <w:kern w:val="0"/>
          <w:lang w:val="fr-CA" w:eastAsia="en-CA"/>
          <w14:ligatures w14:val="none"/>
        </w:rPr>
        <w:t>’</w:t>
      </w:r>
      <w:r w:rsidRPr="00797289">
        <w:rPr>
          <w:rFonts w:eastAsia="Calibri" w:cstheme="minorHAnsi"/>
          <w:kern w:val="0"/>
          <w:lang w:val="fr-CA" w:eastAsia="en-CA"/>
          <w14:ligatures w14:val="none"/>
        </w:rPr>
        <w:t xml:space="preserve">IA dans </w:t>
      </w:r>
      <w:r w:rsidR="00886638">
        <w:rPr>
          <w:rFonts w:eastAsia="Calibri" w:cstheme="minorHAnsi"/>
          <w:kern w:val="0"/>
          <w:lang w:val="fr-CA" w:eastAsia="en-CA"/>
          <w14:ligatures w14:val="none"/>
        </w:rPr>
        <w:t xml:space="preserve">le </w:t>
      </w:r>
      <w:r w:rsidR="00886638">
        <w:rPr>
          <w:lang w:val="fr-CA"/>
        </w:rPr>
        <w:t>système de justice pénale</w:t>
      </w:r>
      <w:r w:rsidR="00886638" w:rsidRPr="00797289">
        <w:rPr>
          <w:rFonts w:eastAsia="Calibri" w:cstheme="minorHAnsi"/>
          <w:kern w:val="0"/>
          <w:lang w:val="fr-CA" w:eastAsia="en-CA"/>
          <w14:ligatures w14:val="none"/>
        </w:rPr>
        <w:t xml:space="preserve"> </w:t>
      </w:r>
      <w:r w:rsidRPr="00797289">
        <w:rPr>
          <w:rFonts w:eastAsia="Calibri" w:cstheme="minorHAnsi"/>
          <w:kern w:val="0"/>
          <w:lang w:val="fr-CA" w:eastAsia="en-CA"/>
          <w14:ligatures w14:val="none"/>
        </w:rPr>
        <w:t>et d</w:t>
      </w:r>
      <w:r w:rsidR="00C62E0C">
        <w:rPr>
          <w:rFonts w:eastAsia="Calibri" w:cstheme="minorHAnsi"/>
          <w:kern w:val="0"/>
          <w:lang w:val="fr-CA" w:eastAsia="en-CA"/>
          <w14:ligatures w14:val="none"/>
        </w:rPr>
        <w:t>’</w:t>
      </w:r>
      <w:r w:rsidRPr="00797289">
        <w:rPr>
          <w:rFonts w:eastAsia="Calibri" w:cstheme="minorHAnsi"/>
          <w:kern w:val="0"/>
          <w:lang w:val="fr-CA" w:eastAsia="en-CA"/>
          <w14:ligatures w14:val="none"/>
        </w:rPr>
        <w:t xml:space="preserve">autres </w:t>
      </w:r>
      <w:r w:rsidR="00886638">
        <w:rPr>
          <w:rFonts w:eastAsia="Calibri" w:cstheme="minorHAnsi"/>
          <w:kern w:val="0"/>
          <w:lang w:val="fr-CA" w:eastAsia="en-CA"/>
          <w14:ligatures w14:val="none"/>
        </w:rPr>
        <w:t xml:space="preserve">renseignements </w:t>
      </w:r>
      <w:r w:rsidRPr="00797289">
        <w:rPr>
          <w:rFonts w:eastAsia="Calibri" w:cstheme="minorHAnsi"/>
          <w:kern w:val="0"/>
          <w:lang w:val="fr-CA" w:eastAsia="en-CA"/>
          <w14:ligatures w14:val="none"/>
        </w:rPr>
        <w:t>sont disponibles sur</w:t>
      </w:r>
      <w:r w:rsidRPr="00797289">
        <w:rPr>
          <w:rStyle w:val="Hyperlink"/>
          <w:rFonts w:eastAsia="Calibri" w:cstheme="minorHAnsi"/>
          <w:color w:val="auto"/>
          <w:kern w:val="0"/>
          <w:u w:val="none"/>
          <w:lang w:val="fr-CA" w:eastAsia="en-CA"/>
          <w14:ligatures w14:val="none"/>
        </w:rPr>
        <w:t xml:space="preserve"> </w:t>
      </w:r>
      <w:r>
        <w:rPr>
          <w:rStyle w:val="Hyperlink"/>
          <w:rFonts w:eastAsia="Calibri" w:cstheme="minorHAnsi"/>
          <w:color w:val="auto"/>
          <w:kern w:val="0"/>
          <w:u w:val="none"/>
          <w:lang w:val="fr-CA" w:eastAsia="en-CA"/>
          <w14:ligatures w14:val="none"/>
        </w:rPr>
        <w:t xml:space="preserve">notre </w:t>
      </w:r>
      <w:hyperlink r:id="rId35" w:history="1">
        <w:r w:rsidR="009003DB" w:rsidRPr="00797289">
          <w:rPr>
            <w:rStyle w:val="Hyperlink"/>
            <w:rFonts w:eastAsia="Calibri" w:cstheme="minorHAnsi"/>
            <w:kern w:val="0"/>
            <w:lang w:val="fr-CA" w:eastAsia="en-CA"/>
            <w14:ligatures w14:val="none"/>
          </w:rPr>
          <w:t>site Web</w:t>
        </w:r>
      </w:hyperlink>
      <w:r w:rsidR="0040140A" w:rsidRPr="00797289">
        <w:rPr>
          <w:rFonts w:eastAsia="Calibri" w:cstheme="minorHAnsi"/>
          <w:kern w:val="0"/>
          <w:lang w:val="fr-CA" w:eastAsia="en-CA"/>
          <w14:ligatures w14:val="none"/>
        </w:rPr>
        <w:t>.</w:t>
      </w:r>
      <w:r w:rsidR="00BE6D0C" w:rsidRPr="00797289">
        <w:rPr>
          <w:rFonts w:eastAsia="Calibri" w:cstheme="minorHAnsi"/>
          <w:kern w:val="0"/>
          <w:lang w:val="fr-CA" w:eastAsia="en-CA"/>
          <w14:ligatures w14:val="none"/>
        </w:rPr>
        <w:t xml:space="preserve"> </w:t>
      </w:r>
    </w:p>
    <w:p w14:paraId="5F18025C" w14:textId="68293446" w:rsidR="0040140A" w:rsidRPr="00797289" w:rsidRDefault="00797289" w:rsidP="0040140A">
      <w:pPr>
        <w:spacing w:after="0"/>
        <w:rPr>
          <w:bCs/>
          <w:lang w:val="fr-CA"/>
        </w:rPr>
      </w:pPr>
      <w:r w:rsidRPr="00797289">
        <w:rPr>
          <w:bCs/>
          <w:lang w:val="fr-CA"/>
        </w:rPr>
        <w:t xml:space="preserve">Vous pouvez également contacter la </w:t>
      </w:r>
      <w:r w:rsidR="00DF11B0" w:rsidRPr="00797289">
        <w:rPr>
          <w:bCs/>
          <w:lang w:val="fr-CA"/>
        </w:rPr>
        <w:t>CDO</w:t>
      </w:r>
      <w:r w:rsidR="0040140A" w:rsidRPr="00797289">
        <w:rPr>
          <w:bCs/>
          <w:lang w:val="fr-CA"/>
        </w:rPr>
        <w:t xml:space="preserve"> </w:t>
      </w:r>
      <w:r w:rsidRPr="00797289">
        <w:rPr>
          <w:bCs/>
          <w:lang w:val="fr-CA"/>
        </w:rPr>
        <w:t>à </w:t>
      </w:r>
      <w:r w:rsidR="0040140A" w:rsidRPr="00797289">
        <w:rPr>
          <w:bCs/>
          <w:lang w:val="fr-CA"/>
        </w:rPr>
        <w:t>:</w:t>
      </w:r>
    </w:p>
    <w:p w14:paraId="115560A4" w14:textId="77777777" w:rsidR="0040140A" w:rsidRPr="00797289" w:rsidRDefault="0040140A" w:rsidP="0040140A">
      <w:pPr>
        <w:spacing w:after="0"/>
        <w:rPr>
          <w:bCs/>
          <w:lang w:val="fr-CA"/>
        </w:rPr>
      </w:pPr>
    </w:p>
    <w:p w14:paraId="2AF88E5B" w14:textId="198F950E" w:rsidR="00AD6262" w:rsidRPr="00A317D7" w:rsidRDefault="009003DB" w:rsidP="00AD6262">
      <w:pPr>
        <w:rPr>
          <w:rFonts w:eastAsia="Calibri" w:cstheme="minorHAnsi"/>
          <w:kern w:val="0"/>
          <w:lang w:val="fr-CA" w:eastAsia="en-CA"/>
          <w14:ligatures w14:val="none"/>
        </w:rPr>
      </w:pPr>
      <w:r w:rsidRPr="00A317D7">
        <w:rPr>
          <w:rFonts w:ascii="Calibri" w:eastAsia="Calibri" w:hAnsi="Calibri" w:cs="Calibri"/>
          <w:lang w:val="fr-CA" w:eastAsia="en-CA"/>
        </w:rPr>
        <w:t xml:space="preserve">Commission </w:t>
      </w:r>
      <w:r>
        <w:rPr>
          <w:rFonts w:ascii="Calibri" w:eastAsia="Calibri" w:hAnsi="Calibri" w:cs="Calibri"/>
          <w:lang w:val="fr-CA" w:eastAsia="en-CA"/>
        </w:rPr>
        <w:t>du droit de l’</w:t>
      </w:r>
      <w:r w:rsidRPr="00A317D7">
        <w:rPr>
          <w:rFonts w:ascii="Calibri" w:eastAsia="Calibri" w:hAnsi="Calibri" w:cs="Calibri"/>
          <w:lang w:val="fr-CA" w:eastAsia="en-CA"/>
        </w:rPr>
        <w:t>Ontario</w:t>
      </w:r>
      <w:r w:rsidRPr="00A317D7">
        <w:rPr>
          <w:rFonts w:ascii="Calibri" w:eastAsia="Calibri" w:hAnsi="Calibri" w:cs="Calibri"/>
          <w:lang w:val="fr-CA" w:eastAsia="en-CA"/>
        </w:rPr>
        <w:br/>
        <w:t>2032</w:t>
      </w:r>
      <w:r>
        <w:rPr>
          <w:rFonts w:ascii="Calibri" w:eastAsia="Calibri" w:hAnsi="Calibri" w:cs="Calibri"/>
          <w:lang w:val="fr-CA" w:eastAsia="en-CA"/>
        </w:rPr>
        <w:t xml:space="preserve">, édifice </w:t>
      </w:r>
      <w:r w:rsidRPr="00A317D7">
        <w:rPr>
          <w:rFonts w:ascii="Calibri" w:eastAsia="Calibri" w:hAnsi="Calibri" w:cs="Calibri"/>
          <w:lang w:val="fr-CA" w:eastAsia="en-CA"/>
        </w:rPr>
        <w:t xml:space="preserve">Ignat Kaneff </w:t>
      </w:r>
      <w:r w:rsidRPr="00A317D7">
        <w:rPr>
          <w:rFonts w:ascii="Calibri" w:eastAsia="Calibri" w:hAnsi="Calibri" w:cs="Calibri"/>
          <w:lang w:val="fr-CA" w:eastAsia="en-CA"/>
        </w:rPr>
        <w:br/>
      </w:r>
      <w:r>
        <w:rPr>
          <w:rFonts w:ascii="Calibri" w:eastAsia="Calibri" w:hAnsi="Calibri" w:cs="Calibri"/>
          <w:lang w:val="fr-CA" w:eastAsia="en-CA"/>
        </w:rPr>
        <w:t xml:space="preserve">Faculté de droit </w:t>
      </w:r>
      <w:r w:rsidRPr="00A317D7">
        <w:rPr>
          <w:rFonts w:ascii="Calibri" w:eastAsia="Calibri" w:hAnsi="Calibri" w:cs="Calibri"/>
          <w:lang w:val="fr-CA" w:eastAsia="en-CA"/>
        </w:rPr>
        <w:t xml:space="preserve">Osgoode Hall, </w:t>
      </w:r>
      <w:r>
        <w:rPr>
          <w:rFonts w:ascii="Calibri" w:eastAsia="Calibri" w:hAnsi="Calibri" w:cs="Calibri"/>
          <w:lang w:val="fr-CA" w:eastAsia="en-CA"/>
        </w:rPr>
        <w:t xml:space="preserve">Université </w:t>
      </w:r>
      <w:r w:rsidRPr="00A317D7">
        <w:rPr>
          <w:rFonts w:ascii="Calibri" w:eastAsia="Calibri" w:hAnsi="Calibri" w:cs="Calibri"/>
          <w:lang w:val="fr-CA" w:eastAsia="en-CA"/>
        </w:rPr>
        <w:t xml:space="preserve">York </w:t>
      </w:r>
      <w:r w:rsidRPr="00A317D7">
        <w:rPr>
          <w:rFonts w:ascii="Calibri" w:eastAsia="Calibri" w:hAnsi="Calibri" w:cs="Calibri"/>
          <w:lang w:val="fr-CA" w:eastAsia="en-CA"/>
        </w:rPr>
        <w:br/>
      </w:r>
      <w:r w:rsidR="00C62E0C">
        <w:rPr>
          <w:rFonts w:ascii="Calibri" w:eastAsia="Calibri" w:hAnsi="Calibri" w:cs="Calibri"/>
          <w:lang w:val="fr-CA" w:eastAsia="en-CA"/>
        </w:rPr>
        <w:t>4700, rue Keele, Toronto ON M3J 1P3</w:t>
      </w:r>
    </w:p>
    <w:p w14:paraId="005953F6" w14:textId="06EB3AD5" w:rsidR="005B6FCE" w:rsidRPr="00C62E0C" w:rsidRDefault="00AD6262">
      <w:pPr>
        <w:rPr>
          <w:rFonts w:eastAsia="Calibri" w:cstheme="minorHAnsi"/>
          <w:kern w:val="0"/>
          <w:lang w:val="en-US" w:eastAsia="en-CA"/>
          <w14:ligatures w14:val="none"/>
        </w:rPr>
      </w:pPr>
      <w:r w:rsidRPr="00A610A1">
        <w:rPr>
          <w:rFonts w:eastAsia="Calibri" w:cstheme="minorHAnsi"/>
          <w:kern w:val="0"/>
          <w:lang w:val="en-US" w:eastAsia="en-CA"/>
          <w14:ligatures w14:val="none"/>
        </w:rPr>
        <w:lastRenderedPageBreak/>
        <w:t>T</w:t>
      </w:r>
      <w:r w:rsidR="009003DB" w:rsidRPr="00A610A1">
        <w:rPr>
          <w:rFonts w:eastAsia="Calibri" w:cstheme="minorHAnsi"/>
          <w:kern w:val="0"/>
          <w:lang w:val="en-US" w:eastAsia="en-CA"/>
          <w14:ligatures w14:val="none"/>
        </w:rPr>
        <w:t>é</w:t>
      </w:r>
      <w:r w:rsidRPr="00A610A1">
        <w:rPr>
          <w:rFonts w:eastAsia="Calibri" w:cstheme="minorHAnsi"/>
          <w:kern w:val="0"/>
          <w:lang w:val="en-US" w:eastAsia="en-CA"/>
          <w14:ligatures w14:val="none"/>
        </w:rPr>
        <w:t>l</w:t>
      </w:r>
      <w:r w:rsidR="00C62E0C" w:rsidRPr="00A610A1">
        <w:rPr>
          <w:rFonts w:eastAsia="Calibri" w:cstheme="minorHAnsi"/>
          <w:kern w:val="0"/>
          <w:lang w:val="en-US" w:eastAsia="en-CA"/>
          <w14:ligatures w14:val="none"/>
        </w:rPr>
        <w:t>. </w:t>
      </w:r>
      <w:r w:rsidRPr="00A610A1">
        <w:rPr>
          <w:rFonts w:eastAsia="Calibri" w:cstheme="minorHAnsi"/>
          <w:kern w:val="0"/>
          <w:lang w:val="en-US" w:eastAsia="en-CA"/>
          <w14:ligatures w14:val="none"/>
        </w:rPr>
        <w:t>: 416</w:t>
      </w:r>
      <w:r w:rsidR="009003DB" w:rsidRPr="00A610A1">
        <w:rPr>
          <w:rFonts w:eastAsia="Calibri" w:cstheme="minorHAnsi"/>
          <w:kern w:val="0"/>
          <w:lang w:val="en-US" w:eastAsia="en-CA"/>
          <w14:ligatures w14:val="none"/>
        </w:rPr>
        <w:t> </w:t>
      </w:r>
      <w:r w:rsidRPr="00A610A1">
        <w:rPr>
          <w:rFonts w:eastAsia="Calibri" w:cstheme="minorHAnsi"/>
          <w:kern w:val="0"/>
          <w:lang w:val="en-US" w:eastAsia="en-CA"/>
          <w14:ligatures w14:val="none"/>
        </w:rPr>
        <w:t xml:space="preserve">650-8406 </w:t>
      </w:r>
      <w:r w:rsidRPr="00A610A1">
        <w:rPr>
          <w:rFonts w:eastAsia="Calibri" w:cstheme="minorHAnsi"/>
          <w:kern w:val="0"/>
          <w:lang w:val="en-US" w:eastAsia="en-CA"/>
          <w14:ligatures w14:val="none"/>
        </w:rPr>
        <w:br/>
      </w:r>
      <w:r w:rsidR="009003DB" w:rsidRPr="00A610A1">
        <w:rPr>
          <w:rFonts w:eastAsia="Calibri" w:cstheme="minorHAnsi"/>
          <w:kern w:val="0"/>
          <w:lang w:val="en-US" w:eastAsia="en-CA"/>
          <w14:ligatures w14:val="none"/>
        </w:rPr>
        <w:t>Courriel</w:t>
      </w:r>
      <w:r w:rsidR="009003DB" w:rsidRPr="00C62E0C">
        <w:rPr>
          <w:rFonts w:eastAsia="Calibri" w:cstheme="minorHAnsi"/>
          <w:kern w:val="0"/>
          <w:lang w:val="en-US" w:eastAsia="en-CA"/>
          <w14:ligatures w14:val="none"/>
        </w:rPr>
        <w:t> </w:t>
      </w:r>
      <w:r w:rsidRPr="00C62E0C">
        <w:rPr>
          <w:rFonts w:eastAsia="Calibri" w:cstheme="minorHAnsi"/>
          <w:kern w:val="0"/>
          <w:lang w:val="en-US" w:eastAsia="en-CA"/>
          <w14:ligatures w14:val="none"/>
        </w:rPr>
        <w:t xml:space="preserve">: </w:t>
      </w:r>
      <w:hyperlink r:id="rId36" w:history="1">
        <w:r w:rsidRPr="00C62E0C">
          <w:rPr>
            <w:rFonts w:eastAsia="Calibri" w:cstheme="minorHAnsi"/>
            <w:color w:val="0563C1" w:themeColor="hyperlink"/>
            <w:kern w:val="0"/>
            <w:u w:val="single"/>
            <w:lang w:val="en-US" w:eastAsia="en-CA"/>
            <w14:ligatures w14:val="none"/>
          </w:rPr>
          <w:t>LawCommission@lco-cdo.org</w:t>
        </w:r>
      </w:hyperlink>
      <w:r w:rsidRPr="00C62E0C">
        <w:rPr>
          <w:rFonts w:eastAsia="Calibri" w:cstheme="minorHAnsi"/>
          <w:kern w:val="0"/>
          <w:lang w:val="en-US" w:eastAsia="en-CA"/>
          <w14:ligatures w14:val="none"/>
        </w:rPr>
        <w:t xml:space="preserve"> </w:t>
      </w:r>
      <w:r w:rsidRPr="00C62E0C">
        <w:rPr>
          <w:rFonts w:eastAsia="Calibri" w:cstheme="minorHAnsi"/>
          <w:kern w:val="0"/>
          <w:lang w:val="en-US" w:eastAsia="en-CA"/>
          <w14:ligatures w14:val="none"/>
        </w:rPr>
        <w:br/>
        <w:t>Web</w:t>
      </w:r>
      <w:r w:rsidR="009003DB" w:rsidRPr="00C62E0C">
        <w:rPr>
          <w:rFonts w:eastAsia="Calibri" w:cstheme="minorHAnsi"/>
          <w:kern w:val="0"/>
          <w:lang w:val="en-US" w:eastAsia="en-CA"/>
          <w14:ligatures w14:val="none"/>
        </w:rPr>
        <w:t> </w:t>
      </w:r>
      <w:r w:rsidRPr="00C62E0C">
        <w:rPr>
          <w:rFonts w:eastAsia="Calibri" w:cstheme="minorHAnsi"/>
          <w:kern w:val="0"/>
          <w:lang w:val="en-US" w:eastAsia="en-CA"/>
          <w14:ligatures w14:val="none"/>
        </w:rPr>
        <w:t xml:space="preserve">: </w:t>
      </w:r>
      <w:hyperlink r:id="rId37" w:history="1">
        <w:r w:rsidRPr="00C62E0C">
          <w:rPr>
            <w:rFonts w:eastAsia="Calibri" w:cstheme="minorHAnsi"/>
            <w:color w:val="0563C1" w:themeColor="hyperlink"/>
            <w:kern w:val="0"/>
            <w:u w:val="single"/>
            <w:lang w:val="en-US" w:eastAsia="en-CA"/>
            <w14:ligatures w14:val="none"/>
          </w:rPr>
          <w:t>https://www.lco-cdo.org</w:t>
        </w:r>
      </w:hyperlink>
      <w:r w:rsidRPr="00C62E0C">
        <w:rPr>
          <w:rFonts w:eastAsia="Calibri" w:cstheme="minorHAnsi"/>
          <w:kern w:val="0"/>
          <w:lang w:val="en-US" w:eastAsia="en-CA"/>
          <w14:ligatures w14:val="none"/>
        </w:rPr>
        <w:t xml:space="preserve"> </w:t>
      </w:r>
      <w:r w:rsidRPr="00C62E0C">
        <w:rPr>
          <w:rFonts w:eastAsia="Calibri" w:cstheme="minorHAnsi"/>
          <w:kern w:val="0"/>
          <w:lang w:val="en-US" w:eastAsia="en-CA"/>
          <w14:ligatures w14:val="none"/>
        </w:rPr>
        <w:br/>
        <w:t>LinkedIn</w:t>
      </w:r>
      <w:r w:rsidR="009003DB" w:rsidRPr="00C62E0C">
        <w:rPr>
          <w:rFonts w:eastAsia="Calibri" w:cstheme="minorHAnsi"/>
          <w:kern w:val="0"/>
          <w:lang w:val="en-US" w:eastAsia="en-CA"/>
          <w14:ligatures w14:val="none"/>
        </w:rPr>
        <w:t> </w:t>
      </w:r>
      <w:r w:rsidRPr="00C62E0C">
        <w:rPr>
          <w:rFonts w:eastAsia="Calibri" w:cstheme="minorHAnsi"/>
          <w:kern w:val="0"/>
          <w:lang w:val="en-US" w:eastAsia="en-CA"/>
          <w14:ligatures w14:val="none"/>
        </w:rPr>
        <w:t xml:space="preserve">: </w:t>
      </w:r>
      <w:hyperlink r:id="rId38" w:history="1">
        <w:r w:rsidRPr="00C62E0C">
          <w:rPr>
            <w:rFonts w:eastAsia="Calibri" w:cstheme="minorHAnsi"/>
            <w:color w:val="0563C1" w:themeColor="hyperlink"/>
            <w:kern w:val="0"/>
            <w:u w:val="single"/>
            <w:lang w:val="en-US" w:eastAsia="en-CA"/>
            <w14:ligatures w14:val="none"/>
          </w:rPr>
          <w:t>https://linkedin.com/company/lco-cdo</w:t>
        </w:r>
      </w:hyperlink>
      <w:r w:rsidR="00BE6D0C" w:rsidRPr="00C62E0C">
        <w:rPr>
          <w:rFonts w:eastAsia="Calibri" w:cstheme="minorHAnsi"/>
          <w:kern w:val="0"/>
          <w:lang w:val="en-US" w:eastAsia="en-CA"/>
          <w14:ligatures w14:val="none"/>
        </w:rPr>
        <w:t xml:space="preserve"> </w:t>
      </w:r>
      <w:r w:rsidRPr="00C62E0C">
        <w:rPr>
          <w:rFonts w:eastAsia="Calibri" w:cstheme="minorHAnsi"/>
          <w:kern w:val="0"/>
          <w:lang w:val="en-US" w:eastAsia="en-CA"/>
          <w14:ligatures w14:val="none"/>
        </w:rPr>
        <w:br/>
        <w:t>Bluesky</w:t>
      </w:r>
      <w:r w:rsidR="009003DB" w:rsidRPr="00C62E0C">
        <w:rPr>
          <w:rFonts w:eastAsia="Calibri" w:cstheme="minorHAnsi"/>
          <w:kern w:val="0"/>
          <w:lang w:val="en-US" w:eastAsia="en-CA"/>
          <w14:ligatures w14:val="none"/>
        </w:rPr>
        <w:t> </w:t>
      </w:r>
      <w:r w:rsidRPr="00C62E0C">
        <w:rPr>
          <w:rFonts w:eastAsia="Calibri" w:cstheme="minorHAnsi"/>
          <w:kern w:val="0"/>
          <w:lang w:val="en-US" w:eastAsia="en-CA"/>
          <w14:ligatures w14:val="none"/>
        </w:rPr>
        <w:t xml:space="preserve">: </w:t>
      </w:r>
      <w:hyperlink r:id="rId39" w:history="1">
        <w:r w:rsidRPr="00C62E0C">
          <w:rPr>
            <w:rFonts w:eastAsia="Calibri" w:cstheme="minorHAnsi"/>
            <w:color w:val="0563C1" w:themeColor="hyperlink"/>
            <w:kern w:val="0"/>
            <w:u w:val="single"/>
            <w:lang w:val="en-US" w:eastAsia="en-CA"/>
            <w14:ligatures w14:val="none"/>
          </w:rPr>
          <w:t>@lco-cdo.bsky.social</w:t>
        </w:r>
      </w:hyperlink>
      <w:r w:rsidRPr="00C62E0C">
        <w:rPr>
          <w:rFonts w:eastAsia="Calibri" w:cstheme="minorHAnsi"/>
          <w:kern w:val="0"/>
          <w:lang w:val="en-US" w:eastAsia="en-CA"/>
          <w14:ligatures w14:val="none"/>
        </w:rPr>
        <w:br/>
      </w:r>
      <w:r w:rsidR="009003DB" w:rsidRPr="00C62E0C">
        <w:rPr>
          <w:rFonts w:eastAsia="Calibri" w:cstheme="minorHAnsi"/>
          <w:kern w:val="0"/>
          <w:lang w:val="en-US" w:eastAsia="en-CA"/>
          <w14:ligatures w14:val="none"/>
        </w:rPr>
        <w:t>X </w:t>
      </w:r>
      <w:r w:rsidRPr="00C62E0C">
        <w:rPr>
          <w:rFonts w:eastAsia="Calibri" w:cstheme="minorHAnsi"/>
          <w:kern w:val="0"/>
          <w:lang w:val="en-US" w:eastAsia="en-CA"/>
          <w14:ligatures w14:val="none"/>
        </w:rPr>
        <w:t xml:space="preserve">: </w:t>
      </w:r>
      <w:hyperlink r:id="rId40" w:history="1">
        <w:r w:rsidRPr="00C62E0C">
          <w:rPr>
            <w:rFonts w:eastAsia="Calibri" w:cstheme="minorHAnsi"/>
            <w:color w:val="0563C1" w:themeColor="hyperlink"/>
            <w:kern w:val="0"/>
            <w:u w:val="single"/>
            <w:lang w:val="en-US" w:eastAsia="en-CA"/>
            <w14:ligatures w14:val="none"/>
          </w:rPr>
          <w:t>@LCO_CDO</w:t>
        </w:r>
      </w:hyperlink>
      <w:r w:rsidRPr="00C62E0C">
        <w:rPr>
          <w:rFonts w:eastAsia="Calibri" w:cstheme="minorHAnsi"/>
          <w:kern w:val="0"/>
          <w:lang w:val="en-US" w:eastAsia="en-CA"/>
          <w14:ligatures w14:val="none"/>
        </w:rPr>
        <w:br/>
        <w:t>YouTube</w:t>
      </w:r>
      <w:r w:rsidR="009003DB" w:rsidRPr="00C62E0C">
        <w:rPr>
          <w:rFonts w:eastAsia="Calibri" w:cstheme="minorHAnsi"/>
          <w:kern w:val="0"/>
          <w:lang w:val="en-US" w:eastAsia="en-CA"/>
          <w14:ligatures w14:val="none"/>
        </w:rPr>
        <w:t> </w:t>
      </w:r>
      <w:r w:rsidRPr="00C62E0C">
        <w:rPr>
          <w:rFonts w:eastAsia="Calibri" w:cstheme="minorHAnsi"/>
          <w:kern w:val="0"/>
          <w:lang w:val="en-US" w:eastAsia="en-CA"/>
          <w14:ligatures w14:val="none"/>
        </w:rPr>
        <w:t xml:space="preserve">: </w:t>
      </w:r>
      <w:hyperlink r:id="rId41" w:history="1">
        <w:r w:rsidRPr="00C62E0C">
          <w:rPr>
            <w:rFonts w:eastAsia="Calibri" w:cstheme="minorHAnsi"/>
            <w:color w:val="0563C1" w:themeColor="hyperlink"/>
            <w:kern w:val="0"/>
            <w:u w:val="single"/>
            <w:lang w:val="en-US" w:eastAsia="en-CA"/>
            <w14:ligatures w14:val="none"/>
          </w:rPr>
          <w:t>@lawcommissionofontario8724</w:t>
        </w:r>
      </w:hyperlink>
      <w:r w:rsidRPr="00C62E0C">
        <w:rPr>
          <w:rFonts w:eastAsia="Calibri" w:cstheme="minorHAnsi"/>
          <w:kern w:val="0"/>
          <w:lang w:val="en-US" w:eastAsia="en-CA"/>
          <w14:ligatures w14:val="none"/>
        </w:rPr>
        <w:t xml:space="preserve"> </w:t>
      </w:r>
      <w:bookmarkStart w:id="71" w:name="_Toc194406411"/>
      <w:r w:rsidR="005B6FCE" w:rsidRPr="00C62E0C">
        <w:rPr>
          <w:lang w:val="en-US" w:eastAsia="en-CA"/>
        </w:rPr>
        <w:br w:type="page"/>
      </w:r>
    </w:p>
    <w:p w14:paraId="5A89D56A" w14:textId="343C1BC1" w:rsidR="00A61FEA" w:rsidRPr="00A317D7" w:rsidRDefault="00995DB0" w:rsidP="00995DB0">
      <w:pPr>
        <w:pStyle w:val="Heading1"/>
        <w:jc w:val="center"/>
        <w:rPr>
          <w:b/>
          <w:bCs/>
          <w:lang w:val="fr-CA" w:eastAsia="en-CA"/>
        </w:rPr>
      </w:pPr>
      <w:bookmarkStart w:id="72" w:name="_Toc197353495"/>
      <w:bookmarkStart w:id="73" w:name="_Toc197599894"/>
      <w:r w:rsidRPr="00A317D7">
        <w:rPr>
          <w:b/>
          <w:bCs/>
          <w:lang w:val="fr-CA" w:eastAsia="en-CA"/>
        </w:rPr>
        <w:lastRenderedPageBreak/>
        <w:t>A</w:t>
      </w:r>
      <w:r w:rsidR="00D873AD">
        <w:rPr>
          <w:b/>
          <w:bCs/>
          <w:lang w:val="fr-CA" w:eastAsia="en-CA"/>
        </w:rPr>
        <w:t xml:space="preserve">nnexe </w:t>
      </w:r>
      <w:r w:rsidRPr="00A317D7">
        <w:rPr>
          <w:b/>
          <w:bCs/>
          <w:lang w:val="fr-CA" w:eastAsia="en-CA"/>
        </w:rPr>
        <w:t xml:space="preserve">A – </w:t>
      </w:r>
      <w:bookmarkEnd w:id="71"/>
      <w:bookmarkEnd w:id="72"/>
      <w:r w:rsidR="00525C12" w:rsidRPr="00525C12">
        <w:rPr>
          <w:b/>
          <w:bCs/>
          <w:lang w:val="fr-CA" w:eastAsia="en-CA"/>
        </w:rPr>
        <w:t>Questions de consultation consolidées</w:t>
      </w:r>
      <w:bookmarkEnd w:id="73"/>
    </w:p>
    <w:p w14:paraId="74CD382B" w14:textId="77777777" w:rsidR="00A61FEA" w:rsidRPr="00A317D7" w:rsidRDefault="00A61FEA" w:rsidP="00A61FEA">
      <w:pPr>
        <w:spacing w:after="0"/>
        <w:rPr>
          <w:lang w:val="fr-CA"/>
        </w:rPr>
      </w:pPr>
    </w:p>
    <w:p w14:paraId="7FF0C2B4" w14:textId="1F79FDBE" w:rsidR="00A61FEA" w:rsidRPr="00A317D7" w:rsidRDefault="00525C12" w:rsidP="00A61FEA">
      <w:pPr>
        <w:spacing w:after="240" w:line="240" w:lineRule="auto"/>
        <w:rPr>
          <w:lang w:val="fr-CA"/>
        </w:rPr>
      </w:pPr>
      <w:r w:rsidRPr="00525C12">
        <w:rPr>
          <w:rFonts w:cstheme="minorHAnsi"/>
          <w:lang w:val="fr-CA"/>
        </w:rPr>
        <w:t>Les questions</w:t>
      </w:r>
      <w:r w:rsidR="005901FF">
        <w:rPr>
          <w:rFonts w:cstheme="minorHAnsi"/>
          <w:lang w:val="fr-CA"/>
        </w:rPr>
        <w:t xml:space="preserve"> suivantes </w:t>
      </w:r>
      <w:r w:rsidRPr="00525C12">
        <w:rPr>
          <w:rFonts w:cstheme="minorHAnsi"/>
          <w:lang w:val="fr-CA"/>
        </w:rPr>
        <w:t>reflètent les thèmes et les enjeux clés abordés dans les documents thématiques sur l</w:t>
      </w:r>
      <w:r w:rsidR="00C62E0C">
        <w:rPr>
          <w:rFonts w:cstheme="minorHAnsi"/>
          <w:lang w:val="fr-CA"/>
        </w:rPr>
        <w:t>’</w:t>
      </w:r>
      <w:r w:rsidRPr="00525C12">
        <w:rPr>
          <w:rFonts w:cstheme="minorHAnsi"/>
          <w:lang w:val="fr-CA"/>
        </w:rPr>
        <w:t xml:space="preserve">IA dans </w:t>
      </w:r>
      <w:r w:rsidR="005901FF">
        <w:rPr>
          <w:rFonts w:cstheme="minorHAnsi"/>
          <w:lang w:val="fr-CA"/>
        </w:rPr>
        <w:t xml:space="preserve">le </w:t>
      </w:r>
      <w:r w:rsidR="005901FF">
        <w:rPr>
          <w:lang w:val="fr-CA"/>
        </w:rPr>
        <w:t>système de justice pénale</w:t>
      </w:r>
      <w:r w:rsidR="005901FF" w:rsidRPr="00525C12">
        <w:rPr>
          <w:rFonts w:cstheme="minorHAnsi"/>
          <w:lang w:val="fr-CA"/>
        </w:rPr>
        <w:t xml:space="preserve"> </w:t>
      </w:r>
      <w:r w:rsidRPr="00525C12">
        <w:rPr>
          <w:rFonts w:cstheme="minorHAnsi"/>
          <w:lang w:val="fr-CA"/>
        </w:rPr>
        <w:t xml:space="preserve">publiés par la CDO. Elles sont proposées à titre de points de départ pour la discussion et la consultation publiques. En plus </w:t>
      </w:r>
      <w:r w:rsidR="005901FF">
        <w:rPr>
          <w:rFonts w:cstheme="minorHAnsi"/>
          <w:lang w:val="fr-CA"/>
        </w:rPr>
        <w:t xml:space="preserve">de ces </w:t>
      </w:r>
      <w:r w:rsidRPr="00525C12">
        <w:rPr>
          <w:rFonts w:cstheme="minorHAnsi"/>
          <w:lang w:val="fr-CA"/>
        </w:rPr>
        <w:t xml:space="preserve">questions consolidées, </w:t>
      </w:r>
      <w:r w:rsidR="005901FF">
        <w:rPr>
          <w:rFonts w:cstheme="minorHAnsi"/>
          <w:lang w:val="fr-CA"/>
        </w:rPr>
        <w:t xml:space="preserve">les </w:t>
      </w:r>
      <w:r w:rsidRPr="00525C12">
        <w:rPr>
          <w:rFonts w:cstheme="minorHAnsi"/>
          <w:lang w:val="fr-CA"/>
        </w:rPr>
        <w:t>document</w:t>
      </w:r>
      <w:r w:rsidR="005901FF">
        <w:rPr>
          <w:rFonts w:cstheme="minorHAnsi"/>
          <w:lang w:val="fr-CA"/>
        </w:rPr>
        <w:t>s</w:t>
      </w:r>
      <w:r w:rsidRPr="00525C12">
        <w:rPr>
          <w:rFonts w:cstheme="minorHAnsi"/>
          <w:lang w:val="fr-CA"/>
        </w:rPr>
        <w:t xml:space="preserve"> thématique</w:t>
      </w:r>
      <w:r w:rsidR="005901FF">
        <w:rPr>
          <w:rFonts w:cstheme="minorHAnsi"/>
          <w:lang w:val="fr-CA"/>
        </w:rPr>
        <w:t>s</w:t>
      </w:r>
      <w:r w:rsidRPr="00525C12">
        <w:rPr>
          <w:rFonts w:cstheme="minorHAnsi"/>
          <w:lang w:val="fr-CA"/>
        </w:rPr>
        <w:t xml:space="preserve"> compren</w:t>
      </w:r>
      <w:r w:rsidR="005901FF">
        <w:rPr>
          <w:rFonts w:cstheme="minorHAnsi"/>
          <w:lang w:val="fr-CA"/>
        </w:rPr>
        <w:t xml:space="preserve">nent </w:t>
      </w:r>
      <w:r w:rsidRPr="00525C12">
        <w:rPr>
          <w:rFonts w:cstheme="minorHAnsi"/>
          <w:lang w:val="fr-CA"/>
        </w:rPr>
        <w:t xml:space="preserve">des questions détaillées sur les enjeux soulevés dans </w:t>
      </w:r>
      <w:r>
        <w:rPr>
          <w:rFonts w:cstheme="minorHAnsi"/>
          <w:lang w:val="fr-CA"/>
        </w:rPr>
        <w:t xml:space="preserve">chaque </w:t>
      </w:r>
      <w:r w:rsidRPr="00525C12">
        <w:rPr>
          <w:rFonts w:cstheme="minorHAnsi"/>
          <w:lang w:val="fr-CA"/>
        </w:rPr>
        <w:t>document</w:t>
      </w:r>
      <w:r w:rsidR="00A61FEA" w:rsidRPr="00A317D7">
        <w:rPr>
          <w:lang w:val="fr-CA"/>
        </w:rPr>
        <w:t>.</w:t>
      </w:r>
    </w:p>
    <w:p w14:paraId="7ED8CDA1" w14:textId="39229E83" w:rsidR="007D204B" w:rsidRPr="00A317D7" w:rsidRDefault="00331AAB" w:rsidP="00C9376C">
      <w:pPr>
        <w:pStyle w:val="Heading2"/>
        <w:numPr>
          <w:ilvl w:val="0"/>
          <w:numId w:val="35"/>
        </w:numPr>
        <w:rPr>
          <w:rFonts w:eastAsia="Aptos"/>
          <w:lang w:val="fr-CA"/>
        </w:rPr>
      </w:pPr>
      <w:bookmarkStart w:id="74" w:name="_Toc197353496"/>
      <w:bookmarkStart w:id="75" w:name="_Toc197599895"/>
      <w:r>
        <w:rPr>
          <w:rFonts w:eastAsia="Aptos"/>
          <w:lang w:val="fr-CA"/>
        </w:rPr>
        <w:t>Normes p</w:t>
      </w:r>
      <w:r w:rsidR="00ED2E3E" w:rsidRPr="00A317D7">
        <w:rPr>
          <w:rFonts w:eastAsia="Aptos"/>
          <w:lang w:val="fr-CA"/>
        </w:rPr>
        <w:t>rovincial</w:t>
      </w:r>
      <w:r>
        <w:rPr>
          <w:rFonts w:eastAsia="Aptos"/>
          <w:lang w:val="fr-CA"/>
        </w:rPr>
        <w:t>es</w:t>
      </w:r>
      <w:bookmarkEnd w:id="74"/>
      <w:bookmarkEnd w:id="75"/>
    </w:p>
    <w:p w14:paraId="2033EEFA" w14:textId="77777777" w:rsidR="00C9376C" w:rsidRPr="00A317D7" w:rsidRDefault="00C9376C" w:rsidP="00C9376C">
      <w:pPr>
        <w:spacing w:after="0"/>
        <w:contextualSpacing/>
        <w:rPr>
          <w:rFonts w:eastAsia="Aptos" w:cs="Calibri"/>
          <w:sz w:val="24"/>
          <w:lang w:val="fr-CA"/>
        </w:rPr>
      </w:pPr>
    </w:p>
    <w:p w14:paraId="095AF374" w14:textId="3C05ED60" w:rsidR="0009680A" w:rsidRPr="00A317D7" w:rsidRDefault="00525C12" w:rsidP="00C9376C">
      <w:pPr>
        <w:spacing w:after="0"/>
        <w:contextualSpacing/>
        <w:rPr>
          <w:rFonts w:eastAsia="Aptos" w:cs="Calibri"/>
          <w:szCs w:val="21"/>
          <w:lang w:val="fr-CA"/>
        </w:rPr>
      </w:pPr>
      <w:r w:rsidRPr="00525C12">
        <w:rPr>
          <w:rFonts w:eastAsia="Aptos" w:cs="Calibri"/>
          <w:szCs w:val="21"/>
          <w:lang w:val="fr-CA"/>
        </w:rPr>
        <w:t>Les documents thématiques soulignent la nécessité d</w:t>
      </w:r>
      <w:r w:rsidR="00C62E0C">
        <w:rPr>
          <w:rFonts w:eastAsia="Aptos" w:cs="Calibri"/>
          <w:szCs w:val="21"/>
          <w:lang w:val="fr-CA"/>
        </w:rPr>
        <w:t>’</w:t>
      </w:r>
      <w:r w:rsidRPr="00525C12">
        <w:rPr>
          <w:rFonts w:eastAsia="Aptos" w:cs="Calibri"/>
          <w:szCs w:val="21"/>
          <w:lang w:val="fr-CA"/>
        </w:rPr>
        <w:t xml:space="preserve">adopter des règles provinciales établissant des règles et des critères clés en matière </w:t>
      </w:r>
      <w:r w:rsidR="005901FF">
        <w:rPr>
          <w:rFonts w:eastAsia="Aptos" w:cs="Calibri"/>
          <w:szCs w:val="21"/>
          <w:lang w:val="fr-CA"/>
        </w:rPr>
        <w:t>de fiabilité de l</w:t>
      </w:r>
      <w:r w:rsidR="00C62E0C">
        <w:rPr>
          <w:rFonts w:eastAsia="Aptos" w:cs="Calibri"/>
          <w:szCs w:val="21"/>
          <w:lang w:val="fr-CA"/>
        </w:rPr>
        <w:t>’</w:t>
      </w:r>
      <w:r w:rsidRPr="00525C12">
        <w:rPr>
          <w:rFonts w:eastAsia="Aptos" w:cs="Calibri"/>
          <w:szCs w:val="21"/>
          <w:lang w:val="fr-CA"/>
        </w:rPr>
        <w:t>IA</w:t>
      </w:r>
      <w:r w:rsidR="00105D48">
        <w:rPr>
          <w:rFonts w:eastAsia="Aptos" w:cs="Calibri"/>
          <w:szCs w:val="21"/>
          <w:lang w:val="fr-CA"/>
        </w:rPr>
        <w:t xml:space="preserve"> </w:t>
      </w:r>
      <w:r w:rsidR="00105D48" w:rsidRPr="00105D48">
        <w:rPr>
          <w:rFonts w:eastAsia="Aptos" w:cs="Calibri"/>
          <w:szCs w:val="21"/>
          <w:lang w:val="fr-CA"/>
        </w:rPr>
        <w:t>dans le secteur de la justice pénale</w:t>
      </w:r>
      <w:r w:rsidRPr="00525C12">
        <w:rPr>
          <w:rFonts w:eastAsia="Aptos" w:cs="Calibri"/>
          <w:szCs w:val="21"/>
          <w:lang w:val="fr-CA"/>
        </w:rPr>
        <w:t>. Les documents thématiques proposent de nombreux modèles possibles, notamment</w:t>
      </w:r>
      <w:r>
        <w:rPr>
          <w:rFonts w:eastAsia="Aptos" w:cs="Calibri"/>
          <w:szCs w:val="21"/>
          <w:lang w:val="fr-CA"/>
        </w:rPr>
        <w:t> </w:t>
      </w:r>
      <w:r w:rsidR="0009680A" w:rsidRPr="00A317D7">
        <w:rPr>
          <w:rFonts w:eastAsia="Aptos" w:cs="Calibri"/>
          <w:szCs w:val="21"/>
          <w:lang w:val="fr-CA"/>
        </w:rPr>
        <w:t>:</w:t>
      </w:r>
    </w:p>
    <w:p w14:paraId="5834F9F6" w14:textId="77777777" w:rsidR="0009680A" w:rsidRPr="00A317D7" w:rsidRDefault="0009680A" w:rsidP="00C9376C">
      <w:pPr>
        <w:spacing w:after="0"/>
        <w:ind w:left="720"/>
        <w:contextualSpacing/>
        <w:rPr>
          <w:rFonts w:eastAsia="Aptos" w:cs="Calibri"/>
          <w:szCs w:val="21"/>
          <w:lang w:val="fr-CA"/>
        </w:rPr>
      </w:pPr>
    </w:p>
    <w:p w14:paraId="6B862931" w14:textId="48E046D9" w:rsidR="0009680A" w:rsidRPr="00A317D7" w:rsidRDefault="00525C12" w:rsidP="00525C12">
      <w:pPr>
        <w:pStyle w:val="ListParagraph"/>
        <w:numPr>
          <w:ilvl w:val="0"/>
          <w:numId w:val="34"/>
        </w:numPr>
        <w:rPr>
          <w:rFonts w:eastAsia="Aptos" w:cs="Calibri"/>
          <w:szCs w:val="21"/>
          <w:lang w:val="fr-CA"/>
        </w:rPr>
      </w:pPr>
      <w:r w:rsidRPr="00525C12">
        <w:rPr>
          <w:rFonts w:eastAsia="Aptos" w:cs="Calibri"/>
          <w:szCs w:val="21"/>
          <w:lang w:val="fr-CA"/>
        </w:rPr>
        <w:t>Législation ou r</w:t>
      </w:r>
      <w:r w:rsidR="00C62E0C">
        <w:rPr>
          <w:rFonts w:eastAsia="Aptos" w:cs="Calibri"/>
          <w:szCs w:val="21"/>
          <w:lang w:val="fr-CA"/>
        </w:rPr>
        <w:t>è</w:t>
      </w:r>
      <w:r w:rsidRPr="00525C12">
        <w:rPr>
          <w:rFonts w:eastAsia="Aptos" w:cs="Calibri"/>
          <w:szCs w:val="21"/>
          <w:lang w:val="fr-CA"/>
        </w:rPr>
        <w:t>glementation fédérale (</w:t>
      </w:r>
      <w:r w:rsidRPr="005901FF">
        <w:rPr>
          <w:rFonts w:eastAsia="Aptos" w:cs="Calibri"/>
          <w:i/>
          <w:szCs w:val="21"/>
          <w:lang w:val="fr-CA"/>
        </w:rPr>
        <w:t>Code criminel</w:t>
      </w:r>
      <w:r w:rsidRPr="00525C12">
        <w:rPr>
          <w:rFonts w:eastAsia="Aptos" w:cs="Calibri"/>
          <w:szCs w:val="21"/>
          <w:lang w:val="fr-CA"/>
        </w:rPr>
        <w:t>, directive fédérale sur l</w:t>
      </w:r>
      <w:r w:rsidR="00C62E0C">
        <w:rPr>
          <w:rFonts w:eastAsia="Aptos" w:cs="Calibri"/>
          <w:szCs w:val="21"/>
          <w:lang w:val="fr-CA"/>
        </w:rPr>
        <w:t>a</w:t>
      </w:r>
      <w:r w:rsidRPr="00525C12">
        <w:rPr>
          <w:rFonts w:eastAsia="Aptos" w:cs="Calibri"/>
          <w:szCs w:val="21"/>
          <w:lang w:val="fr-CA"/>
        </w:rPr>
        <w:t xml:space="preserve"> PDA</w:t>
      </w:r>
      <w:r w:rsidR="007D204B" w:rsidRPr="00A317D7">
        <w:rPr>
          <w:rFonts w:eastAsia="Aptos" w:cs="Calibri"/>
          <w:szCs w:val="21"/>
          <w:lang w:val="fr-CA"/>
        </w:rPr>
        <w:t>)</w:t>
      </w:r>
      <w:r w:rsidR="0009680A" w:rsidRPr="00A317D7">
        <w:rPr>
          <w:rFonts w:eastAsia="Aptos" w:cs="Calibri"/>
          <w:szCs w:val="21"/>
          <w:lang w:val="fr-CA"/>
        </w:rPr>
        <w:t>.</w:t>
      </w:r>
    </w:p>
    <w:p w14:paraId="31B9FB40" w14:textId="1FD626E7" w:rsidR="007D204B" w:rsidRPr="00A317D7" w:rsidRDefault="00525C12" w:rsidP="0088078D">
      <w:pPr>
        <w:pStyle w:val="ListParagraph"/>
        <w:numPr>
          <w:ilvl w:val="0"/>
          <w:numId w:val="34"/>
        </w:numPr>
        <w:rPr>
          <w:rFonts w:eastAsia="Aptos" w:cs="Calibri"/>
          <w:szCs w:val="21"/>
          <w:lang w:val="fr-CA"/>
        </w:rPr>
      </w:pPr>
      <w:r w:rsidRPr="00525C12">
        <w:rPr>
          <w:rFonts w:eastAsia="Aptos" w:cs="Calibri"/>
          <w:szCs w:val="21"/>
          <w:lang w:val="fr-CA"/>
        </w:rPr>
        <w:t>Législation ou r</w:t>
      </w:r>
      <w:r w:rsidR="00C62E0C">
        <w:rPr>
          <w:rFonts w:eastAsia="Aptos" w:cs="Calibri"/>
          <w:szCs w:val="21"/>
          <w:lang w:val="fr-CA"/>
        </w:rPr>
        <w:t>è</w:t>
      </w:r>
      <w:r w:rsidRPr="00525C12">
        <w:rPr>
          <w:rFonts w:eastAsia="Aptos" w:cs="Calibri"/>
          <w:szCs w:val="21"/>
          <w:lang w:val="fr-CA"/>
        </w:rPr>
        <w:t>glementation provinciale (</w:t>
      </w:r>
      <w:r w:rsidR="005901FF" w:rsidRPr="00BC468E">
        <w:rPr>
          <w:rFonts w:eastAsia="Times New Roman" w:cstheme="minorHAnsi"/>
          <w:i/>
          <w:kern w:val="0"/>
          <w:lang w:val="fr-CA" w:eastAsia="en-CA"/>
          <w14:ligatures w14:val="none"/>
        </w:rPr>
        <w:t>LRSCN</w:t>
      </w:r>
      <w:r w:rsidRPr="00525C12">
        <w:rPr>
          <w:rFonts w:eastAsia="Aptos" w:cs="Calibri"/>
          <w:szCs w:val="21"/>
          <w:lang w:val="fr-CA"/>
        </w:rPr>
        <w:t>, législation polic</w:t>
      </w:r>
      <w:r w:rsidR="00EC698D">
        <w:rPr>
          <w:rFonts w:eastAsia="Aptos" w:cs="Calibri"/>
          <w:szCs w:val="21"/>
          <w:lang w:val="fr-CA"/>
        </w:rPr>
        <w:t>ière</w:t>
      </w:r>
      <w:r w:rsidRPr="00525C12">
        <w:rPr>
          <w:rFonts w:eastAsia="Aptos" w:cs="Calibri"/>
          <w:szCs w:val="21"/>
          <w:lang w:val="fr-CA"/>
        </w:rPr>
        <w:t>, directive de l</w:t>
      </w:r>
      <w:r w:rsidR="00C62E0C">
        <w:rPr>
          <w:rFonts w:eastAsia="Aptos" w:cs="Calibri"/>
          <w:szCs w:val="21"/>
          <w:lang w:val="fr-CA"/>
        </w:rPr>
        <w:t>’</w:t>
      </w:r>
      <w:r w:rsidRPr="00525C12">
        <w:rPr>
          <w:rFonts w:eastAsia="Aptos" w:cs="Calibri"/>
          <w:szCs w:val="21"/>
          <w:lang w:val="fr-CA"/>
        </w:rPr>
        <w:t>Ontario sur l</w:t>
      </w:r>
      <w:r w:rsidR="00C62E0C">
        <w:rPr>
          <w:rFonts w:eastAsia="Aptos" w:cs="Calibri"/>
          <w:szCs w:val="21"/>
          <w:lang w:val="fr-CA"/>
        </w:rPr>
        <w:t>’</w:t>
      </w:r>
      <w:r w:rsidRPr="00525C12">
        <w:rPr>
          <w:rFonts w:eastAsia="Aptos" w:cs="Calibri"/>
          <w:szCs w:val="21"/>
          <w:lang w:val="fr-CA"/>
        </w:rPr>
        <w:t>IA</w:t>
      </w:r>
      <w:r w:rsidR="009754E5" w:rsidRPr="00A317D7">
        <w:rPr>
          <w:rFonts w:eastAsia="Aptos" w:cs="Calibri"/>
          <w:szCs w:val="21"/>
          <w:lang w:val="fr-CA"/>
        </w:rPr>
        <w:t>).</w:t>
      </w:r>
    </w:p>
    <w:p w14:paraId="0F53619A" w14:textId="22A1B4DC" w:rsidR="00C9064E" w:rsidRPr="00A317D7" w:rsidRDefault="0088078D" w:rsidP="0088078D">
      <w:pPr>
        <w:pStyle w:val="ListParagraph"/>
        <w:numPr>
          <w:ilvl w:val="0"/>
          <w:numId w:val="34"/>
        </w:numPr>
        <w:rPr>
          <w:rFonts w:eastAsia="Aptos" w:cs="Calibri"/>
          <w:szCs w:val="21"/>
          <w:lang w:val="fr-CA"/>
        </w:rPr>
      </w:pPr>
      <w:r w:rsidRPr="0088078D">
        <w:rPr>
          <w:rFonts w:eastAsia="Aptos" w:cs="Calibri"/>
          <w:szCs w:val="21"/>
          <w:lang w:val="fr-CA"/>
        </w:rPr>
        <w:t xml:space="preserve">Politiques institutionnelles en matière de justice pénale (police, tribunaux, manuel des </w:t>
      </w:r>
      <w:r w:rsidR="005901FF">
        <w:rPr>
          <w:rFonts w:eastAsia="Aptos" w:cs="Calibri"/>
          <w:szCs w:val="21"/>
          <w:lang w:val="fr-CA"/>
        </w:rPr>
        <w:t xml:space="preserve">procureurs </w:t>
      </w:r>
      <w:r w:rsidRPr="0088078D">
        <w:rPr>
          <w:rFonts w:eastAsia="Aptos" w:cs="Calibri"/>
          <w:szCs w:val="21"/>
          <w:lang w:val="fr-CA"/>
        </w:rPr>
        <w:t>de la Couronne</w:t>
      </w:r>
      <w:r w:rsidR="008D6B53" w:rsidRPr="00A317D7">
        <w:rPr>
          <w:rFonts w:eastAsia="Aptos" w:cs="Calibri"/>
          <w:szCs w:val="21"/>
          <w:lang w:val="fr-CA"/>
        </w:rPr>
        <w:t>)</w:t>
      </w:r>
      <w:r w:rsidR="004548AC" w:rsidRPr="00A317D7">
        <w:rPr>
          <w:rFonts w:eastAsia="Aptos" w:cs="Calibri"/>
          <w:szCs w:val="21"/>
          <w:lang w:val="fr-CA"/>
        </w:rPr>
        <w:t>.</w:t>
      </w:r>
    </w:p>
    <w:p w14:paraId="7BC60813" w14:textId="77777777" w:rsidR="0009680A" w:rsidRPr="00A317D7" w:rsidRDefault="0009680A" w:rsidP="00C9376C">
      <w:pPr>
        <w:contextualSpacing/>
        <w:rPr>
          <w:rFonts w:eastAsia="Aptos" w:cs="Calibri"/>
          <w:szCs w:val="21"/>
          <w:lang w:val="fr-CA"/>
        </w:rPr>
      </w:pPr>
    </w:p>
    <w:p w14:paraId="622D883D" w14:textId="383EB50B" w:rsidR="007D204B" w:rsidRPr="00A317D7" w:rsidRDefault="00703E60" w:rsidP="00C9376C">
      <w:pPr>
        <w:contextualSpacing/>
        <w:rPr>
          <w:rFonts w:eastAsia="Aptos" w:cs="Calibri"/>
          <w:i/>
          <w:iCs/>
          <w:color w:val="FF0000"/>
          <w:szCs w:val="21"/>
          <w:lang w:val="fr-CA"/>
        </w:rPr>
      </w:pPr>
      <w:r w:rsidRPr="00703E60">
        <w:rPr>
          <w:rFonts w:eastAsia="Aptos" w:cs="Calibri"/>
          <w:i/>
          <w:iCs/>
          <w:color w:val="FF0000"/>
          <w:szCs w:val="21"/>
          <w:lang w:val="fr-CA"/>
        </w:rPr>
        <w:t>Croyez-vous qu</w:t>
      </w:r>
      <w:r w:rsidR="00C62E0C">
        <w:rPr>
          <w:rFonts w:eastAsia="Aptos" w:cs="Calibri"/>
          <w:i/>
          <w:iCs/>
          <w:color w:val="FF0000"/>
          <w:szCs w:val="21"/>
          <w:lang w:val="fr-CA"/>
        </w:rPr>
        <w:t>’</w:t>
      </w:r>
      <w:r w:rsidRPr="00703E60">
        <w:rPr>
          <w:rFonts w:eastAsia="Aptos" w:cs="Calibri"/>
          <w:i/>
          <w:iCs/>
          <w:color w:val="FF0000"/>
          <w:szCs w:val="21"/>
          <w:lang w:val="fr-CA"/>
        </w:rPr>
        <w:t xml:space="preserve">un cadre provincial soit nécessaire? </w:t>
      </w:r>
      <w:r w:rsidR="00C617A6">
        <w:rPr>
          <w:rFonts w:eastAsia="Aptos" w:cs="Calibri"/>
          <w:i/>
          <w:iCs/>
          <w:color w:val="FF0000"/>
          <w:szCs w:val="21"/>
          <w:lang w:val="fr-CA"/>
        </w:rPr>
        <w:t>Si oui, quelle serait la meilleure approche et pour quelles raisons?</w:t>
      </w:r>
      <w:r w:rsidR="007D204B" w:rsidRPr="00A317D7">
        <w:rPr>
          <w:rFonts w:eastAsia="Aptos" w:cs="Calibri"/>
          <w:i/>
          <w:iCs/>
          <w:color w:val="FF0000"/>
          <w:szCs w:val="21"/>
          <w:lang w:val="fr-CA"/>
        </w:rPr>
        <w:br/>
      </w:r>
    </w:p>
    <w:p w14:paraId="4A188E7B" w14:textId="77777777" w:rsidR="00331AAB" w:rsidRPr="00331AAB" w:rsidRDefault="00331AAB" w:rsidP="00331AAB">
      <w:pPr>
        <w:pStyle w:val="Heading2"/>
        <w:numPr>
          <w:ilvl w:val="0"/>
          <w:numId w:val="35"/>
        </w:numPr>
        <w:rPr>
          <w:rFonts w:eastAsia="Aptos"/>
          <w:lang w:val="fr-CA"/>
        </w:rPr>
      </w:pPr>
      <w:bookmarkStart w:id="76" w:name="_Toc197599896"/>
      <w:r w:rsidRPr="00331AAB">
        <w:rPr>
          <w:rFonts w:eastAsia="Aptos"/>
          <w:bCs/>
          <w:lang w:val="fr-CA"/>
        </w:rPr>
        <w:t>Utilisations interdites et critères de risque</w:t>
      </w:r>
      <w:bookmarkEnd w:id="76"/>
    </w:p>
    <w:p w14:paraId="61479B46" w14:textId="77777777" w:rsidR="007D204B" w:rsidRPr="00A317D7" w:rsidRDefault="007D204B" w:rsidP="007D204B">
      <w:pPr>
        <w:contextualSpacing/>
        <w:rPr>
          <w:rFonts w:eastAsia="Aptos" w:cs="Calibri"/>
          <w:sz w:val="24"/>
          <w:lang w:val="fr-CA"/>
        </w:rPr>
      </w:pPr>
    </w:p>
    <w:p w14:paraId="34CA3C99" w14:textId="3724A178" w:rsidR="0009680A" w:rsidRPr="00703E60" w:rsidRDefault="00703E60" w:rsidP="00C9376C">
      <w:pPr>
        <w:contextualSpacing/>
        <w:rPr>
          <w:rFonts w:eastAsia="Aptos" w:cs="Calibri"/>
          <w:lang w:val="fr-CA"/>
        </w:rPr>
      </w:pPr>
      <w:r w:rsidRPr="00703E60">
        <w:rPr>
          <w:rFonts w:eastAsia="Aptos" w:cs="Calibri"/>
          <w:lang w:val="fr-CA"/>
        </w:rPr>
        <w:t>L</w:t>
      </w:r>
      <w:r w:rsidR="00C62E0C">
        <w:rPr>
          <w:rFonts w:eastAsia="Aptos" w:cs="Calibri"/>
          <w:lang w:val="fr-CA"/>
        </w:rPr>
        <w:t>e</w:t>
      </w:r>
      <w:r w:rsidRPr="00703E60">
        <w:rPr>
          <w:rFonts w:eastAsia="Aptos" w:cs="Calibri"/>
          <w:lang w:val="fr-CA"/>
        </w:rPr>
        <w:t xml:space="preserve"> règlement de l</w:t>
      </w:r>
      <w:r w:rsidR="00C62E0C">
        <w:rPr>
          <w:rFonts w:eastAsia="Aptos" w:cs="Calibri"/>
          <w:lang w:val="fr-CA"/>
        </w:rPr>
        <w:t>’</w:t>
      </w:r>
      <w:r w:rsidRPr="00703E60">
        <w:rPr>
          <w:rFonts w:eastAsia="Aptos" w:cs="Calibri"/>
          <w:lang w:val="fr-CA"/>
        </w:rPr>
        <w:t>UE sur l</w:t>
      </w:r>
      <w:r w:rsidR="00C62E0C">
        <w:rPr>
          <w:rFonts w:eastAsia="Aptos" w:cs="Calibri"/>
          <w:lang w:val="fr-CA"/>
        </w:rPr>
        <w:t>’</w:t>
      </w:r>
      <w:r w:rsidRPr="00703E60">
        <w:rPr>
          <w:rFonts w:eastAsia="Aptos" w:cs="Calibri"/>
          <w:lang w:val="fr-CA"/>
        </w:rPr>
        <w:t>IA, l</w:t>
      </w:r>
      <w:r>
        <w:rPr>
          <w:rFonts w:eastAsia="Aptos" w:cs="Calibri"/>
          <w:lang w:val="fr-CA"/>
        </w:rPr>
        <w:t xml:space="preserve">a </w:t>
      </w:r>
      <w:r w:rsidRPr="005901FF">
        <w:rPr>
          <w:rFonts w:eastAsia="Aptos" w:cs="Calibri"/>
          <w:i/>
          <w:lang w:val="fr-CA"/>
        </w:rPr>
        <w:t>LIAD</w:t>
      </w:r>
      <w:r>
        <w:rPr>
          <w:rFonts w:eastAsia="Aptos" w:cs="Calibri"/>
          <w:lang w:val="fr-CA"/>
        </w:rPr>
        <w:t xml:space="preserve"> </w:t>
      </w:r>
      <w:r w:rsidRPr="00703E60">
        <w:rPr>
          <w:rFonts w:eastAsia="Aptos" w:cs="Calibri"/>
          <w:lang w:val="fr-CA"/>
        </w:rPr>
        <w:t>et la Politique sur l</w:t>
      </w:r>
      <w:r w:rsidR="00C62E0C">
        <w:rPr>
          <w:rFonts w:eastAsia="Aptos" w:cs="Calibri"/>
          <w:lang w:val="fr-CA"/>
        </w:rPr>
        <w:t>’</w:t>
      </w:r>
      <w:r w:rsidRPr="00703E60">
        <w:rPr>
          <w:rFonts w:eastAsia="Aptos" w:cs="Calibri"/>
          <w:lang w:val="fr-CA"/>
        </w:rPr>
        <w:t>IA</w:t>
      </w:r>
      <w:r w:rsidRPr="00703E60">
        <w:rPr>
          <w:lang w:val="fr-CA"/>
        </w:rPr>
        <w:t xml:space="preserve"> d</w:t>
      </w:r>
      <w:r>
        <w:rPr>
          <w:lang w:val="fr-CA"/>
        </w:rPr>
        <w:t xml:space="preserve">e la </w:t>
      </w:r>
      <w:r w:rsidR="00352C67" w:rsidRPr="00352C67">
        <w:rPr>
          <w:rFonts w:eastAsia="Aptos" w:cs="Calibri"/>
          <w:lang w:val="fr-CA"/>
        </w:rPr>
        <w:t xml:space="preserve">Commission de services policiers </w:t>
      </w:r>
      <w:r w:rsidRPr="00703E60">
        <w:rPr>
          <w:rFonts w:eastAsia="Aptos" w:cs="Calibri"/>
          <w:lang w:val="fr-CA"/>
        </w:rPr>
        <w:t>de Toronto adoptent tous une forme de gouvernance de l</w:t>
      </w:r>
      <w:r w:rsidR="00C62E0C">
        <w:rPr>
          <w:rFonts w:eastAsia="Aptos" w:cs="Calibri"/>
          <w:lang w:val="fr-CA"/>
        </w:rPr>
        <w:t>’</w:t>
      </w:r>
      <w:r w:rsidRPr="00703E60">
        <w:rPr>
          <w:rFonts w:eastAsia="Aptos" w:cs="Calibri"/>
          <w:lang w:val="fr-CA"/>
        </w:rPr>
        <w:t>IA fondée sur les risques, qui comprend des utilisations présumées interdites ou des systèmes d</w:t>
      </w:r>
      <w:r w:rsidR="00C62E0C">
        <w:rPr>
          <w:rFonts w:eastAsia="Aptos" w:cs="Calibri"/>
          <w:lang w:val="fr-CA"/>
        </w:rPr>
        <w:t>’</w:t>
      </w:r>
      <w:r w:rsidRPr="00703E60">
        <w:rPr>
          <w:rFonts w:eastAsia="Aptos" w:cs="Calibri"/>
          <w:lang w:val="fr-CA"/>
        </w:rPr>
        <w:t>IA présumés «</w:t>
      </w:r>
      <w:r w:rsidR="00C62E0C">
        <w:rPr>
          <w:rFonts w:eastAsia="Aptos" w:cs="Calibri"/>
          <w:lang w:val="fr-CA"/>
        </w:rPr>
        <w:t> </w:t>
      </w:r>
      <w:r w:rsidRPr="00703E60">
        <w:rPr>
          <w:rFonts w:eastAsia="Aptos" w:cs="Calibri"/>
          <w:lang w:val="fr-CA"/>
        </w:rPr>
        <w:t>à haut risque</w:t>
      </w:r>
      <w:r w:rsidR="00C62E0C">
        <w:rPr>
          <w:rFonts w:eastAsia="Aptos" w:cs="Calibri"/>
          <w:lang w:val="fr-CA"/>
        </w:rPr>
        <w:t> </w:t>
      </w:r>
      <w:r w:rsidRPr="00703E60">
        <w:rPr>
          <w:rFonts w:eastAsia="Aptos" w:cs="Calibri"/>
          <w:lang w:val="fr-CA"/>
        </w:rPr>
        <w:t>» soumis à des exigences plus strictes et à une surveillance accrue</w:t>
      </w:r>
      <w:r w:rsidR="00DB7706" w:rsidRPr="00703E60">
        <w:rPr>
          <w:rFonts w:eastAsia="Aptos" w:cs="Calibri"/>
          <w:lang w:val="fr-CA"/>
        </w:rPr>
        <w:t xml:space="preserve">. </w:t>
      </w:r>
    </w:p>
    <w:p w14:paraId="4BF20573" w14:textId="77777777" w:rsidR="0009680A" w:rsidRPr="00703E60" w:rsidRDefault="0009680A" w:rsidP="007B72EC">
      <w:pPr>
        <w:ind w:left="720"/>
        <w:contextualSpacing/>
        <w:rPr>
          <w:rFonts w:eastAsia="Aptos" w:cs="Calibri"/>
          <w:lang w:val="fr-CA"/>
        </w:rPr>
      </w:pPr>
    </w:p>
    <w:p w14:paraId="131CB329" w14:textId="71CCBD3B" w:rsidR="007D204B" w:rsidRPr="00A317D7" w:rsidRDefault="00703E60" w:rsidP="00C9376C">
      <w:pPr>
        <w:contextualSpacing/>
        <w:rPr>
          <w:rFonts w:eastAsia="Aptos" w:cs="Calibri"/>
          <w:i/>
          <w:iCs/>
          <w:color w:val="FF0000"/>
          <w:lang w:val="fr-CA"/>
        </w:rPr>
      </w:pPr>
      <w:r w:rsidRPr="00703E60">
        <w:rPr>
          <w:rFonts w:eastAsia="Aptos" w:cs="Calibri"/>
          <w:i/>
          <w:iCs/>
          <w:color w:val="FF0000"/>
          <w:lang w:val="fr-CA"/>
        </w:rPr>
        <w:t>En principe, êtes-vous d</w:t>
      </w:r>
      <w:r w:rsidR="00C62E0C">
        <w:rPr>
          <w:rFonts w:eastAsia="Aptos" w:cs="Calibri"/>
          <w:i/>
          <w:iCs/>
          <w:color w:val="FF0000"/>
          <w:lang w:val="fr-CA"/>
        </w:rPr>
        <w:t>’</w:t>
      </w:r>
      <w:r w:rsidRPr="00703E60">
        <w:rPr>
          <w:rFonts w:eastAsia="Aptos" w:cs="Calibri"/>
          <w:i/>
          <w:iCs/>
          <w:color w:val="FF0000"/>
          <w:lang w:val="fr-CA"/>
        </w:rPr>
        <w:t>accord avec le cadre interdisant ou présentant un risque élevé? Quels critères devraient être adoptés pour identifier les systèmes interdits ou présentant un risque élevé? La législation canadienne fournit-elle des indications sur la manière dont les différents systèmes ou utilisations de l</w:t>
      </w:r>
      <w:r w:rsidR="00C62E0C">
        <w:rPr>
          <w:rFonts w:eastAsia="Aptos" w:cs="Calibri"/>
          <w:i/>
          <w:iCs/>
          <w:color w:val="FF0000"/>
          <w:lang w:val="fr-CA"/>
        </w:rPr>
        <w:t>’</w:t>
      </w:r>
      <w:r w:rsidRPr="00703E60">
        <w:rPr>
          <w:rFonts w:eastAsia="Aptos" w:cs="Calibri"/>
          <w:i/>
          <w:iCs/>
          <w:color w:val="FF0000"/>
          <w:lang w:val="fr-CA"/>
        </w:rPr>
        <w:t>IA devraient être classés?</w:t>
      </w:r>
      <w:r w:rsidR="006A6819" w:rsidRPr="00A317D7">
        <w:rPr>
          <w:rFonts w:eastAsia="Aptos" w:cs="Calibri"/>
          <w:i/>
          <w:iCs/>
          <w:color w:val="FF0000"/>
          <w:lang w:val="fr-CA"/>
        </w:rPr>
        <w:t xml:space="preserve"> </w:t>
      </w:r>
      <w:r w:rsidR="007D204B" w:rsidRPr="00A317D7">
        <w:rPr>
          <w:rFonts w:eastAsia="Aptos" w:cs="Calibri"/>
          <w:i/>
          <w:iCs/>
          <w:color w:val="FF0000"/>
          <w:lang w:val="fr-CA"/>
        </w:rPr>
        <w:br/>
      </w:r>
    </w:p>
    <w:p w14:paraId="36337E49" w14:textId="3C2F090E" w:rsidR="0087054B" w:rsidRPr="00703E60" w:rsidRDefault="00703E60" w:rsidP="00C9376C">
      <w:pPr>
        <w:contextualSpacing/>
        <w:rPr>
          <w:rFonts w:eastAsia="Aptos" w:cs="Calibri"/>
          <w:i/>
          <w:iCs/>
          <w:color w:val="FF0000"/>
          <w:lang w:val="fr-CA"/>
        </w:rPr>
      </w:pPr>
      <w:r w:rsidRPr="00703E60">
        <w:rPr>
          <w:rFonts w:eastAsia="Aptos" w:cs="Calibri"/>
          <w:i/>
          <w:iCs/>
          <w:color w:val="FF0000"/>
          <w:lang w:val="fr-CA"/>
        </w:rPr>
        <w:t>Si vous estimez que certains systèmes ou certaines utilisations devraient être interdits ou identifiés comme «</w:t>
      </w:r>
      <w:r w:rsidR="00C62E0C">
        <w:rPr>
          <w:rFonts w:eastAsia="Aptos" w:cs="Calibri"/>
          <w:i/>
          <w:iCs/>
          <w:color w:val="FF0000"/>
          <w:lang w:val="fr-CA"/>
        </w:rPr>
        <w:t> </w:t>
      </w:r>
      <w:r w:rsidRPr="00703E60">
        <w:rPr>
          <w:rFonts w:eastAsia="Aptos" w:cs="Calibri"/>
          <w:i/>
          <w:iCs/>
          <w:color w:val="FF0000"/>
          <w:lang w:val="fr-CA"/>
        </w:rPr>
        <w:t>à haut risque</w:t>
      </w:r>
      <w:r w:rsidR="00C62E0C">
        <w:rPr>
          <w:rFonts w:eastAsia="Aptos" w:cs="Calibri"/>
          <w:i/>
          <w:iCs/>
          <w:color w:val="FF0000"/>
          <w:lang w:val="fr-CA"/>
        </w:rPr>
        <w:t> </w:t>
      </w:r>
      <w:r w:rsidRPr="00703E60">
        <w:rPr>
          <w:rFonts w:eastAsia="Aptos" w:cs="Calibri"/>
          <w:i/>
          <w:iCs/>
          <w:color w:val="FF0000"/>
          <w:lang w:val="fr-CA"/>
        </w:rPr>
        <w:t>»</w:t>
      </w:r>
      <w:r>
        <w:rPr>
          <w:rFonts w:eastAsia="Aptos" w:cs="Calibri"/>
          <w:i/>
          <w:iCs/>
          <w:color w:val="FF0000"/>
          <w:lang w:val="fr-CA"/>
        </w:rPr>
        <w:t> </w:t>
      </w:r>
      <w:r w:rsidRPr="00703E60">
        <w:rPr>
          <w:rFonts w:eastAsia="Aptos" w:cs="Calibri"/>
          <w:i/>
          <w:iCs/>
          <w:color w:val="FF0000"/>
          <w:lang w:val="fr-CA"/>
        </w:rPr>
        <w:t>:</w:t>
      </w:r>
    </w:p>
    <w:p w14:paraId="67698A5D" w14:textId="62B789AE" w:rsidR="00703E60" w:rsidRPr="00703E60" w:rsidRDefault="00703E60" w:rsidP="00703E60">
      <w:pPr>
        <w:pStyle w:val="ListParagraph"/>
        <w:numPr>
          <w:ilvl w:val="0"/>
          <w:numId w:val="37"/>
        </w:numPr>
        <w:rPr>
          <w:rFonts w:eastAsia="Aptos" w:cs="Calibri"/>
          <w:i/>
          <w:iCs/>
          <w:color w:val="FF0000"/>
          <w:lang w:val="fr-CA"/>
        </w:rPr>
      </w:pPr>
      <w:r w:rsidRPr="00703E60">
        <w:rPr>
          <w:rFonts w:eastAsia="Aptos" w:cs="Calibri"/>
          <w:i/>
          <w:iCs/>
          <w:color w:val="FF0000"/>
          <w:lang w:val="fr-CA"/>
        </w:rPr>
        <w:t>Quels systèmes ou utilisations de l</w:t>
      </w:r>
      <w:r w:rsidR="00C62E0C">
        <w:rPr>
          <w:rFonts w:eastAsia="Aptos" w:cs="Calibri"/>
          <w:i/>
          <w:iCs/>
          <w:color w:val="FF0000"/>
          <w:lang w:val="fr-CA"/>
        </w:rPr>
        <w:t>’</w:t>
      </w:r>
      <w:r w:rsidRPr="00703E60">
        <w:rPr>
          <w:rFonts w:eastAsia="Aptos" w:cs="Calibri"/>
          <w:i/>
          <w:iCs/>
          <w:color w:val="FF0000"/>
          <w:lang w:val="fr-CA"/>
        </w:rPr>
        <w:t>IA devraient entrer dans ces catégories?</w:t>
      </w:r>
    </w:p>
    <w:p w14:paraId="56EE00C1" w14:textId="3629BE1D" w:rsidR="00703E60" w:rsidRPr="00703E60" w:rsidRDefault="00703E60" w:rsidP="00703E60">
      <w:pPr>
        <w:pStyle w:val="ListParagraph"/>
        <w:numPr>
          <w:ilvl w:val="0"/>
          <w:numId w:val="37"/>
        </w:numPr>
        <w:rPr>
          <w:rFonts w:eastAsia="Aptos" w:cs="Calibri"/>
          <w:i/>
          <w:iCs/>
          <w:color w:val="FF0000"/>
          <w:lang w:val="en-US"/>
        </w:rPr>
      </w:pPr>
      <w:r w:rsidRPr="00703E60">
        <w:rPr>
          <w:rFonts w:eastAsia="Aptos" w:cs="Calibri"/>
          <w:i/>
          <w:iCs/>
          <w:color w:val="FF0000"/>
          <w:lang w:val="fr-CA"/>
        </w:rPr>
        <w:t>Faut-il interdire la reconnaissance faciale en temps réel ou le maintien de l</w:t>
      </w:r>
      <w:r w:rsidR="00C62E0C">
        <w:rPr>
          <w:rFonts w:eastAsia="Aptos" w:cs="Calibri"/>
          <w:i/>
          <w:iCs/>
          <w:color w:val="FF0000"/>
          <w:lang w:val="fr-CA"/>
        </w:rPr>
        <w:t>’</w:t>
      </w:r>
      <w:r w:rsidRPr="00703E60">
        <w:rPr>
          <w:rFonts w:eastAsia="Aptos" w:cs="Calibri"/>
          <w:i/>
          <w:iCs/>
          <w:color w:val="FF0000"/>
          <w:lang w:val="fr-CA"/>
        </w:rPr>
        <w:t xml:space="preserve">ordre prédictif? Si oui, existe-t-il des exceptions raisonnables, telles que la reconnaissance faciale pour aider à retrouver des personnes disparues? </w:t>
      </w:r>
      <w:r w:rsidRPr="00C20DA6">
        <w:rPr>
          <w:rFonts w:eastAsia="Aptos" w:cs="Calibri"/>
          <w:i/>
          <w:iCs/>
          <w:color w:val="FF0000"/>
          <w:lang w:val="fr-CA"/>
        </w:rPr>
        <w:t>Quelles règles devraient s</w:t>
      </w:r>
      <w:r w:rsidR="00C62E0C" w:rsidRPr="00C20DA6">
        <w:rPr>
          <w:rFonts w:eastAsia="Aptos" w:cs="Calibri"/>
          <w:i/>
          <w:iCs/>
          <w:color w:val="FF0000"/>
          <w:lang w:val="fr-CA"/>
        </w:rPr>
        <w:t>’</w:t>
      </w:r>
      <w:r w:rsidRPr="00C20DA6">
        <w:rPr>
          <w:rFonts w:eastAsia="Aptos" w:cs="Calibri"/>
          <w:i/>
          <w:iCs/>
          <w:color w:val="FF0000"/>
          <w:lang w:val="fr-CA"/>
        </w:rPr>
        <w:t>appliquer</w:t>
      </w:r>
      <w:r w:rsidRPr="00703E60">
        <w:rPr>
          <w:rFonts w:eastAsia="Aptos" w:cs="Calibri"/>
          <w:i/>
          <w:iCs/>
          <w:color w:val="FF0000"/>
          <w:lang w:val="en-US"/>
        </w:rPr>
        <w:t>?</w:t>
      </w:r>
    </w:p>
    <w:p w14:paraId="18CE8380" w14:textId="039FC655" w:rsidR="007D204B" w:rsidRPr="00A317D7" w:rsidRDefault="00703E60" w:rsidP="00703E60">
      <w:pPr>
        <w:pStyle w:val="ListParagraph"/>
        <w:numPr>
          <w:ilvl w:val="0"/>
          <w:numId w:val="37"/>
        </w:numPr>
        <w:rPr>
          <w:rFonts w:eastAsia="Aptos" w:cs="Calibri"/>
          <w:i/>
          <w:iCs/>
          <w:color w:val="FF0000"/>
          <w:lang w:val="fr-CA"/>
        </w:rPr>
      </w:pPr>
      <w:r w:rsidRPr="00703E60">
        <w:rPr>
          <w:rFonts w:eastAsia="Aptos" w:cs="Calibri"/>
          <w:i/>
          <w:iCs/>
          <w:color w:val="FF0000"/>
          <w:lang w:val="fr-CA"/>
        </w:rPr>
        <w:lastRenderedPageBreak/>
        <w:t>Quelles règles de surveillance ou exigences procédurales sont appropriées pour les systèmes à haut risque?</w:t>
      </w:r>
      <w:r w:rsidR="00C9064E" w:rsidRPr="00A317D7">
        <w:rPr>
          <w:rFonts w:eastAsia="Aptos" w:cs="Calibri"/>
          <w:i/>
          <w:iCs/>
          <w:color w:val="FF0000"/>
          <w:lang w:val="fr-CA"/>
        </w:rPr>
        <w:t xml:space="preserve"> </w:t>
      </w:r>
    </w:p>
    <w:p w14:paraId="1EBF2DA3" w14:textId="77777777" w:rsidR="004A4B72" w:rsidRPr="00A317D7" w:rsidRDefault="004A4B72" w:rsidP="00C9064E">
      <w:pPr>
        <w:rPr>
          <w:rFonts w:eastAsia="Aptos" w:cs="Calibri"/>
          <w:b/>
          <w:bCs/>
          <w:i/>
          <w:iCs/>
          <w:lang w:val="fr-CA"/>
        </w:rPr>
      </w:pPr>
    </w:p>
    <w:p w14:paraId="0FC19D17" w14:textId="7AAEA4B8" w:rsidR="00C9376C" w:rsidRPr="00A317D7" w:rsidRDefault="00331AAB" w:rsidP="00331AAB">
      <w:pPr>
        <w:pStyle w:val="Heading2"/>
        <w:numPr>
          <w:ilvl w:val="0"/>
          <w:numId w:val="35"/>
        </w:numPr>
        <w:rPr>
          <w:lang w:val="fr-CA"/>
        </w:rPr>
      </w:pPr>
      <w:bookmarkStart w:id="77" w:name="_Toc197599897"/>
      <w:r w:rsidRPr="00331AAB">
        <w:rPr>
          <w:lang w:val="fr-CA"/>
        </w:rPr>
        <w:t>P</w:t>
      </w:r>
      <w:r w:rsidR="00703E60">
        <w:rPr>
          <w:lang w:val="fr-CA"/>
        </w:rPr>
        <w:t>artialité</w:t>
      </w:r>
      <w:r w:rsidRPr="00331AAB">
        <w:rPr>
          <w:lang w:val="fr-CA"/>
        </w:rPr>
        <w:t>, confidentialité et équité procédurale</w:t>
      </w:r>
      <w:bookmarkEnd w:id="77"/>
    </w:p>
    <w:p w14:paraId="7DA5B9F8" w14:textId="4416C335" w:rsidR="0099008B" w:rsidRPr="00A317D7" w:rsidRDefault="00703E60" w:rsidP="004548AC">
      <w:pPr>
        <w:spacing w:before="120" w:after="120" w:line="240" w:lineRule="auto"/>
        <w:rPr>
          <w:rFonts w:cstheme="minorHAnsi"/>
          <w:lang w:val="fr-CA"/>
        </w:rPr>
      </w:pPr>
      <w:r w:rsidRPr="00703E60">
        <w:rPr>
          <w:rFonts w:cstheme="minorHAnsi"/>
          <w:lang w:val="fr-CA"/>
        </w:rPr>
        <w:t>Les initiatives en matière d</w:t>
      </w:r>
      <w:r w:rsidR="00C62E0C">
        <w:rPr>
          <w:rFonts w:cstheme="minorHAnsi"/>
          <w:lang w:val="fr-CA"/>
        </w:rPr>
        <w:t>’</w:t>
      </w:r>
      <w:r w:rsidRPr="00703E60">
        <w:rPr>
          <w:rFonts w:cstheme="minorHAnsi"/>
          <w:lang w:val="fr-CA"/>
        </w:rPr>
        <w:t xml:space="preserve">IA </w:t>
      </w:r>
      <w:r w:rsidR="00105D48" w:rsidRPr="00105D48">
        <w:rPr>
          <w:rFonts w:cstheme="minorHAnsi"/>
          <w:lang w:val="fr-CA"/>
        </w:rPr>
        <w:t xml:space="preserve">fiable dans le secteur de la justice pénale </w:t>
      </w:r>
      <w:r w:rsidRPr="00703E60">
        <w:rPr>
          <w:rFonts w:cstheme="minorHAnsi"/>
          <w:lang w:val="fr-CA"/>
        </w:rPr>
        <w:t>comprennent systématiquement des principes ou des règles détaillées visant à garantir que ces systèmes ne sont pas discriminatoires et protègent la vie privée et l</w:t>
      </w:r>
      <w:r w:rsidR="00C62E0C">
        <w:rPr>
          <w:rFonts w:cstheme="minorHAnsi"/>
          <w:lang w:val="fr-CA"/>
        </w:rPr>
        <w:t>’</w:t>
      </w:r>
      <w:r w:rsidRPr="00703E60">
        <w:rPr>
          <w:rFonts w:cstheme="minorHAnsi"/>
          <w:lang w:val="fr-CA"/>
        </w:rPr>
        <w:t>équité procédurale. Les composantes de ces initiatives varient, mais comprennent souven</w:t>
      </w:r>
      <w:r>
        <w:rPr>
          <w:rFonts w:cstheme="minorHAnsi"/>
          <w:lang w:val="fr-CA"/>
        </w:rPr>
        <w:t>t les éléments suivants </w:t>
      </w:r>
      <w:r w:rsidR="0099008B" w:rsidRPr="00A317D7">
        <w:rPr>
          <w:rFonts w:cstheme="minorHAnsi"/>
          <w:lang w:val="fr-CA"/>
        </w:rPr>
        <w:t>:</w:t>
      </w:r>
    </w:p>
    <w:p w14:paraId="1A950666" w14:textId="0169F9B8" w:rsidR="00703E60" w:rsidRPr="00703E60" w:rsidRDefault="00703E60" w:rsidP="00703E60">
      <w:pPr>
        <w:pStyle w:val="ListParagraph"/>
        <w:numPr>
          <w:ilvl w:val="0"/>
          <w:numId w:val="4"/>
        </w:numPr>
        <w:spacing w:after="240" w:line="240" w:lineRule="auto"/>
        <w:rPr>
          <w:lang w:val="fr-CA"/>
        </w:rPr>
      </w:pPr>
      <w:r w:rsidRPr="00703E60">
        <w:rPr>
          <w:lang w:val="fr-CA"/>
        </w:rPr>
        <w:t>Obligation de divulgation des systèmes d</w:t>
      </w:r>
      <w:r w:rsidR="00C62E0C">
        <w:rPr>
          <w:lang w:val="fr-CA"/>
        </w:rPr>
        <w:t>’</w:t>
      </w:r>
      <w:r w:rsidRPr="00703E60">
        <w:rPr>
          <w:lang w:val="fr-CA"/>
        </w:rPr>
        <w:t xml:space="preserve">IA dans le </w:t>
      </w:r>
      <w:r w:rsidR="005901FF">
        <w:rPr>
          <w:lang w:val="fr-CA"/>
        </w:rPr>
        <w:t xml:space="preserve">secteur </w:t>
      </w:r>
      <w:r w:rsidRPr="00703E60">
        <w:rPr>
          <w:lang w:val="fr-CA"/>
        </w:rPr>
        <w:t>pénal, y compris les «</w:t>
      </w:r>
      <w:r w:rsidR="00C62E0C">
        <w:rPr>
          <w:lang w:val="fr-CA"/>
        </w:rPr>
        <w:t> </w:t>
      </w:r>
      <w:r w:rsidRPr="00703E60">
        <w:rPr>
          <w:lang w:val="fr-CA"/>
        </w:rPr>
        <w:t>registres publics d</w:t>
      </w:r>
      <w:r w:rsidR="00C62E0C">
        <w:rPr>
          <w:lang w:val="fr-CA"/>
        </w:rPr>
        <w:t>’</w:t>
      </w:r>
      <w:r w:rsidRPr="00703E60">
        <w:rPr>
          <w:lang w:val="fr-CA"/>
        </w:rPr>
        <w:t>IA</w:t>
      </w:r>
      <w:r w:rsidR="00C62E0C">
        <w:rPr>
          <w:lang w:val="fr-CA"/>
        </w:rPr>
        <w:t> </w:t>
      </w:r>
      <w:r w:rsidRPr="00703E60">
        <w:rPr>
          <w:lang w:val="fr-CA"/>
        </w:rPr>
        <w:t>».</w:t>
      </w:r>
    </w:p>
    <w:p w14:paraId="62232B47" w14:textId="156723F0" w:rsidR="00703E60" w:rsidRPr="00703E60" w:rsidRDefault="00703E60" w:rsidP="00703E60">
      <w:pPr>
        <w:pStyle w:val="ListParagraph"/>
        <w:numPr>
          <w:ilvl w:val="0"/>
          <w:numId w:val="4"/>
        </w:numPr>
        <w:spacing w:after="240" w:line="240" w:lineRule="auto"/>
        <w:rPr>
          <w:lang w:val="fr-CA"/>
        </w:rPr>
      </w:pPr>
      <w:r w:rsidRPr="00703E60">
        <w:rPr>
          <w:lang w:val="fr-CA"/>
        </w:rPr>
        <w:t>Interdiction des systèmes d</w:t>
      </w:r>
      <w:r w:rsidR="00C62E0C">
        <w:rPr>
          <w:lang w:val="fr-CA"/>
        </w:rPr>
        <w:t>’</w:t>
      </w:r>
      <w:r w:rsidRPr="00703E60">
        <w:rPr>
          <w:lang w:val="fr-CA"/>
        </w:rPr>
        <w:t xml:space="preserve">IA dans le </w:t>
      </w:r>
      <w:r w:rsidR="005901FF">
        <w:rPr>
          <w:lang w:val="fr-CA"/>
        </w:rPr>
        <w:t>secteur</w:t>
      </w:r>
      <w:r w:rsidRPr="00703E60">
        <w:rPr>
          <w:lang w:val="fr-CA"/>
        </w:rPr>
        <w:t xml:space="preserve"> pénal présentant </w:t>
      </w:r>
      <w:r w:rsidR="005901FF">
        <w:rPr>
          <w:lang w:val="fr-CA"/>
        </w:rPr>
        <w:t xml:space="preserve">le </w:t>
      </w:r>
      <w:r w:rsidRPr="00703E60">
        <w:rPr>
          <w:lang w:val="fr-CA"/>
        </w:rPr>
        <w:t>niveau de risque</w:t>
      </w:r>
      <w:r w:rsidR="005901FF">
        <w:rPr>
          <w:lang w:val="fr-CA"/>
        </w:rPr>
        <w:t xml:space="preserve"> </w:t>
      </w:r>
      <w:r w:rsidR="005901FF" w:rsidRPr="00703E60">
        <w:rPr>
          <w:lang w:val="fr-CA"/>
        </w:rPr>
        <w:t>le plus</w:t>
      </w:r>
      <w:r w:rsidR="005901FF">
        <w:rPr>
          <w:lang w:val="fr-CA"/>
        </w:rPr>
        <w:t xml:space="preserve"> élevé.</w:t>
      </w:r>
    </w:p>
    <w:p w14:paraId="7A4033C8" w14:textId="5A94ABAB" w:rsidR="00703E60" w:rsidRPr="00703E60" w:rsidRDefault="00703E60" w:rsidP="00703E60">
      <w:pPr>
        <w:pStyle w:val="ListParagraph"/>
        <w:numPr>
          <w:ilvl w:val="0"/>
          <w:numId w:val="4"/>
        </w:numPr>
        <w:spacing w:after="240" w:line="240" w:lineRule="auto"/>
        <w:rPr>
          <w:lang w:val="fr-CA"/>
        </w:rPr>
      </w:pPr>
      <w:r w:rsidRPr="00703E60">
        <w:rPr>
          <w:lang w:val="fr-CA"/>
        </w:rPr>
        <w:t>Critères permettant d</w:t>
      </w:r>
      <w:r w:rsidR="00C62E0C">
        <w:rPr>
          <w:lang w:val="fr-CA"/>
        </w:rPr>
        <w:t>’</w:t>
      </w:r>
      <w:r w:rsidRPr="00703E60">
        <w:rPr>
          <w:lang w:val="fr-CA"/>
        </w:rPr>
        <w:t>identifier les systèmes interdits ou à risque</w:t>
      </w:r>
      <w:r w:rsidR="005901FF">
        <w:rPr>
          <w:lang w:val="fr-CA"/>
        </w:rPr>
        <w:t xml:space="preserve"> élevé</w:t>
      </w:r>
      <w:r w:rsidRPr="00703E60">
        <w:rPr>
          <w:lang w:val="fr-CA"/>
        </w:rPr>
        <w:t>.</w:t>
      </w:r>
    </w:p>
    <w:p w14:paraId="0C0F7C91" w14:textId="33331BB8" w:rsidR="00703E60" w:rsidRPr="00703E60" w:rsidRDefault="00703E60" w:rsidP="00703E60">
      <w:pPr>
        <w:pStyle w:val="ListParagraph"/>
        <w:numPr>
          <w:ilvl w:val="0"/>
          <w:numId w:val="4"/>
        </w:numPr>
        <w:spacing w:after="240" w:line="240" w:lineRule="auto"/>
        <w:rPr>
          <w:lang w:val="fr-CA"/>
        </w:rPr>
      </w:pPr>
      <w:r w:rsidRPr="00703E60">
        <w:rPr>
          <w:lang w:val="fr-CA"/>
        </w:rPr>
        <w:t>Limitations de la finalité et de l</w:t>
      </w:r>
      <w:r w:rsidR="00C62E0C">
        <w:rPr>
          <w:lang w:val="fr-CA"/>
        </w:rPr>
        <w:t>’</w:t>
      </w:r>
      <w:r w:rsidRPr="00703E60">
        <w:rPr>
          <w:lang w:val="fr-CA"/>
        </w:rPr>
        <w:t>utilisation.</w:t>
      </w:r>
    </w:p>
    <w:p w14:paraId="492A725C" w14:textId="56D03722" w:rsidR="00703E60" w:rsidRPr="00703E60" w:rsidRDefault="00703E60" w:rsidP="00703E60">
      <w:pPr>
        <w:pStyle w:val="ListParagraph"/>
        <w:numPr>
          <w:ilvl w:val="0"/>
          <w:numId w:val="4"/>
        </w:numPr>
        <w:spacing w:after="240" w:line="240" w:lineRule="auto"/>
        <w:rPr>
          <w:lang w:val="fr-CA"/>
        </w:rPr>
      </w:pPr>
      <w:r w:rsidRPr="00703E60">
        <w:rPr>
          <w:lang w:val="fr-CA"/>
        </w:rPr>
        <w:t>Évaluations obligatoires et transparentes de l</w:t>
      </w:r>
      <w:r w:rsidR="00C62E0C">
        <w:rPr>
          <w:lang w:val="fr-CA"/>
        </w:rPr>
        <w:t>’</w:t>
      </w:r>
      <w:r w:rsidRPr="00703E60">
        <w:rPr>
          <w:lang w:val="fr-CA"/>
        </w:rPr>
        <w:t>i</w:t>
      </w:r>
      <w:r w:rsidR="00C00B53">
        <w:rPr>
          <w:lang w:val="fr-CA"/>
        </w:rPr>
        <w:t xml:space="preserve">ncidence </w:t>
      </w:r>
      <w:r w:rsidRPr="00703E60">
        <w:rPr>
          <w:lang w:val="fr-CA"/>
        </w:rPr>
        <w:t>de l</w:t>
      </w:r>
      <w:r w:rsidR="00C62E0C">
        <w:rPr>
          <w:lang w:val="fr-CA"/>
        </w:rPr>
        <w:t>’</w:t>
      </w:r>
      <w:r w:rsidRPr="00703E60">
        <w:rPr>
          <w:lang w:val="fr-CA"/>
        </w:rPr>
        <w:t>IA.</w:t>
      </w:r>
    </w:p>
    <w:p w14:paraId="7C720949" w14:textId="208D860D" w:rsidR="00703E60" w:rsidRPr="00703E60" w:rsidRDefault="00703E60" w:rsidP="00703E60">
      <w:pPr>
        <w:pStyle w:val="ListParagraph"/>
        <w:numPr>
          <w:ilvl w:val="0"/>
          <w:numId w:val="4"/>
        </w:numPr>
        <w:spacing w:after="240" w:line="240" w:lineRule="auto"/>
        <w:rPr>
          <w:lang w:val="fr-CA"/>
        </w:rPr>
      </w:pPr>
      <w:r w:rsidRPr="00703E60">
        <w:rPr>
          <w:lang w:val="fr-CA"/>
        </w:rPr>
        <w:t>Exigences en matière d</w:t>
      </w:r>
      <w:r w:rsidR="00C62E0C">
        <w:rPr>
          <w:lang w:val="fr-CA"/>
        </w:rPr>
        <w:t>’</w:t>
      </w:r>
      <w:r w:rsidRPr="00703E60">
        <w:rPr>
          <w:lang w:val="fr-CA"/>
        </w:rPr>
        <w:t>atténuation.</w:t>
      </w:r>
    </w:p>
    <w:p w14:paraId="3DDB3BDE" w14:textId="2607C14C" w:rsidR="00703E60" w:rsidRPr="00703E60" w:rsidRDefault="00703E60" w:rsidP="00703E60">
      <w:pPr>
        <w:pStyle w:val="ListParagraph"/>
        <w:numPr>
          <w:ilvl w:val="0"/>
          <w:numId w:val="4"/>
        </w:numPr>
        <w:spacing w:after="240" w:line="240" w:lineRule="auto"/>
        <w:rPr>
          <w:lang w:val="fr-CA"/>
        </w:rPr>
      </w:pPr>
      <w:r w:rsidRPr="00703E60">
        <w:rPr>
          <w:lang w:val="fr-CA"/>
        </w:rPr>
        <w:t>Obligations obligatoires de mesurer, de corriger et de contrôler les biais dans les systèmes d</w:t>
      </w:r>
      <w:r w:rsidR="00C62E0C">
        <w:rPr>
          <w:lang w:val="fr-CA"/>
        </w:rPr>
        <w:t>’</w:t>
      </w:r>
      <w:r w:rsidRPr="00703E60">
        <w:rPr>
          <w:lang w:val="fr-CA"/>
        </w:rPr>
        <w:t>IA.</w:t>
      </w:r>
    </w:p>
    <w:p w14:paraId="1E94815A" w14:textId="1D9AA9BA" w:rsidR="00703E60" w:rsidRPr="00703E60" w:rsidRDefault="00703E60" w:rsidP="00703E60">
      <w:pPr>
        <w:pStyle w:val="ListParagraph"/>
        <w:numPr>
          <w:ilvl w:val="0"/>
          <w:numId w:val="4"/>
        </w:numPr>
        <w:spacing w:after="240" w:line="240" w:lineRule="auto"/>
        <w:rPr>
          <w:lang w:val="fr-CA"/>
        </w:rPr>
      </w:pPr>
      <w:r w:rsidRPr="00703E60">
        <w:rPr>
          <w:lang w:val="fr-CA"/>
        </w:rPr>
        <w:t>Garanties procédurales, telles que l</w:t>
      </w:r>
      <w:r w:rsidR="00C62E0C">
        <w:rPr>
          <w:lang w:val="fr-CA"/>
        </w:rPr>
        <w:t>’</w:t>
      </w:r>
      <w:r w:rsidRPr="00703E60">
        <w:rPr>
          <w:lang w:val="fr-CA"/>
        </w:rPr>
        <w:t>obligation d</w:t>
      </w:r>
      <w:r w:rsidR="00C62E0C">
        <w:rPr>
          <w:lang w:val="fr-CA"/>
        </w:rPr>
        <w:t>’</w:t>
      </w:r>
      <w:r w:rsidRPr="00703E60">
        <w:rPr>
          <w:lang w:val="fr-CA"/>
        </w:rPr>
        <w:t>obtenir un mandat pour les systèmes à risque</w:t>
      </w:r>
      <w:r w:rsidR="005901FF">
        <w:rPr>
          <w:lang w:val="fr-CA"/>
        </w:rPr>
        <w:t xml:space="preserve"> élevé</w:t>
      </w:r>
      <w:r w:rsidRPr="00703E60">
        <w:rPr>
          <w:lang w:val="fr-CA"/>
        </w:rPr>
        <w:t>.</w:t>
      </w:r>
    </w:p>
    <w:p w14:paraId="42331B08" w14:textId="59335781" w:rsidR="00703E60" w:rsidRPr="00703E60" w:rsidRDefault="00703E60" w:rsidP="00703E60">
      <w:pPr>
        <w:pStyle w:val="ListParagraph"/>
        <w:numPr>
          <w:ilvl w:val="0"/>
          <w:numId w:val="4"/>
        </w:numPr>
        <w:spacing w:after="240" w:line="240" w:lineRule="auto"/>
        <w:rPr>
          <w:lang w:val="fr-CA"/>
        </w:rPr>
      </w:pPr>
      <w:r w:rsidRPr="00703E60">
        <w:rPr>
          <w:lang w:val="fr-CA"/>
        </w:rPr>
        <w:t>Exigences obligatoires en matière d</w:t>
      </w:r>
      <w:r w:rsidR="00C62E0C">
        <w:rPr>
          <w:lang w:val="fr-CA"/>
        </w:rPr>
        <w:t>’</w:t>
      </w:r>
      <w:r w:rsidRPr="00703E60">
        <w:rPr>
          <w:lang w:val="fr-CA"/>
        </w:rPr>
        <w:t xml:space="preserve">intervention humaine et </w:t>
      </w:r>
      <w:r w:rsidR="005901FF">
        <w:rPr>
          <w:lang w:val="fr-CA"/>
        </w:rPr>
        <w:t>d’apprentissage</w:t>
      </w:r>
      <w:r w:rsidRPr="00703E60">
        <w:rPr>
          <w:lang w:val="fr-CA"/>
        </w:rPr>
        <w:t>.</w:t>
      </w:r>
    </w:p>
    <w:p w14:paraId="31465EA8" w14:textId="13CEF446" w:rsidR="00B478F4" w:rsidRPr="00A317D7" w:rsidRDefault="00703E60" w:rsidP="00703E60">
      <w:pPr>
        <w:pStyle w:val="ListParagraph"/>
        <w:numPr>
          <w:ilvl w:val="0"/>
          <w:numId w:val="4"/>
        </w:numPr>
        <w:spacing w:after="240" w:line="240" w:lineRule="auto"/>
        <w:rPr>
          <w:lang w:val="fr-CA"/>
        </w:rPr>
      </w:pPr>
      <w:r w:rsidRPr="00703E60">
        <w:rPr>
          <w:lang w:val="fr-CA"/>
        </w:rPr>
        <w:t>Exigences obligatoires en matière d</w:t>
      </w:r>
      <w:r w:rsidR="00C62E0C">
        <w:rPr>
          <w:lang w:val="fr-CA"/>
        </w:rPr>
        <w:t>’</w:t>
      </w:r>
      <w:r w:rsidRPr="00703E60">
        <w:rPr>
          <w:lang w:val="fr-CA"/>
        </w:rPr>
        <w:t>audit et d</w:t>
      </w:r>
      <w:r w:rsidR="00C62E0C">
        <w:rPr>
          <w:lang w:val="fr-CA"/>
        </w:rPr>
        <w:t>’</w:t>
      </w:r>
      <w:r w:rsidRPr="00703E60">
        <w:rPr>
          <w:lang w:val="fr-CA"/>
        </w:rPr>
        <w:t>évaluation</w:t>
      </w:r>
      <w:r w:rsidR="00B478F4" w:rsidRPr="00A317D7">
        <w:rPr>
          <w:lang w:val="fr-CA"/>
        </w:rPr>
        <w:t>.</w:t>
      </w:r>
    </w:p>
    <w:p w14:paraId="3C4A4696" w14:textId="4CDBB1BA" w:rsidR="006E3A1D" w:rsidRPr="00A317D7" w:rsidRDefault="00703E60" w:rsidP="0099008B">
      <w:pPr>
        <w:contextualSpacing/>
        <w:rPr>
          <w:rFonts w:eastAsia="Aptos" w:cs="Calibri"/>
          <w:color w:val="000000" w:themeColor="text1"/>
          <w:lang w:val="fr-CA"/>
        </w:rPr>
      </w:pPr>
      <w:r w:rsidRPr="00703E60">
        <w:rPr>
          <w:rFonts w:eastAsia="Aptos" w:cs="Calibri"/>
          <w:color w:val="000000" w:themeColor="text1"/>
          <w:lang w:val="fr-CA"/>
        </w:rPr>
        <w:t>Les documents thématiques soulignent également que les variations au sein des systèmes d</w:t>
      </w:r>
      <w:r w:rsidR="00C62E0C">
        <w:rPr>
          <w:rFonts w:eastAsia="Aptos" w:cs="Calibri"/>
          <w:color w:val="000000" w:themeColor="text1"/>
          <w:lang w:val="fr-CA"/>
        </w:rPr>
        <w:t>’</w:t>
      </w:r>
      <w:r w:rsidRPr="00703E60">
        <w:rPr>
          <w:rFonts w:eastAsia="Aptos" w:cs="Calibri"/>
          <w:color w:val="000000" w:themeColor="text1"/>
          <w:lang w:val="fr-CA"/>
        </w:rPr>
        <w:t xml:space="preserve">IA dans le </w:t>
      </w:r>
      <w:r w:rsidR="005901FF">
        <w:rPr>
          <w:rFonts w:eastAsia="Aptos" w:cs="Calibri"/>
          <w:color w:val="000000" w:themeColor="text1"/>
          <w:lang w:val="fr-CA"/>
        </w:rPr>
        <w:t>secteur</w:t>
      </w:r>
      <w:r w:rsidRPr="00703E60">
        <w:rPr>
          <w:rFonts w:eastAsia="Aptos" w:cs="Calibri"/>
          <w:color w:val="000000" w:themeColor="text1"/>
          <w:lang w:val="fr-CA"/>
        </w:rPr>
        <w:t xml:space="preserve"> pénal et entre eux ont des </w:t>
      </w:r>
      <w:r w:rsidR="005901FF">
        <w:rPr>
          <w:rFonts w:eastAsia="Aptos" w:cs="Calibri"/>
          <w:color w:val="000000" w:themeColor="text1"/>
          <w:lang w:val="fr-CA"/>
        </w:rPr>
        <w:t>conséquences</w:t>
      </w:r>
      <w:r w:rsidRPr="00703E60">
        <w:rPr>
          <w:rFonts w:eastAsia="Aptos" w:cs="Calibri"/>
          <w:color w:val="000000" w:themeColor="text1"/>
          <w:lang w:val="fr-CA"/>
        </w:rPr>
        <w:t xml:space="preserve"> importantes pour leurs risques</w:t>
      </w:r>
      <w:r>
        <w:rPr>
          <w:rFonts w:eastAsia="Aptos" w:cs="Calibri"/>
          <w:color w:val="000000" w:themeColor="text1"/>
          <w:lang w:val="fr-CA"/>
        </w:rPr>
        <w:t xml:space="preserve"> et leurs effets sur les droits</w:t>
      </w:r>
      <w:r w:rsidR="006E3A1D" w:rsidRPr="00A317D7">
        <w:rPr>
          <w:rFonts w:eastAsia="Aptos" w:cs="Calibri"/>
          <w:color w:val="000000" w:themeColor="text1"/>
          <w:lang w:val="fr-CA"/>
        </w:rPr>
        <w:t xml:space="preserve">. </w:t>
      </w:r>
    </w:p>
    <w:p w14:paraId="1CDE979D" w14:textId="77777777" w:rsidR="006E3A1D" w:rsidRPr="00A317D7" w:rsidRDefault="006E3A1D" w:rsidP="0099008B">
      <w:pPr>
        <w:contextualSpacing/>
        <w:rPr>
          <w:rFonts w:eastAsia="Aptos" w:cs="Calibri"/>
          <w:i/>
          <w:iCs/>
          <w:color w:val="FF0000"/>
          <w:lang w:val="fr-CA"/>
        </w:rPr>
      </w:pPr>
    </w:p>
    <w:p w14:paraId="5A4D6207" w14:textId="15DFB312" w:rsidR="006E3A1D" w:rsidRPr="00A317D7" w:rsidRDefault="00F31468" w:rsidP="0099008B">
      <w:pPr>
        <w:contextualSpacing/>
        <w:rPr>
          <w:rFonts w:eastAsia="Aptos" w:cs="Calibri"/>
          <w:i/>
          <w:iCs/>
          <w:color w:val="FF0000"/>
          <w:lang w:val="fr-CA"/>
        </w:rPr>
      </w:pPr>
      <w:r w:rsidRPr="00F31468">
        <w:rPr>
          <w:rFonts w:eastAsia="Aptos" w:cs="Calibri"/>
          <w:i/>
          <w:iCs/>
          <w:color w:val="FF0000"/>
          <w:lang w:val="fr-CA"/>
        </w:rPr>
        <w:t>En principe, êtes-vous d</w:t>
      </w:r>
      <w:r w:rsidR="00C62E0C">
        <w:rPr>
          <w:rFonts w:eastAsia="Aptos" w:cs="Calibri"/>
          <w:i/>
          <w:iCs/>
          <w:color w:val="FF0000"/>
          <w:lang w:val="fr-CA"/>
        </w:rPr>
        <w:t>’</w:t>
      </w:r>
      <w:r w:rsidRPr="00F31468">
        <w:rPr>
          <w:rFonts w:eastAsia="Aptos" w:cs="Calibri"/>
          <w:i/>
          <w:iCs/>
          <w:color w:val="FF0000"/>
          <w:lang w:val="fr-CA"/>
        </w:rPr>
        <w:t>accord pour que la province et les institutions de justice pénale de l</w:t>
      </w:r>
      <w:r w:rsidR="00C62E0C">
        <w:rPr>
          <w:rFonts w:eastAsia="Aptos" w:cs="Calibri"/>
          <w:i/>
          <w:iCs/>
          <w:color w:val="FF0000"/>
          <w:lang w:val="fr-CA"/>
        </w:rPr>
        <w:t>’</w:t>
      </w:r>
      <w:r w:rsidRPr="00F31468">
        <w:rPr>
          <w:rFonts w:eastAsia="Aptos" w:cs="Calibri"/>
          <w:i/>
          <w:iCs/>
          <w:color w:val="FF0000"/>
          <w:lang w:val="fr-CA"/>
        </w:rPr>
        <w:t>Ontario s</w:t>
      </w:r>
      <w:r w:rsidR="00C62E0C">
        <w:rPr>
          <w:rFonts w:eastAsia="Aptos" w:cs="Calibri"/>
          <w:i/>
          <w:iCs/>
          <w:color w:val="FF0000"/>
          <w:lang w:val="fr-CA"/>
        </w:rPr>
        <w:t>’</w:t>
      </w:r>
      <w:r w:rsidRPr="00F31468">
        <w:rPr>
          <w:rFonts w:eastAsia="Aptos" w:cs="Calibri"/>
          <w:i/>
          <w:iCs/>
          <w:color w:val="FF0000"/>
          <w:lang w:val="fr-CA"/>
        </w:rPr>
        <w:t>engagent explicitement à garantir que les systèmes d</w:t>
      </w:r>
      <w:r w:rsidR="00C62E0C">
        <w:rPr>
          <w:rFonts w:eastAsia="Aptos" w:cs="Calibri"/>
          <w:i/>
          <w:iCs/>
          <w:color w:val="FF0000"/>
          <w:lang w:val="fr-CA"/>
        </w:rPr>
        <w:t>’</w:t>
      </w:r>
      <w:r w:rsidRPr="00F31468">
        <w:rPr>
          <w:rFonts w:eastAsia="Aptos" w:cs="Calibri"/>
          <w:i/>
          <w:iCs/>
          <w:color w:val="FF0000"/>
          <w:lang w:val="fr-CA"/>
        </w:rPr>
        <w:t xml:space="preserve">IA utilisés dans le </w:t>
      </w:r>
      <w:r w:rsidR="005901FF">
        <w:rPr>
          <w:rFonts w:eastAsia="Aptos" w:cs="Calibri"/>
          <w:i/>
          <w:iCs/>
          <w:color w:val="FF0000"/>
          <w:lang w:val="fr-CA"/>
        </w:rPr>
        <w:t xml:space="preserve">secteur </w:t>
      </w:r>
      <w:r w:rsidRPr="00F31468">
        <w:rPr>
          <w:rFonts w:eastAsia="Aptos" w:cs="Calibri"/>
          <w:i/>
          <w:iCs/>
          <w:color w:val="FF0000"/>
          <w:lang w:val="fr-CA"/>
        </w:rPr>
        <w:t>pénal ne soient pas discriminatoires, protègent le droit à la vie privée et puissent être expliqués?</w:t>
      </w:r>
      <w:r w:rsidR="0099008B" w:rsidRPr="00A317D7">
        <w:rPr>
          <w:rFonts w:eastAsia="Aptos" w:cs="Calibri"/>
          <w:i/>
          <w:iCs/>
          <w:color w:val="FF0000"/>
          <w:lang w:val="fr-CA"/>
        </w:rPr>
        <w:t xml:space="preserve"> </w:t>
      </w:r>
    </w:p>
    <w:p w14:paraId="780E5E6E" w14:textId="77777777" w:rsidR="006E3A1D" w:rsidRPr="00A317D7" w:rsidRDefault="006E3A1D" w:rsidP="006E3A1D">
      <w:pPr>
        <w:contextualSpacing/>
        <w:rPr>
          <w:rFonts w:eastAsia="Aptos" w:cs="Calibri"/>
          <w:i/>
          <w:iCs/>
          <w:color w:val="FF0000"/>
          <w:lang w:val="fr-CA"/>
        </w:rPr>
      </w:pPr>
    </w:p>
    <w:p w14:paraId="199B76FB" w14:textId="7F912351" w:rsidR="00A8670B" w:rsidRPr="00A317D7" w:rsidRDefault="00F31468" w:rsidP="006E3A1D">
      <w:pPr>
        <w:contextualSpacing/>
        <w:rPr>
          <w:rFonts w:eastAsia="Aptos" w:cs="Calibri"/>
          <w:i/>
          <w:iCs/>
          <w:color w:val="FF0000"/>
          <w:lang w:val="fr-CA"/>
        </w:rPr>
      </w:pPr>
      <w:r w:rsidRPr="00F31468">
        <w:rPr>
          <w:rFonts w:eastAsia="Aptos" w:cs="Calibri"/>
          <w:i/>
          <w:iCs/>
          <w:color w:val="FF0000"/>
          <w:lang w:val="fr-CA"/>
        </w:rPr>
        <w:t>À votre avis, lesquels des éléments énumérés ci-dessus sont nécessaires pour garantir que les systèmes d</w:t>
      </w:r>
      <w:r w:rsidR="00C62E0C">
        <w:rPr>
          <w:rFonts w:eastAsia="Aptos" w:cs="Calibri"/>
          <w:i/>
          <w:iCs/>
          <w:color w:val="FF0000"/>
          <w:lang w:val="fr-CA"/>
        </w:rPr>
        <w:t>’</w:t>
      </w:r>
      <w:r w:rsidRPr="00F31468">
        <w:rPr>
          <w:rFonts w:eastAsia="Aptos" w:cs="Calibri"/>
          <w:i/>
          <w:iCs/>
          <w:color w:val="FF0000"/>
          <w:lang w:val="fr-CA"/>
        </w:rPr>
        <w:t xml:space="preserve">IA dans le </w:t>
      </w:r>
      <w:r w:rsidR="00E418E7">
        <w:rPr>
          <w:rFonts w:eastAsia="Aptos" w:cs="Calibri"/>
          <w:i/>
          <w:iCs/>
          <w:color w:val="FF0000"/>
          <w:lang w:val="fr-CA"/>
        </w:rPr>
        <w:t xml:space="preserve">secteur </w:t>
      </w:r>
      <w:r w:rsidRPr="00F31468">
        <w:rPr>
          <w:rFonts w:eastAsia="Aptos" w:cs="Calibri"/>
          <w:i/>
          <w:iCs/>
          <w:color w:val="FF0000"/>
          <w:lang w:val="fr-CA"/>
        </w:rPr>
        <w:t>pénal protègent les droits? La législation canadienne indique-t-elle quels éléments devraient être adoptés?</w:t>
      </w:r>
    </w:p>
    <w:p w14:paraId="02867A03" w14:textId="77777777" w:rsidR="00F31468" w:rsidRDefault="00F31468" w:rsidP="006E3A1D">
      <w:pPr>
        <w:contextualSpacing/>
        <w:rPr>
          <w:rFonts w:eastAsia="Aptos" w:cs="Calibri"/>
          <w:i/>
          <w:iCs/>
          <w:color w:val="FF0000"/>
          <w:lang w:val="fr-CA"/>
        </w:rPr>
      </w:pPr>
    </w:p>
    <w:p w14:paraId="7AD05D5A" w14:textId="70D04CDD" w:rsidR="00A8670B" w:rsidRPr="00F31468" w:rsidRDefault="00F31468" w:rsidP="006E3A1D">
      <w:pPr>
        <w:contextualSpacing/>
        <w:rPr>
          <w:rFonts w:eastAsia="Aptos" w:cs="Calibri"/>
          <w:i/>
          <w:iCs/>
          <w:color w:val="FF0000"/>
          <w:lang w:val="fr-CA"/>
        </w:rPr>
      </w:pPr>
      <w:r w:rsidRPr="00F31468">
        <w:rPr>
          <w:rFonts w:eastAsia="Aptos" w:cs="Calibri"/>
          <w:i/>
          <w:iCs/>
          <w:color w:val="FF0000"/>
          <w:lang w:val="fr-CA"/>
        </w:rPr>
        <w:t>Quelle est la meilleure façon d</w:t>
      </w:r>
      <w:r w:rsidR="00C62E0C">
        <w:rPr>
          <w:rFonts w:eastAsia="Aptos" w:cs="Calibri"/>
          <w:i/>
          <w:iCs/>
          <w:color w:val="FF0000"/>
          <w:lang w:val="fr-CA"/>
        </w:rPr>
        <w:t>’</w:t>
      </w:r>
      <w:r w:rsidRPr="00F31468">
        <w:rPr>
          <w:rFonts w:eastAsia="Aptos" w:cs="Calibri"/>
          <w:i/>
          <w:iCs/>
          <w:color w:val="FF0000"/>
          <w:lang w:val="fr-CA"/>
        </w:rPr>
        <w:t xml:space="preserve">évaluer </w:t>
      </w:r>
      <w:r w:rsidR="00C00B53" w:rsidRPr="00C00B53">
        <w:rPr>
          <w:rFonts w:eastAsia="Aptos" w:cs="Calibri"/>
          <w:i/>
          <w:iCs/>
          <w:color w:val="FF0000"/>
          <w:lang w:val="fr-CA"/>
        </w:rPr>
        <w:t xml:space="preserve">l’incidence </w:t>
      </w:r>
      <w:r w:rsidRPr="00F31468">
        <w:rPr>
          <w:rFonts w:eastAsia="Aptos" w:cs="Calibri"/>
          <w:i/>
          <w:iCs/>
          <w:color w:val="FF0000"/>
          <w:lang w:val="fr-CA"/>
        </w:rPr>
        <w:t>des différents systèmes d</w:t>
      </w:r>
      <w:r w:rsidR="00C62E0C">
        <w:rPr>
          <w:rFonts w:eastAsia="Aptos" w:cs="Calibri"/>
          <w:i/>
          <w:iCs/>
          <w:color w:val="FF0000"/>
          <w:lang w:val="fr-CA"/>
        </w:rPr>
        <w:t>’</w:t>
      </w:r>
      <w:r w:rsidRPr="00F31468">
        <w:rPr>
          <w:rFonts w:eastAsia="Aptos" w:cs="Calibri"/>
          <w:i/>
          <w:iCs/>
          <w:color w:val="FF0000"/>
          <w:lang w:val="fr-CA"/>
        </w:rPr>
        <w:t xml:space="preserve">IA dans le </w:t>
      </w:r>
      <w:r w:rsidR="00E418E7">
        <w:rPr>
          <w:rFonts w:eastAsia="Aptos" w:cs="Calibri"/>
          <w:i/>
          <w:iCs/>
          <w:color w:val="FF0000"/>
          <w:lang w:val="fr-CA"/>
        </w:rPr>
        <w:t xml:space="preserve">secteur </w:t>
      </w:r>
      <w:r w:rsidRPr="00F31468">
        <w:rPr>
          <w:rFonts w:eastAsia="Aptos" w:cs="Calibri"/>
          <w:i/>
          <w:iCs/>
          <w:color w:val="FF0000"/>
          <w:lang w:val="fr-CA"/>
        </w:rPr>
        <w:t>pénal sur les droits? Faut-il prévoir une échelle mobile des exigences en matière d</w:t>
      </w:r>
      <w:r w:rsidR="00C62E0C">
        <w:rPr>
          <w:rFonts w:eastAsia="Aptos" w:cs="Calibri"/>
          <w:i/>
          <w:iCs/>
          <w:color w:val="FF0000"/>
          <w:lang w:val="fr-CA"/>
        </w:rPr>
        <w:t>’</w:t>
      </w:r>
      <w:r w:rsidRPr="00F31468">
        <w:rPr>
          <w:rFonts w:eastAsia="Aptos" w:cs="Calibri"/>
          <w:i/>
          <w:iCs/>
          <w:color w:val="FF0000"/>
          <w:lang w:val="fr-CA"/>
        </w:rPr>
        <w:t>atténuation en fonction du risque présenté par le système?</w:t>
      </w:r>
    </w:p>
    <w:p w14:paraId="5BBAB995" w14:textId="261DE571" w:rsidR="00A8670B" w:rsidRPr="00A317D7" w:rsidRDefault="00A8670B" w:rsidP="006E3A1D">
      <w:pPr>
        <w:contextualSpacing/>
        <w:rPr>
          <w:rFonts w:eastAsia="Aptos" w:cs="Calibri"/>
          <w:i/>
          <w:iCs/>
          <w:color w:val="FF0000"/>
          <w:lang w:val="fr-CA"/>
        </w:rPr>
      </w:pPr>
    </w:p>
    <w:p w14:paraId="68AF5745" w14:textId="23559E57" w:rsidR="004548AC" w:rsidRPr="00A317D7" w:rsidRDefault="004548AC" w:rsidP="004548AC">
      <w:pPr>
        <w:pStyle w:val="Heading2"/>
        <w:numPr>
          <w:ilvl w:val="0"/>
          <w:numId w:val="35"/>
        </w:numPr>
        <w:rPr>
          <w:rFonts w:eastAsia="Aptos"/>
          <w:lang w:val="fr-CA"/>
        </w:rPr>
      </w:pPr>
      <w:bookmarkStart w:id="78" w:name="_Toc197353499"/>
      <w:bookmarkStart w:id="79" w:name="_Toc197599898"/>
      <w:r w:rsidRPr="00A317D7">
        <w:rPr>
          <w:rFonts w:eastAsia="Aptos"/>
          <w:lang w:val="fr-CA"/>
        </w:rPr>
        <w:t>D</w:t>
      </w:r>
      <w:r w:rsidR="00331AAB">
        <w:rPr>
          <w:rFonts w:eastAsia="Aptos"/>
          <w:lang w:val="fr-CA"/>
        </w:rPr>
        <w:t>ivulgation</w:t>
      </w:r>
      <w:bookmarkEnd w:id="78"/>
      <w:bookmarkEnd w:id="79"/>
      <w:r w:rsidRPr="00A317D7">
        <w:rPr>
          <w:rFonts w:eastAsia="Aptos"/>
          <w:lang w:val="fr-CA"/>
        </w:rPr>
        <w:t xml:space="preserve"> </w:t>
      </w:r>
    </w:p>
    <w:p w14:paraId="29B3DC51" w14:textId="6C16D07E" w:rsidR="004548AC" w:rsidRPr="00A317D7" w:rsidRDefault="00F31468" w:rsidP="004548AC">
      <w:pPr>
        <w:spacing w:before="120" w:after="120" w:line="240" w:lineRule="auto"/>
        <w:rPr>
          <w:rFonts w:cstheme="minorHAnsi"/>
          <w:szCs w:val="21"/>
          <w:lang w:val="fr-CA"/>
        </w:rPr>
      </w:pPr>
      <w:r w:rsidRPr="00F31468">
        <w:rPr>
          <w:rFonts w:cstheme="minorHAnsi"/>
          <w:szCs w:val="21"/>
          <w:lang w:val="fr-CA"/>
        </w:rPr>
        <w:t>La divulgation est un thème récurrent dans les législations et les cadres r</w:t>
      </w:r>
      <w:r w:rsidR="00C62E0C">
        <w:rPr>
          <w:rFonts w:cstheme="minorHAnsi"/>
          <w:szCs w:val="21"/>
          <w:lang w:val="fr-CA"/>
        </w:rPr>
        <w:t>è</w:t>
      </w:r>
      <w:r w:rsidRPr="00F31468">
        <w:rPr>
          <w:rFonts w:cstheme="minorHAnsi"/>
          <w:szCs w:val="21"/>
          <w:lang w:val="fr-CA"/>
        </w:rPr>
        <w:t xml:space="preserve">glementaires relatifs à </w:t>
      </w:r>
      <w:r w:rsidR="00E418E7">
        <w:rPr>
          <w:rFonts w:cstheme="minorHAnsi"/>
          <w:szCs w:val="21"/>
          <w:lang w:val="fr-CA"/>
        </w:rPr>
        <w:t xml:space="preserve">la fiabilité de </w:t>
      </w:r>
      <w:r w:rsidR="00105D48">
        <w:rPr>
          <w:rFonts w:cstheme="minorHAnsi"/>
          <w:szCs w:val="21"/>
          <w:lang w:val="fr-CA"/>
        </w:rPr>
        <w:t>l’</w:t>
      </w:r>
      <w:r w:rsidR="00105D48" w:rsidRPr="00105D48">
        <w:rPr>
          <w:rFonts w:cstheme="minorHAnsi"/>
          <w:szCs w:val="21"/>
          <w:lang w:val="fr-CA"/>
        </w:rPr>
        <w:t xml:space="preserve">IA dans le </w:t>
      </w:r>
      <w:r w:rsidR="00E418E7">
        <w:rPr>
          <w:rFonts w:cstheme="minorHAnsi"/>
          <w:szCs w:val="21"/>
          <w:lang w:val="fr-CA"/>
        </w:rPr>
        <w:t xml:space="preserve">système </w:t>
      </w:r>
      <w:r w:rsidR="00105D48" w:rsidRPr="00105D48">
        <w:rPr>
          <w:rFonts w:cstheme="minorHAnsi"/>
          <w:szCs w:val="21"/>
          <w:lang w:val="fr-CA"/>
        </w:rPr>
        <w:t>de justice pénale</w:t>
      </w:r>
      <w:r w:rsidRPr="00F31468">
        <w:rPr>
          <w:rFonts w:cstheme="minorHAnsi"/>
          <w:szCs w:val="21"/>
          <w:lang w:val="fr-CA"/>
        </w:rPr>
        <w:t>. Il existe plusieurs options quant au moment, à la forme et au contenu des obligations de divulgation</w:t>
      </w:r>
      <w:r w:rsidR="004548AC" w:rsidRPr="00A317D7">
        <w:rPr>
          <w:rFonts w:cstheme="minorHAnsi"/>
          <w:szCs w:val="21"/>
          <w:lang w:val="fr-CA"/>
        </w:rPr>
        <w:t xml:space="preserve">. </w:t>
      </w:r>
    </w:p>
    <w:p w14:paraId="7417D8A1" w14:textId="77777777" w:rsidR="004548AC" w:rsidRPr="00A317D7" w:rsidRDefault="004548AC" w:rsidP="004548AC">
      <w:pPr>
        <w:spacing w:after="120" w:line="240" w:lineRule="auto"/>
        <w:rPr>
          <w:rFonts w:cstheme="minorHAnsi"/>
          <w:i/>
          <w:iCs/>
          <w:szCs w:val="21"/>
          <w:lang w:val="fr-CA"/>
        </w:rPr>
      </w:pPr>
    </w:p>
    <w:p w14:paraId="51DE8416" w14:textId="13A6D806" w:rsidR="004548AC" w:rsidRPr="00A317D7" w:rsidRDefault="00F31468" w:rsidP="004548AC">
      <w:pPr>
        <w:spacing w:line="240" w:lineRule="auto"/>
        <w:rPr>
          <w:rFonts w:cstheme="minorHAnsi"/>
          <w:i/>
          <w:iCs/>
          <w:color w:val="FF0000"/>
          <w:szCs w:val="21"/>
          <w:lang w:val="fr-CA"/>
        </w:rPr>
      </w:pPr>
      <w:r w:rsidRPr="00F31468">
        <w:rPr>
          <w:rFonts w:cstheme="minorHAnsi"/>
          <w:i/>
          <w:iCs/>
          <w:color w:val="FF0000"/>
          <w:szCs w:val="21"/>
          <w:lang w:val="fr-CA"/>
        </w:rPr>
        <w:lastRenderedPageBreak/>
        <w:t>Comment et dans quelle mesure les systèmes d</w:t>
      </w:r>
      <w:r w:rsidR="00C62E0C">
        <w:rPr>
          <w:rFonts w:cstheme="minorHAnsi"/>
          <w:i/>
          <w:iCs/>
          <w:color w:val="FF0000"/>
          <w:szCs w:val="21"/>
          <w:lang w:val="fr-CA"/>
        </w:rPr>
        <w:t>’</w:t>
      </w:r>
      <w:r w:rsidRPr="00F31468">
        <w:rPr>
          <w:rFonts w:cstheme="minorHAnsi"/>
          <w:i/>
          <w:iCs/>
          <w:color w:val="FF0000"/>
          <w:szCs w:val="21"/>
          <w:lang w:val="fr-CA"/>
        </w:rPr>
        <w:t xml:space="preserve">IA dans le </w:t>
      </w:r>
      <w:r w:rsidR="00E418E7">
        <w:rPr>
          <w:rFonts w:eastAsia="Aptos" w:cs="Calibri"/>
          <w:i/>
          <w:iCs/>
          <w:color w:val="FF0000"/>
          <w:lang w:val="fr-CA"/>
        </w:rPr>
        <w:t xml:space="preserve">secteur </w:t>
      </w:r>
      <w:r w:rsidRPr="00F31468">
        <w:rPr>
          <w:rFonts w:cstheme="minorHAnsi"/>
          <w:i/>
          <w:iCs/>
          <w:color w:val="FF0000"/>
          <w:szCs w:val="21"/>
          <w:lang w:val="fr-CA"/>
        </w:rPr>
        <w:t>pénal doivent-ils être divulgués?</w:t>
      </w:r>
    </w:p>
    <w:p w14:paraId="607E1389" w14:textId="169619E7" w:rsidR="004548AC" w:rsidRPr="00A317D7" w:rsidRDefault="00F31468" w:rsidP="004548AC">
      <w:pPr>
        <w:spacing w:line="240" w:lineRule="auto"/>
        <w:rPr>
          <w:rFonts w:cstheme="minorHAnsi"/>
          <w:i/>
          <w:iCs/>
          <w:color w:val="FF0000"/>
          <w:szCs w:val="21"/>
          <w:lang w:val="fr-CA"/>
        </w:rPr>
      </w:pPr>
      <w:r w:rsidRPr="00F31468">
        <w:rPr>
          <w:rFonts w:cstheme="minorHAnsi"/>
          <w:i/>
          <w:iCs/>
          <w:color w:val="FF0000"/>
          <w:szCs w:val="21"/>
          <w:lang w:val="fr-CA"/>
        </w:rPr>
        <w:t>Faut-il mettre en place un registre obligatoire ou un rapport public sur l</w:t>
      </w:r>
      <w:r w:rsidR="00C62E0C">
        <w:rPr>
          <w:rFonts w:cstheme="minorHAnsi"/>
          <w:i/>
          <w:iCs/>
          <w:color w:val="FF0000"/>
          <w:szCs w:val="21"/>
          <w:lang w:val="fr-CA"/>
        </w:rPr>
        <w:t>’</w:t>
      </w:r>
      <w:r w:rsidRPr="00F31468">
        <w:rPr>
          <w:rFonts w:cstheme="minorHAnsi"/>
          <w:i/>
          <w:iCs/>
          <w:color w:val="FF0000"/>
          <w:szCs w:val="21"/>
          <w:lang w:val="fr-CA"/>
        </w:rPr>
        <w:t>IA? Si oui, devraient-ils contenir</w:t>
      </w:r>
      <w:r>
        <w:rPr>
          <w:rFonts w:cstheme="minorHAnsi"/>
          <w:i/>
          <w:iCs/>
          <w:color w:val="FF0000"/>
          <w:szCs w:val="21"/>
          <w:lang w:val="fr-CA"/>
        </w:rPr>
        <w:t> :</w:t>
      </w:r>
    </w:p>
    <w:p w14:paraId="4AC0A60A" w14:textId="3B1E1F58" w:rsidR="00F31468" w:rsidRPr="00F31468" w:rsidRDefault="00F31468" w:rsidP="00C00B53">
      <w:pPr>
        <w:pStyle w:val="ListParagraph"/>
        <w:numPr>
          <w:ilvl w:val="1"/>
          <w:numId w:val="10"/>
        </w:numPr>
        <w:spacing w:line="240" w:lineRule="auto"/>
        <w:rPr>
          <w:rFonts w:cstheme="minorHAnsi"/>
          <w:i/>
          <w:iCs/>
          <w:color w:val="FF0000"/>
          <w:szCs w:val="21"/>
          <w:lang w:val="fr-CA"/>
        </w:rPr>
      </w:pPr>
      <w:r w:rsidRPr="00F31468">
        <w:rPr>
          <w:rFonts w:cstheme="minorHAnsi"/>
          <w:i/>
          <w:iCs/>
          <w:color w:val="FF0000"/>
          <w:szCs w:val="21"/>
          <w:lang w:val="fr-CA"/>
        </w:rPr>
        <w:t xml:space="preserve">Une analyse </w:t>
      </w:r>
      <w:r w:rsidR="00E418E7">
        <w:rPr>
          <w:rFonts w:cstheme="minorHAnsi"/>
          <w:i/>
          <w:iCs/>
          <w:color w:val="FF0000"/>
          <w:szCs w:val="21"/>
          <w:lang w:val="fr-CA"/>
        </w:rPr>
        <w:t>d</w:t>
      </w:r>
      <w:r w:rsidR="00C00B53" w:rsidRPr="00C00B53">
        <w:rPr>
          <w:rFonts w:cstheme="minorHAnsi"/>
          <w:i/>
          <w:iCs/>
          <w:color w:val="FF0000"/>
          <w:szCs w:val="21"/>
          <w:lang w:val="fr-CA"/>
        </w:rPr>
        <w:t xml:space="preserve">’incidence </w:t>
      </w:r>
      <w:r w:rsidRPr="00F31468">
        <w:rPr>
          <w:rFonts w:cstheme="minorHAnsi"/>
          <w:i/>
          <w:iCs/>
          <w:color w:val="FF0000"/>
          <w:szCs w:val="21"/>
          <w:lang w:val="fr-CA"/>
        </w:rPr>
        <w:t>détaillée ou sommaire?</w:t>
      </w:r>
    </w:p>
    <w:p w14:paraId="5BAEB435" w14:textId="189C4069" w:rsidR="00F31468" w:rsidRPr="00F31468" w:rsidRDefault="00F31468" w:rsidP="00F31468">
      <w:pPr>
        <w:pStyle w:val="ListParagraph"/>
        <w:numPr>
          <w:ilvl w:val="1"/>
          <w:numId w:val="10"/>
        </w:numPr>
        <w:spacing w:line="240" w:lineRule="auto"/>
        <w:rPr>
          <w:rFonts w:cstheme="minorHAnsi"/>
          <w:i/>
          <w:iCs/>
          <w:color w:val="FF0000"/>
          <w:szCs w:val="21"/>
          <w:lang w:val="fr-CA"/>
        </w:rPr>
      </w:pPr>
      <w:r w:rsidRPr="00F31468">
        <w:rPr>
          <w:rFonts w:cstheme="minorHAnsi"/>
          <w:i/>
          <w:iCs/>
          <w:color w:val="FF0000"/>
          <w:szCs w:val="21"/>
          <w:lang w:val="fr-CA"/>
        </w:rPr>
        <w:t>Une description complète ou sommaire des données d</w:t>
      </w:r>
      <w:r w:rsidR="00C62E0C">
        <w:rPr>
          <w:rFonts w:cstheme="minorHAnsi"/>
          <w:i/>
          <w:iCs/>
          <w:color w:val="FF0000"/>
          <w:szCs w:val="21"/>
          <w:lang w:val="fr-CA"/>
        </w:rPr>
        <w:t>’</w:t>
      </w:r>
      <w:r w:rsidR="00E418E7">
        <w:rPr>
          <w:rFonts w:cstheme="minorHAnsi"/>
          <w:i/>
          <w:iCs/>
          <w:color w:val="FF0000"/>
          <w:szCs w:val="21"/>
          <w:lang w:val="fr-CA"/>
        </w:rPr>
        <w:t>apprentissage</w:t>
      </w:r>
      <w:r w:rsidRPr="00F31468">
        <w:rPr>
          <w:rFonts w:cstheme="minorHAnsi"/>
          <w:i/>
          <w:iCs/>
          <w:color w:val="FF0000"/>
          <w:szCs w:val="21"/>
          <w:lang w:val="fr-CA"/>
        </w:rPr>
        <w:t>?</w:t>
      </w:r>
    </w:p>
    <w:p w14:paraId="6E56D3BA" w14:textId="2578BD8B" w:rsidR="004548AC" w:rsidRPr="00A317D7" w:rsidRDefault="00F31468" w:rsidP="00F31468">
      <w:pPr>
        <w:pStyle w:val="ListParagraph"/>
        <w:numPr>
          <w:ilvl w:val="1"/>
          <w:numId w:val="10"/>
        </w:numPr>
        <w:spacing w:line="240" w:lineRule="auto"/>
        <w:rPr>
          <w:rFonts w:cstheme="minorHAnsi"/>
          <w:i/>
          <w:iCs/>
          <w:color w:val="FF0000"/>
          <w:szCs w:val="21"/>
          <w:lang w:val="fr-CA"/>
        </w:rPr>
      </w:pPr>
      <w:r w:rsidRPr="00F31468">
        <w:rPr>
          <w:rFonts w:cstheme="minorHAnsi"/>
          <w:i/>
          <w:iCs/>
          <w:color w:val="FF0000"/>
          <w:szCs w:val="21"/>
          <w:lang w:val="fr-CA"/>
        </w:rPr>
        <w:t>Des données de sortie pour faciliter l</w:t>
      </w:r>
      <w:r w:rsidR="00C62E0C">
        <w:rPr>
          <w:rFonts w:cstheme="minorHAnsi"/>
          <w:i/>
          <w:iCs/>
          <w:color w:val="FF0000"/>
          <w:szCs w:val="21"/>
          <w:lang w:val="fr-CA"/>
        </w:rPr>
        <w:t>’</w:t>
      </w:r>
      <w:r w:rsidRPr="00F31468">
        <w:rPr>
          <w:rFonts w:cstheme="minorHAnsi"/>
          <w:i/>
          <w:iCs/>
          <w:color w:val="FF0000"/>
          <w:szCs w:val="21"/>
          <w:lang w:val="fr-CA"/>
        </w:rPr>
        <w:t>audit indépendant, la supervision et le suivi des performances?</w:t>
      </w:r>
    </w:p>
    <w:p w14:paraId="4AC0A8A7" w14:textId="4C704737" w:rsidR="00C9376C" w:rsidRPr="00A317D7" w:rsidRDefault="00F31468" w:rsidP="004548AC">
      <w:pPr>
        <w:spacing w:line="240" w:lineRule="auto"/>
        <w:rPr>
          <w:lang w:val="fr-CA"/>
        </w:rPr>
      </w:pPr>
      <w:r w:rsidRPr="00F31468">
        <w:rPr>
          <w:rFonts w:cstheme="minorHAnsi"/>
          <w:i/>
          <w:iCs/>
          <w:color w:val="FF0000"/>
          <w:szCs w:val="21"/>
          <w:lang w:val="fr-CA"/>
        </w:rPr>
        <w:t>Comment promouvoir la divulgation tout en protégeant d</w:t>
      </w:r>
      <w:r w:rsidR="00C62E0C">
        <w:rPr>
          <w:rFonts w:cstheme="minorHAnsi"/>
          <w:i/>
          <w:iCs/>
          <w:color w:val="FF0000"/>
          <w:szCs w:val="21"/>
          <w:lang w:val="fr-CA"/>
        </w:rPr>
        <w:t>’</w:t>
      </w:r>
      <w:r w:rsidRPr="00F31468">
        <w:rPr>
          <w:rFonts w:cstheme="minorHAnsi"/>
          <w:i/>
          <w:iCs/>
          <w:color w:val="FF0000"/>
          <w:szCs w:val="21"/>
          <w:lang w:val="fr-CA"/>
        </w:rPr>
        <w:t xml:space="preserve">autres objectifs légitimes, tels que </w:t>
      </w:r>
      <w:r w:rsidR="00F361BA">
        <w:rPr>
          <w:rFonts w:cstheme="minorHAnsi"/>
          <w:i/>
          <w:iCs/>
          <w:color w:val="FF0000"/>
          <w:szCs w:val="21"/>
          <w:lang w:val="fr-CA"/>
        </w:rPr>
        <w:t>la confidentialité d</w:t>
      </w:r>
      <w:r w:rsidRPr="00F31468">
        <w:rPr>
          <w:rFonts w:cstheme="minorHAnsi"/>
          <w:i/>
          <w:iCs/>
          <w:color w:val="FF0000"/>
          <w:szCs w:val="21"/>
          <w:lang w:val="fr-CA"/>
        </w:rPr>
        <w:t>es enquête</w:t>
      </w:r>
      <w:r w:rsidR="00D7607E">
        <w:rPr>
          <w:rFonts w:cstheme="minorHAnsi"/>
          <w:i/>
          <w:iCs/>
          <w:color w:val="FF0000"/>
          <w:szCs w:val="21"/>
          <w:lang w:val="fr-CA"/>
        </w:rPr>
        <w:t>s</w:t>
      </w:r>
      <w:r w:rsidRPr="00F31468">
        <w:rPr>
          <w:rFonts w:cstheme="minorHAnsi"/>
          <w:i/>
          <w:iCs/>
          <w:color w:val="FF0000"/>
          <w:szCs w:val="21"/>
          <w:lang w:val="fr-CA"/>
        </w:rPr>
        <w:t>?</w:t>
      </w:r>
      <w:r w:rsidR="004548AC" w:rsidRPr="00A317D7">
        <w:rPr>
          <w:rFonts w:cstheme="minorHAnsi"/>
          <w:i/>
          <w:iCs/>
          <w:color w:val="FF0000"/>
          <w:szCs w:val="21"/>
          <w:lang w:val="fr-CA"/>
        </w:rPr>
        <w:t xml:space="preserve"> </w:t>
      </w:r>
      <w:r w:rsidR="004548AC" w:rsidRPr="00A317D7">
        <w:rPr>
          <w:rFonts w:cstheme="minorHAnsi"/>
          <w:i/>
          <w:iCs/>
          <w:szCs w:val="21"/>
          <w:lang w:val="fr-CA"/>
        </w:rPr>
        <w:br/>
      </w:r>
    </w:p>
    <w:p w14:paraId="6403D509" w14:textId="6283F994" w:rsidR="0057301C" w:rsidRPr="00A317D7" w:rsidRDefault="00331AAB" w:rsidP="00C00B53">
      <w:pPr>
        <w:pStyle w:val="Heading2"/>
        <w:numPr>
          <w:ilvl w:val="0"/>
          <w:numId w:val="35"/>
        </w:numPr>
        <w:rPr>
          <w:lang w:val="fr-CA"/>
        </w:rPr>
      </w:pPr>
      <w:bookmarkStart w:id="80" w:name="_Toc197599899"/>
      <w:r w:rsidRPr="00331AAB">
        <w:rPr>
          <w:lang w:val="fr-CA"/>
        </w:rPr>
        <w:t xml:space="preserve">Évaluations </w:t>
      </w:r>
      <w:r w:rsidR="00C00B53">
        <w:rPr>
          <w:lang w:val="fr-CA"/>
        </w:rPr>
        <w:t xml:space="preserve">de </w:t>
      </w:r>
      <w:r w:rsidR="00C00B53" w:rsidRPr="00C00B53">
        <w:rPr>
          <w:lang w:val="fr-CA"/>
        </w:rPr>
        <w:t>l’incidence</w:t>
      </w:r>
      <w:bookmarkEnd w:id="80"/>
    </w:p>
    <w:p w14:paraId="18C5E5B5" w14:textId="005B57AB" w:rsidR="0057301C" w:rsidRPr="00A317D7" w:rsidRDefault="00F31468" w:rsidP="00C9376C">
      <w:pPr>
        <w:spacing w:before="120" w:after="120" w:line="240" w:lineRule="auto"/>
        <w:rPr>
          <w:rFonts w:cstheme="minorHAnsi"/>
          <w:szCs w:val="21"/>
          <w:lang w:val="fr-CA"/>
        </w:rPr>
      </w:pPr>
      <w:r w:rsidRPr="00F31468">
        <w:rPr>
          <w:rFonts w:cstheme="minorHAnsi"/>
          <w:szCs w:val="21"/>
          <w:lang w:val="fr-CA"/>
        </w:rPr>
        <w:t xml:space="preserve">La nécessité de réaliser des analyses </w:t>
      </w:r>
      <w:r w:rsidR="00C00B53">
        <w:rPr>
          <w:rFonts w:cstheme="minorHAnsi"/>
          <w:szCs w:val="21"/>
          <w:lang w:val="fr-CA"/>
        </w:rPr>
        <w:t xml:space="preserve">de </w:t>
      </w:r>
      <w:r w:rsidR="00C00B53" w:rsidRPr="00C00B53">
        <w:rPr>
          <w:rFonts w:cstheme="minorHAnsi"/>
          <w:szCs w:val="21"/>
          <w:lang w:val="fr-CA"/>
        </w:rPr>
        <w:t xml:space="preserve">l’incidence </w:t>
      </w:r>
      <w:r w:rsidRPr="00F31468">
        <w:rPr>
          <w:rFonts w:cstheme="minorHAnsi"/>
          <w:szCs w:val="21"/>
          <w:lang w:val="fr-CA"/>
        </w:rPr>
        <w:t>est un thème récurrent dans la législation et les cadres relatifs à l</w:t>
      </w:r>
      <w:r w:rsidR="00C62E0C">
        <w:rPr>
          <w:rFonts w:cstheme="minorHAnsi"/>
          <w:szCs w:val="21"/>
          <w:lang w:val="fr-CA"/>
        </w:rPr>
        <w:t>’</w:t>
      </w:r>
      <w:r w:rsidRPr="00F31468">
        <w:rPr>
          <w:rFonts w:cstheme="minorHAnsi"/>
          <w:szCs w:val="21"/>
          <w:lang w:val="fr-CA"/>
        </w:rPr>
        <w:t xml:space="preserve">IA dans le </w:t>
      </w:r>
      <w:r w:rsidR="00E418E7">
        <w:rPr>
          <w:rFonts w:cstheme="minorHAnsi"/>
          <w:szCs w:val="21"/>
          <w:lang w:val="fr-CA"/>
        </w:rPr>
        <w:t xml:space="preserve">système de justice </w:t>
      </w:r>
      <w:r w:rsidRPr="00F31468">
        <w:rPr>
          <w:rFonts w:cstheme="minorHAnsi"/>
          <w:szCs w:val="21"/>
          <w:lang w:val="fr-CA"/>
        </w:rPr>
        <w:t>pénal</w:t>
      </w:r>
      <w:r w:rsidR="00E418E7">
        <w:rPr>
          <w:rFonts w:cstheme="minorHAnsi"/>
          <w:szCs w:val="21"/>
          <w:lang w:val="fr-CA"/>
        </w:rPr>
        <w:t>e</w:t>
      </w:r>
      <w:r w:rsidRPr="00F31468">
        <w:rPr>
          <w:rFonts w:cstheme="minorHAnsi"/>
          <w:szCs w:val="21"/>
          <w:lang w:val="fr-CA"/>
        </w:rPr>
        <w:t>. Plusieurs choix s</w:t>
      </w:r>
      <w:r w:rsidR="00C62E0C">
        <w:rPr>
          <w:rFonts w:cstheme="minorHAnsi"/>
          <w:szCs w:val="21"/>
          <w:lang w:val="fr-CA"/>
        </w:rPr>
        <w:t>’</w:t>
      </w:r>
      <w:r w:rsidRPr="00F31468">
        <w:rPr>
          <w:rFonts w:cstheme="minorHAnsi"/>
          <w:szCs w:val="21"/>
          <w:lang w:val="fr-CA"/>
        </w:rPr>
        <w:t xml:space="preserve">offrent en ce qui concerne le moment, la forme et le contenu des analyses </w:t>
      </w:r>
      <w:r w:rsidR="00C00B53">
        <w:rPr>
          <w:rFonts w:cstheme="minorHAnsi"/>
          <w:szCs w:val="21"/>
          <w:lang w:val="fr-CA"/>
        </w:rPr>
        <w:t>d</w:t>
      </w:r>
      <w:r w:rsidR="00C00B53">
        <w:rPr>
          <w:lang w:val="fr-CA"/>
        </w:rPr>
        <w:t>’</w:t>
      </w:r>
      <w:r w:rsidR="00C00B53" w:rsidRPr="00703E60">
        <w:rPr>
          <w:lang w:val="fr-CA"/>
        </w:rPr>
        <w:t>i</w:t>
      </w:r>
      <w:r w:rsidR="00C00B53">
        <w:rPr>
          <w:lang w:val="fr-CA"/>
        </w:rPr>
        <w:t>ncidence</w:t>
      </w:r>
      <w:r w:rsidR="00662091" w:rsidRPr="00A317D7">
        <w:rPr>
          <w:rFonts w:cstheme="minorHAnsi"/>
          <w:szCs w:val="21"/>
          <w:lang w:val="fr-CA"/>
        </w:rPr>
        <w:t xml:space="preserve">. </w:t>
      </w:r>
    </w:p>
    <w:p w14:paraId="7F9C7118" w14:textId="77777777" w:rsidR="0057301C" w:rsidRPr="00A317D7" w:rsidRDefault="0057301C" w:rsidP="0057301C">
      <w:pPr>
        <w:pStyle w:val="ListParagraph"/>
        <w:spacing w:before="120" w:after="120" w:line="240" w:lineRule="auto"/>
        <w:rPr>
          <w:rFonts w:cstheme="minorHAnsi"/>
          <w:szCs w:val="21"/>
          <w:lang w:val="fr-CA"/>
        </w:rPr>
      </w:pPr>
    </w:p>
    <w:p w14:paraId="78238B6D" w14:textId="5D4262A0" w:rsidR="00AC6965" w:rsidRPr="00A317D7" w:rsidRDefault="00F31468" w:rsidP="00AC6965">
      <w:pPr>
        <w:pStyle w:val="ListParagraph"/>
        <w:spacing w:before="120" w:after="120" w:line="240" w:lineRule="auto"/>
        <w:ind w:left="0"/>
        <w:rPr>
          <w:rFonts w:cstheme="minorHAnsi"/>
          <w:i/>
          <w:iCs/>
          <w:color w:val="FF0000"/>
          <w:szCs w:val="21"/>
          <w:lang w:val="fr-CA"/>
        </w:rPr>
      </w:pPr>
      <w:r w:rsidRPr="00F31468">
        <w:rPr>
          <w:rFonts w:cstheme="minorHAnsi"/>
          <w:i/>
          <w:iCs/>
          <w:color w:val="FF0000"/>
          <w:szCs w:val="21"/>
          <w:lang w:val="fr-CA"/>
        </w:rPr>
        <w:t xml:space="preserve">La province devrait-elle exiger une évaluation obligatoire de </w:t>
      </w:r>
      <w:r w:rsidR="00C00B53" w:rsidRPr="00C00B53">
        <w:rPr>
          <w:rFonts w:cstheme="minorHAnsi"/>
          <w:i/>
          <w:iCs/>
          <w:color w:val="FF0000"/>
          <w:szCs w:val="21"/>
          <w:lang w:val="fr-CA"/>
        </w:rPr>
        <w:t xml:space="preserve">l’incidence </w:t>
      </w:r>
      <w:r w:rsidRPr="00F31468">
        <w:rPr>
          <w:rFonts w:cstheme="minorHAnsi"/>
          <w:i/>
          <w:iCs/>
          <w:color w:val="FF0000"/>
          <w:szCs w:val="21"/>
          <w:lang w:val="fr-CA"/>
        </w:rPr>
        <w:t>des systèmes d</w:t>
      </w:r>
      <w:r w:rsidR="00C62E0C">
        <w:rPr>
          <w:rFonts w:cstheme="minorHAnsi"/>
          <w:i/>
          <w:iCs/>
          <w:color w:val="FF0000"/>
          <w:szCs w:val="21"/>
          <w:lang w:val="fr-CA"/>
        </w:rPr>
        <w:t>’</w:t>
      </w:r>
      <w:r w:rsidRPr="00F31468">
        <w:rPr>
          <w:rFonts w:cstheme="minorHAnsi"/>
          <w:i/>
          <w:iCs/>
          <w:color w:val="FF0000"/>
          <w:szCs w:val="21"/>
          <w:lang w:val="fr-CA"/>
        </w:rPr>
        <w:t xml:space="preserve">IA dans le </w:t>
      </w:r>
      <w:r w:rsidR="00E418E7">
        <w:rPr>
          <w:rFonts w:cstheme="minorHAnsi"/>
          <w:i/>
          <w:iCs/>
          <w:color w:val="FF0000"/>
          <w:szCs w:val="21"/>
          <w:lang w:val="fr-CA"/>
        </w:rPr>
        <w:t xml:space="preserve">secteur </w:t>
      </w:r>
      <w:r w:rsidRPr="00F31468">
        <w:rPr>
          <w:rFonts w:cstheme="minorHAnsi"/>
          <w:i/>
          <w:iCs/>
          <w:color w:val="FF0000"/>
          <w:szCs w:val="21"/>
          <w:lang w:val="fr-CA"/>
        </w:rPr>
        <w:t>pénal en Ontario? Êtes-vous d</w:t>
      </w:r>
      <w:r w:rsidR="00C62E0C">
        <w:rPr>
          <w:rFonts w:cstheme="minorHAnsi"/>
          <w:i/>
          <w:iCs/>
          <w:color w:val="FF0000"/>
          <w:szCs w:val="21"/>
          <w:lang w:val="fr-CA"/>
        </w:rPr>
        <w:t>’</w:t>
      </w:r>
      <w:r w:rsidRPr="00F31468">
        <w:rPr>
          <w:rFonts w:cstheme="minorHAnsi"/>
          <w:i/>
          <w:iCs/>
          <w:color w:val="FF0000"/>
          <w:szCs w:val="21"/>
          <w:lang w:val="fr-CA"/>
        </w:rPr>
        <w:t>accord pour qu</w:t>
      </w:r>
      <w:r w:rsidR="00C62E0C">
        <w:rPr>
          <w:rFonts w:cstheme="minorHAnsi"/>
          <w:i/>
          <w:iCs/>
          <w:color w:val="FF0000"/>
          <w:szCs w:val="21"/>
          <w:lang w:val="fr-CA"/>
        </w:rPr>
        <w:t>’</w:t>
      </w:r>
      <w:r w:rsidRPr="00F31468">
        <w:rPr>
          <w:rFonts w:cstheme="minorHAnsi"/>
          <w:i/>
          <w:iCs/>
          <w:color w:val="FF0000"/>
          <w:szCs w:val="21"/>
          <w:lang w:val="fr-CA"/>
        </w:rPr>
        <w:t xml:space="preserve">une évaluation de </w:t>
      </w:r>
      <w:r w:rsidR="00C00B53" w:rsidRPr="00C00B53">
        <w:rPr>
          <w:rFonts w:cstheme="minorHAnsi"/>
          <w:i/>
          <w:iCs/>
          <w:color w:val="FF0000"/>
          <w:szCs w:val="21"/>
          <w:lang w:val="fr-CA"/>
        </w:rPr>
        <w:t xml:space="preserve">l’incidence </w:t>
      </w:r>
      <w:r w:rsidRPr="00F31468">
        <w:rPr>
          <w:rFonts w:cstheme="minorHAnsi"/>
          <w:i/>
          <w:iCs/>
          <w:color w:val="FF0000"/>
          <w:szCs w:val="21"/>
          <w:lang w:val="fr-CA"/>
        </w:rPr>
        <w:t>porte sur la vie privée, les droits de la personne et l</w:t>
      </w:r>
      <w:r w:rsidR="00C62E0C">
        <w:rPr>
          <w:rFonts w:cstheme="minorHAnsi"/>
          <w:i/>
          <w:iCs/>
          <w:color w:val="FF0000"/>
          <w:szCs w:val="21"/>
          <w:lang w:val="fr-CA"/>
        </w:rPr>
        <w:t>’</w:t>
      </w:r>
      <w:r w:rsidRPr="00F31468">
        <w:rPr>
          <w:rFonts w:cstheme="minorHAnsi"/>
          <w:i/>
          <w:iCs/>
          <w:color w:val="FF0000"/>
          <w:szCs w:val="21"/>
          <w:lang w:val="fr-CA"/>
        </w:rPr>
        <w:t>équité procédurale, et qu</w:t>
      </w:r>
      <w:r w:rsidR="00C62E0C">
        <w:rPr>
          <w:rFonts w:cstheme="minorHAnsi"/>
          <w:i/>
          <w:iCs/>
          <w:color w:val="FF0000"/>
          <w:szCs w:val="21"/>
          <w:lang w:val="fr-CA"/>
        </w:rPr>
        <w:t>’</w:t>
      </w:r>
      <w:r w:rsidRPr="00F31468">
        <w:rPr>
          <w:rFonts w:cstheme="minorHAnsi"/>
          <w:i/>
          <w:iCs/>
          <w:color w:val="FF0000"/>
          <w:szCs w:val="21"/>
          <w:lang w:val="fr-CA"/>
        </w:rPr>
        <w:t>elle fournisse des garanties quant à la manière dont un système d</w:t>
      </w:r>
      <w:r w:rsidR="00C62E0C">
        <w:rPr>
          <w:rFonts w:cstheme="minorHAnsi"/>
          <w:i/>
          <w:iCs/>
          <w:color w:val="FF0000"/>
          <w:szCs w:val="21"/>
          <w:lang w:val="fr-CA"/>
        </w:rPr>
        <w:t>’</w:t>
      </w:r>
      <w:r w:rsidRPr="00F31468">
        <w:rPr>
          <w:rFonts w:cstheme="minorHAnsi"/>
          <w:i/>
          <w:iCs/>
          <w:color w:val="FF0000"/>
          <w:szCs w:val="21"/>
          <w:lang w:val="fr-CA"/>
        </w:rPr>
        <w:t>IA se conformera à d</w:t>
      </w:r>
      <w:r w:rsidR="00C62E0C">
        <w:rPr>
          <w:rFonts w:cstheme="minorHAnsi"/>
          <w:i/>
          <w:iCs/>
          <w:color w:val="FF0000"/>
          <w:szCs w:val="21"/>
          <w:lang w:val="fr-CA"/>
        </w:rPr>
        <w:t>’</w:t>
      </w:r>
      <w:r w:rsidRPr="00F31468">
        <w:rPr>
          <w:rFonts w:cstheme="minorHAnsi"/>
          <w:i/>
          <w:iCs/>
          <w:color w:val="FF0000"/>
          <w:szCs w:val="21"/>
          <w:lang w:val="fr-CA"/>
        </w:rPr>
        <w:t>autres obligations légales?</w:t>
      </w:r>
      <w:r w:rsidR="006A6819" w:rsidRPr="00A317D7">
        <w:rPr>
          <w:rFonts w:cstheme="minorHAnsi"/>
          <w:i/>
          <w:iCs/>
          <w:color w:val="FF0000"/>
          <w:szCs w:val="21"/>
          <w:lang w:val="fr-CA"/>
        </w:rPr>
        <w:t xml:space="preserve"> </w:t>
      </w:r>
    </w:p>
    <w:p w14:paraId="13636BF8" w14:textId="77777777" w:rsidR="00AC6965" w:rsidRPr="00A317D7" w:rsidRDefault="00AC6965" w:rsidP="00AC6965">
      <w:pPr>
        <w:pStyle w:val="ListParagraph"/>
        <w:spacing w:before="120" w:after="120" w:line="240" w:lineRule="auto"/>
        <w:ind w:left="0"/>
        <w:rPr>
          <w:rFonts w:cstheme="minorHAnsi"/>
          <w:i/>
          <w:iCs/>
          <w:color w:val="FF0000"/>
          <w:szCs w:val="21"/>
          <w:lang w:val="fr-CA"/>
        </w:rPr>
      </w:pPr>
    </w:p>
    <w:p w14:paraId="463A84A6" w14:textId="44C01AD3" w:rsidR="006A6819" w:rsidRPr="00A317D7" w:rsidRDefault="00F31468" w:rsidP="00AC6965">
      <w:pPr>
        <w:pStyle w:val="ListParagraph"/>
        <w:spacing w:before="120" w:after="120" w:line="240" w:lineRule="auto"/>
        <w:ind w:left="0"/>
        <w:rPr>
          <w:rFonts w:cstheme="minorHAnsi"/>
          <w:i/>
          <w:iCs/>
          <w:color w:val="FF0000"/>
          <w:szCs w:val="21"/>
          <w:lang w:val="fr-CA"/>
        </w:rPr>
      </w:pPr>
      <w:r w:rsidRPr="00F31468">
        <w:rPr>
          <w:rFonts w:cstheme="minorHAnsi"/>
          <w:i/>
          <w:iCs/>
          <w:color w:val="FF0000"/>
          <w:szCs w:val="21"/>
          <w:lang w:val="fr-CA"/>
        </w:rPr>
        <w:t>Que</w:t>
      </w:r>
      <w:r w:rsidR="00C62E0C">
        <w:rPr>
          <w:rFonts w:cstheme="minorHAnsi"/>
          <w:i/>
          <w:iCs/>
          <w:color w:val="FF0000"/>
          <w:szCs w:val="21"/>
          <w:lang w:val="fr-CA"/>
        </w:rPr>
        <w:t>l</w:t>
      </w:r>
      <w:r w:rsidRPr="00F31468">
        <w:rPr>
          <w:rFonts w:cstheme="minorHAnsi"/>
          <w:i/>
          <w:iCs/>
          <w:color w:val="FF0000"/>
          <w:szCs w:val="21"/>
          <w:lang w:val="fr-CA"/>
        </w:rPr>
        <w:t xml:space="preserve">s autres </w:t>
      </w:r>
      <w:r w:rsidR="00C62E0C">
        <w:rPr>
          <w:rFonts w:cstheme="minorHAnsi"/>
          <w:i/>
          <w:iCs/>
          <w:color w:val="FF0000"/>
          <w:szCs w:val="21"/>
          <w:lang w:val="fr-CA"/>
        </w:rPr>
        <w:t>renseignements</w:t>
      </w:r>
      <w:r w:rsidRPr="00F31468">
        <w:rPr>
          <w:rFonts w:cstheme="minorHAnsi"/>
          <w:i/>
          <w:iCs/>
          <w:color w:val="FF0000"/>
          <w:szCs w:val="21"/>
          <w:lang w:val="fr-CA"/>
        </w:rPr>
        <w:t xml:space="preserve"> ou risques devraient être inclus?</w:t>
      </w:r>
      <w:r w:rsidR="004A4B72" w:rsidRPr="00A317D7">
        <w:rPr>
          <w:rFonts w:cstheme="minorHAnsi"/>
          <w:i/>
          <w:iCs/>
          <w:color w:val="FF0000"/>
          <w:szCs w:val="21"/>
          <w:lang w:val="fr-CA"/>
        </w:rPr>
        <w:t xml:space="preserve"> </w:t>
      </w:r>
      <w:r w:rsidR="006A6819" w:rsidRPr="00A317D7">
        <w:rPr>
          <w:rFonts w:cstheme="minorHAnsi"/>
          <w:i/>
          <w:iCs/>
          <w:color w:val="FF0000"/>
          <w:szCs w:val="21"/>
          <w:lang w:val="fr-CA"/>
        </w:rPr>
        <w:t xml:space="preserve"> </w:t>
      </w:r>
    </w:p>
    <w:p w14:paraId="643E9952" w14:textId="77777777" w:rsidR="006A6819" w:rsidRPr="00A317D7" w:rsidRDefault="006A6819" w:rsidP="00C9376C">
      <w:pPr>
        <w:pStyle w:val="ListParagraph"/>
        <w:spacing w:before="120" w:after="120" w:line="240" w:lineRule="auto"/>
        <w:ind w:left="0"/>
        <w:rPr>
          <w:rFonts w:cstheme="minorHAnsi"/>
          <w:i/>
          <w:iCs/>
          <w:color w:val="FF0000"/>
          <w:szCs w:val="21"/>
          <w:lang w:val="fr-CA"/>
        </w:rPr>
      </w:pPr>
    </w:p>
    <w:p w14:paraId="45B852F6" w14:textId="033440B4" w:rsidR="004A4B72" w:rsidRPr="00A317D7" w:rsidRDefault="00F31468" w:rsidP="00C9376C">
      <w:pPr>
        <w:pStyle w:val="ListParagraph"/>
        <w:spacing w:before="120" w:after="120" w:line="240" w:lineRule="auto"/>
        <w:ind w:left="0"/>
        <w:rPr>
          <w:rFonts w:cstheme="minorHAnsi"/>
          <w:i/>
          <w:iCs/>
          <w:color w:val="FF0000"/>
          <w:szCs w:val="21"/>
          <w:lang w:val="fr-CA"/>
        </w:rPr>
      </w:pPr>
      <w:r w:rsidRPr="00F31468">
        <w:rPr>
          <w:rFonts w:cstheme="minorHAnsi"/>
          <w:i/>
          <w:iCs/>
          <w:color w:val="FF0000"/>
          <w:szCs w:val="21"/>
          <w:lang w:val="fr-CA"/>
        </w:rPr>
        <w:t xml:space="preserve">Comment garantir que les analyses </w:t>
      </w:r>
      <w:r w:rsidR="00C00B53">
        <w:rPr>
          <w:rFonts w:cstheme="minorHAnsi"/>
          <w:i/>
          <w:iCs/>
          <w:color w:val="FF0000"/>
          <w:szCs w:val="21"/>
          <w:lang w:val="fr-CA"/>
        </w:rPr>
        <w:t xml:space="preserve">de </w:t>
      </w:r>
      <w:r w:rsidR="00C00B53" w:rsidRPr="00C00B53">
        <w:rPr>
          <w:rFonts w:cstheme="minorHAnsi"/>
          <w:i/>
          <w:iCs/>
          <w:color w:val="FF0000"/>
          <w:szCs w:val="21"/>
          <w:lang w:val="fr-CA"/>
        </w:rPr>
        <w:t xml:space="preserve">l’incidence </w:t>
      </w:r>
      <w:r w:rsidRPr="00F31468">
        <w:rPr>
          <w:rFonts w:cstheme="minorHAnsi"/>
          <w:i/>
          <w:iCs/>
          <w:color w:val="FF0000"/>
          <w:szCs w:val="21"/>
          <w:lang w:val="fr-CA"/>
        </w:rPr>
        <w:t>sont utilisées et communiquées de manière cohérente?</w:t>
      </w:r>
      <w:r w:rsidR="0057301C" w:rsidRPr="00A317D7">
        <w:rPr>
          <w:rFonts w:eastAsia="Aptos" w:cs="Calibri"/>
          <w:i/>
          <w:iCs/>
          <w:color w:val="FF0000"/>
          <w:szCs w:val="21"/>
          <w:lang w:val="fr-CA"/>
        </w:rPr>
        <w:br/>
      </w:r>
    </w:p>
    <w:p w14:paraId="55D7FFB3" w14:textId="405AC3A8" w:rsidR="00A2744F" w:rsidRPr="00A317D7" w:rsidRDefault="00331AAB" w:rsidP="00331AAB">
      <w:pPr>
        <w:pStyle w:val="Heading2"/>
        <w:numPr>
          <w:ilvl w:val="0"/>
          <w:numId w:val="35"/>
        </w:numPr>
        <w:spacing w:after="120"/>
        <w:rPr>
          <w:lang w:val="fr-CA"/>
        </w:rPr>
      </w:pPr>
      <w:bookmarkStart w:id="81" w:name="_Toc197353501"/>
      <w:bookmarkStart w:id="82" w:name="_Toc197599900"/>
      <w:r w:rsidRPr="00331AAB">
        <w:rPr>
          <w:lang w:val="fr-CA"/>
        </w:rPr>
        <w:t>Évaluation des risques liés à la mise en liberté sous caution et à la détermination de</w:t>
      </w:r>
      <w:r w:rsidR="00E418E7">
        <w:rPr>
          <w:lang w:val="fr-CA"/>
        </w:rPr>
        <w:t xml:space="preserve">s </w:t>
      </w:r>
      <w:r w:rsidRPr="00331AAB">
        <w:rPr>
          <w:lang w:val="fr-CA"/>
        </w:rPr>
        <w:t>peine</w:t>
      </w:r>
      <w:r w:rsidR="00E418E7">
        <w:rPr>
          <w:lang w:val="fr-CA"/>
        </w:rPr>
        <w:t>s</w:t>
      </w:r>
      <w:bookmarkEnd w:id="82"/>
      <w:r w:rsidR="00613485" w:rsidRPr="00A317D7">
        <w:rPr>
          <w:lang w:val="fr-CA"/>
        </w:rPr>
        <w:t xml:space="preserve"> </w:t>
      </w:r>
      <w:bookmarkEnd w:id="81"/>
    </w:p>
    <w:p w14:paraId="65A7241F" w14:textId="718A60BE" w:rsidR="0087054B" w:rsidRPr="00EF5B03" w:rsidRDefault="00EF5B03" w:rsidP="00662091">
      <w:pPr>
        <w:rPr>
          <w:rFonts w:eastAsia="Aptos" w:cs="Calibri"/>
          <w:szCs w:val="21"/>
          <w:lang w:val="fr-CA"/>
        </w:rPr>
      </w:pPr>
      <w:r w:rsidRPr="00EF5B03">
        <w:rPr>
          <w:rFonts w:eastAsia="Calibri" w:cs="Calibri"/>
          <w:szCs w:val="21"/>
          <w:lang w:val="fr-CA" w:eastAsia="en-CA"/>
        </w:rPr>
        <w:t>L</w:t>
      </w:r>
      <w:r w:rsidR="00C62E0C">
        <w:rPr>
          <w:rFonts w:eastAsia="Calibri" w:cs="Calibri"/>
          <w:szCs w:val="21"/>
          <w:lang w:val="fr-CA" w:eastAsia="en-CA"/>
        </w:rPr>
        <w:t>’</w:t>
      </w:r>
      <w:r w:rsidRPr="00EF5B03">
        <w:rPr>
          <w:rFonts w:eastAsia="Calibri" w:cs="Calibri"/>
          <w:szCs w:val="21"/>
          <w:lang w:val="fr-CA" w:eastAsia="en-CA"/>
        </w:rPr>
        <w:t xml:space="preserve">évaluation du risque lié à la mise en liberté sous caution et à la détermination </w:t>
      </w:r>
      <w:r w:rsidR="00E418E7">
        <w:rPr>
          <w:rFonts w:eastAsia="Calibri" w:cs="Calibri"/>
          <w:szCs w:val="21"/>
          <w:lang w:val="fr-CA" w:eastAsia="en-CA"/>
        </w:rPr>
        <w:t xml:space="preserve">des </w:t>
      </w:r>
      <w:r w:rsidRPr="00EF5B03">
        <w:rPr>
          <w:rFonts w:eastAsia="Calibri" w:cs="Calibri"/>
          <w:szCs w:val="21"/>
          <w:lang w:val="fr-CA" w:eastAsia="en-CA"/>
        </w:rPr>
        <w:t>peine</w:t>
      </w:r>
      <w:r w:rsidR="00E418E7">
        <w:rPr>
          <w:rFonts w:eastAsia="Calibri" w:cs="Calibri"/>
          <w:szCs w:val="21"/>
          <w:lang w:val="fr-CA" w:eastAsia="en-CA"/>
        </w:rPr>
        <w:t>s</w:t>
      </w:r>
      <w:r w:rsidRPr="00EF5B03">
        <w:rPr>
          <w:rFonts w:eastAsia="Calibri" w:cs="Calibri"/>
          <w:szCs w:val="21"/>
          <w:lang w:val="fr-CA" w:eastAsia="en-CA"/>
        </w:rPr>
        <w:t xml:space="preserve"> par l</w:t>
      </w:r>
      <w:r w:rsidR="00C62E0C">
        <w:rPr>
          <w:rFonts w:eastAsia="Calibri" w:cs="Calibri"/>
          <w:szCs w:val="21"/>
          <w:lang w:val="fr-CA" w:eastAsia="en-CA"/>
        </w:rPr>
        <w:t>’</w:t>
      </w:r>
      <w:r w:rsidRPr="00EF5B03">
        <w:rPr>
          <w:rFonts w:eastAsia="Calibri" w:cs="Calibri"/>
          <w:szCs w:val="21"/>
          <w:lang w:val="fr-CA" w:eastAsia="en-CA"/>
        </w:rPr>
        <w:t>IA et les algorithmes soulèvent de nombreux défis, notamment des questions relatives aux préjugés et à la discrimination, à la divulgation et à la capacité d</w:t>
      </w:r>
      <w:r w:rsidR="00C62E0C">
        <w:rPr>
          <w:rFonts w:eastAsia="Calibri" w:cs="Calibri"/>
          <w:szCs w:val="21"/>
          <w:lang w:val="fr-CA" w:eastAsia="en-CA"/>
        </w:rPr>
        <w:t>’</w:t>
      </w:r>
      <w:r w:rsidRPr="00EF5B03">
        <w:rPr>
          <w:rFonts w:eastAsia="Calibri" w:cs="Calibri"/>
          <w:szCs w:val="21"/>
          <w:lang w:val="fr-CA" w:eastAsia="en-CA"/>
        </w:rPr>
        <w:t>un accusé à contester les prédictions d</w:t>
      </w:r>
      <w:r w:rsidR="00C62E0C">
        <w:rPr>
          <w:rFonts w:eastAsia="Calibri" w:cs="Calibri"/>
          <w:szCs w:val="21"/>
          <w:lang w:val="fr-CA" w:eastAsia="en-CA"/>
        </w:rPr>
        <w:t>’</w:t>
      </w:r>
      <w:r w:rsidRPr="00EF5B03">
        <w:rPr>
          <w:rFonts w:eastAsia="Calibri" w:cs="Calibri"/>
          <w:szCs w:val="21"/>
          <w:lang w:val="fr-CA" w:eastAsia="en-CA"/>
        </w:rPr>
        <w:t>un algorithme.</w:t>
      </w:r>
      <w:r w:rsidR="00662091" w:rsidRPr="00EF5B03">
        <w:rPr>
          <w:rFonts w:eastAsia="Calibri" w:cs="Calibri"/>
          <w:szCs w:val="21"/>
          <w:lang w:val="fr-CA" w:eastAsia="en-CA"/>
        </w:rPr>
        <w:t xml:space="preserve"> </w:t>
      </w:r>
    </w:p>
    <w:p w14:paraId="409183EF" w14:textId="268DF9C1" w:rsidR="0087054B" w:rsidRPr="00A317D7" w:rsidRDefault="00EF5B03" w:rsidP="00662091">
      <w:pPr>
        <w:contextualSpacing/>
        <w:rPr>
          <w:rFonts w:eastAsia="Aptos" w:cs="Calibri"/>
          <w:i/>
          <w:iCs/>
          <w:color w:val="FF0000"/>
          <w:szCs w:val="21"/>
          <w:lang w:val="fr-CA"/>
        </w:rPr>
      </w:pPr>
      <w:bookmarkStart w:id="83" w:name="_Hlk176773687"/>
      <w:r w:rsidRPr="00EF5B03">
        <w:rPr>
          <w:rFonts w:eastAsia="Calibri" w:cs="Calibri"/>
          <w:i/>
          <w:iCs/>
          <w:color w:val="FF0000"/>
          <w:szCs w:val="21"/>
          <w:lang w:val="fr-CA" w:eastAsia="en-CA"/>
        </w:rPr>
        <w:t>Comment le système juridique peut-il garantir que les scores de risque générés par l</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IA respectent les normes d</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ouverture, de transparence et de fiabilité nécessaires pour protéger les droits des personnes et préserver l</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intégrité du processus judiciaire?</w:t>
      </w:r>
      <w:r w:rsidR="007D204B" w:rsidRPr="00A317D7">
        <w:rPr>
          <w:rFonts w:eastAsia="Calibri" w:cs="Calibri"/>
          <w:i/>
          <w:iCs/>
          <w:color w:val="FF0000"/>
          <w:szCs w:val="21"/>
          <w:lang w:val="fr-CA" w:eastAsia="en-CA"/>
        </w:rPr>
        <w:t xml:space="preserve"> </w:t>
      </w:r>
    </w:p>
    <w:p w14:paraId="699C1260" w14:textId="77777777" w:rsidR="0010665E" w:rsidRPr="00A317D7" w:rsidRDefault="0010665E" w:rsidP="00662091">
      <w:pPr>
        <w:contextualSpacing/>
        <w:rPr>
          <w:rFonts w:eastAsia="Aptos" w:cs="Calibri"/>
          <w:i/>
          <w:iCs/>
          <w:color w:val="FF0000"/>
          <w:szCs w:val="21"/>
          <w:lang w:val="fr-CA"/>
        </w:rPr>
      </w:pPr>
    </w:p>
    <w:bookmarkEnd w:id="83"/>
    <w:p w14:paraId="021B1366" w14:textId="4B5D6092" w:rsidR="0010665E" w:rsidRPr="00A317D7" w:rsidRDefault="00EF5B03" w:rsidP="00662091">
      <w:pPr>
        <w:contextualSpacing/>
        <w:rPr>
          <w:rFonts w:eastAsia="Calibri" w:cs="Calibri"/>
          <w:i/>
          <w:iCs/>
          <w:color w:val="FF0000"/>
          <w:szCs w:val="21"/>
          <w:lang w:val="fr-CA" w:eastAsia="en-CA"/>
        </w:rPr>
      </w:pPr>
      <w:r w:rsidRPr="00EF5B03">
        <w:rPr>
          <w:rFonts w:eastAsia="Calibri" w:cs="Calibri"/>
          <w:i/>
          <w:iCs/>
          <w:color w:val="FF0000"/>
          <w:szCs w:val="21"/>
          <w:lang w:val="fr-CA" w:eastAsia="en-CA"/>
        </w:rPr>
        <w:t xml:space="preserve">Les évaluations des risques </w:t>
      </w:r>
      <w:r w:rsidR="00E418E7">
        <w:rPr>
          <w:rFonts w:eastAsia="Calibri" w:cs="Calibri"/>
          <w:i/>
          <w:iCs/>
          <w:color w:val="FF0000"/>
          <w:szCs w:val="21"/>
          <w:lang w:val="fr-CA" w:eastAsia="en-CA"/>
        </w:rPr>
        <w:t xml:space="preserve">par </w:t>
      </w:r>
      <w:r w:rsidRPr="00EF5B03">
        <w:rPr>
          <w:rFonts w:eastAsia="Calibri" w:cs="Calibri"/>
          <w:i/>
          <w:iCs/>
          <w:color w:val="FF0000"/>
          <w:szCs w:val="21"/>
          <w:lang w:val="fr-CA" w:eastAsia="en-CA"/>
        </w:rPr>
        <w:t>l</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 xml:space="preserve">IA, qui produisent des résultats basés sur des données discriminatoires, ont-elles leur place dans la détermination </w:t>
      </w:r>
      <w:r w:rsidR="00E418E7">
        <w:rPr>
          <w:rFonts w:eastAsia="Calibri" w:cs="Calibri"/>
          <w:i/>
          <w:iCs/>
          <w:color w:val="FF0000"/>
          <w:szCs w:val="21"/>
          <w:lang w:val="fr-CA" w:eastAsia="en-CA"/>
        </w:rPr>
        <w:t xml:space="preserve">des </w:t>
      </w:r>
      <w:r w:rsidRPr="00EF5B03">
        <w:rPr>
          <w:rFonts w:eastAsia="Calibri" w:cs="Calibri"/>
          <w:i/>
          <w:iCs/>
          <w:color w:val="FF0000"/>
          <w:szCs w:val="21"/>
          <w:lang w:val="fr-CA" w:eastAsia="en-CA"/>
        </w:rPr>
        <w:t>peine</w:t>
      </w:r>
      <w:r w:rsidR="00E418E7">
        <w:rPr>
          <w:rFonts w:eastAsia="Calibri" w:cs="Calibri"/>
          <w:i/>
          <w:iCs/>
          <w:color w:val="FF0000"/>
          <w:szCs w:val="21"/>
          <w:lang w:val="fr-CA" w:eastAsia="en-CA"/>
        </w:rPr>
        <w:t>s</w:t>
      </w:r>
      <w:r w:rsidRPr="00EF5B03">
        <w:rPr>
          <w:rFonts w:eastAsia="Calibri" w:cs="Calibri"/>
          <w:i/>
          <w:iCs/>
          <w:color w:val="FF0000"/>
          <w:szCs w:val="21"/>
          <w:lang w:val="fr-CA" w:eastAsia="en-CA"/>
        </w:rPr>
        <w:t xml:space="preserve"> des délinquants autochtones et noirs?</w:t>
      </w:r>
      <w:r w:rsidR="007D204B" w:rsidRPr="00A317D7">
        <w:rPr>
          <w:rFonts w:eastAsia="Calibri" w:cs="Calibri"/>
          <w:i/>
          <w:iCs/>
          <w:color w:val="FF0000"/>
          <w:szCs w:val="21"/>
          <w:lang w:val="fr-CA" w:eastAsia="en-CA"/>
        </w:rPr>
        <w:t xml:space="preserve"> </w:t>
      </w:r>
    </w:p>
    <w:p w14:paraId="6D39075D" w14:textId="77777777" w:rsidR="0010665E" w:rsidRPr="00A317D7" w:rsidRDefault="0010665E" w:rsidP="00662091">
      <w:pPr>
        <w:contextualSpacing/>
        <w:rPr>
          <w:rFonts w:eastAsia="Calibri" w:cs="Calibri"/>
          <w:i/>
          <w:iCs/>
          <w:color w:val="FF0000"/>
          <w:szCs w:val="21"/>
          <w:lang w:val="fr-CA" w:eastAsia="en-CA"/>
        </w:rPr>
      </w:pPr>
    </w:p>
    <w:p w14:paraId="65C7590E" w14:textId="0EB425B6" w:rsidR="00613485" w:rsidRPr="00A317D7" w:rsidRDefault="00EF5B03" w:rsidP="007B72EC">
      <w:pPr>
        <w:contextualSpacing/>
        <w:rPr>
          <w:rFonts w:eastAsia="Calibri" w:cs="Calibri"/>
          <w:sz w:val="24"/>
          <w:lang w:val="fr-CA" w:eastAsia="en-CA"/>
        </w:rPr>
      </w:pPr>
      <w:r w:rsidRPr="00EF5B03">
        <w:rPr>
          <w:rFonts w:eastAsia="Calibri" w:cs="Calibri"/>
          <w:i/>
          <w:iCs/>
          <w:color w:val="FF0000"/>
          <w:szCs w:val="21"/>
          <w:lang w:val="fr-CA" w:eastAsia="en-CA"/>
        </w:rPr>
        <w:t xml:space="preserve">Si une évaluation des risques </w:t>
      </w:r>
      <w:r w:rsidR="00E418E7">
        <w:rPr>
          <w:rFonts w:eastAsia="Calibri" w:cs="Calibri"/>
          <w:i/>
          <w:iCs/>
          <w:color w:val="FF0000"/>
          <w:szCs w:val="21"/>
          <w:lang w:val="fr-CA" w:eastAsia="en-CA"/>
        </w:rPr>
        <w:t xml:space="preserve">par </w:t>
      </w:r>
      <w:r w:rsidRPr="00EF5B03">
        <w:rPr>
          <w:rFonts w:eastAsia="Calibri" w:cs="Calibri"/>
          <w:i/>
          <w:iCs/>
          <w:color w:val="FF0000"/>
          <w:szCs w:val="21"/>
          <w:lang w:val="fr-CA" w:eastAsia="en-CA"/>
        </w:rPr>
        <w:t>l</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 xml:space="preserve">IA ne peut pas tenir compte des </w:t>
      </w:r>
      <w:r w:rsidR="00E418E7">
        <w:rPr>
          <w:rFonts w:eastAsia="Calibri" w:cs="Calibri"/>
          <w:i/>
          <w:iCs/>
          <w:color w:val="FF0000"/>
          <w:szCs w:val="21"/>
          <w:lang w:val="fr-CA" w:eastAsia="en-CA"/>
        </w:rPr>
        <w:t xml:space="preserve">codes ou </w:t>
      </w:r>
      <w:r w:rsidRPr="00EF5B03">
        <w:rPr>
          <w:rFonts w:eastAsia="Calibri" w:cs="Calibri"/>
          <w:i/>
          <w:iCs/>
          <w:color w:val="FF0000"/>
          <w:szCs w:val="21"/>
          <w:lang w:val="fr-CA" w:eastAsia="en-CA"/>
        </w:rPr>
        <w:t>des antécédents coloniaux ou racistes qui ont pu jouer un rôle dans la formulation des données utilisées dans ses processus, cette évaluation contournerait-elle l</w:t>
      </w:r>
      <w:r w:rsidR="00C62E0C">
        <w:rPr>
          <w:rFonts w:eastAsia="Calibri" w:cs="Calibri"/>
          <w:i/>
          <w:iCs/>
          <w:color w:val="FF0000"/>
          <w:szCs w:val="21"/>
          <w:lang w:val="fr-CA" w:eastAsia="en-CA"/>
        </w:rPr>
        <w:t>’</w:t>
      </w:r>
      <w:r w:rsidRPr="00EF5B03">
        <w:rPr>
          <w:rFonts w:eastAsia="Calibri" w:cs="Calibri"/>
          <w:i/>
          <w:iCs/>
          <w:color w:val="FF0000"/>
          <w:szCs w:val="21"/>
          <w:lang w:val="fr-CA" w:eastAsia="en-CA"/>
        </w:rPr>
        <w:t>article 493.2 du Code criminel?</w:t>
      </w:r>
    </w:p>
    <w:p w14:paraId="51F852B6" w14:textId="3BA9C4CB" w:rsidR="00613485" w:rsidRPr="00A317D7" w:rsidRDefault="00331AAB" w:rsidP="00331AAB">
      <w:pPr>
        <w:pStyle w:val="Heading2"/>
        <w:numPr>
          <w:ilvl w:val="0"/>
          <w:numId w:val="35"/>
        </w:numPr>
        <w:spacing w:after="120"/>
        <w:rPr>
          <w:lang w:val="fr-CA"/>
        </w:rPr>
      </w:pPr>
      <w:bookmarkStart w:id="84" w:name="_Toc197599901"/>
      <w:r>
        <w:rPr>
          <w:lang w:val="fr-CA"/>
        </w:rPr>
        <w:lastRenderedPageBreak/>
        <w:t>L</w:t>
      </w:r>
      <w:r w:rsidRPr="00331AAB">
        <w:rPr>
          <w:lang w:val="fr-CA"/>
        </w:rPr>
        <w:t>itige</w:t>
      </w:r>
      <w:r>
        <w:rPr>
          <w:lang w:val="fr-CA"/>
        </w:rPr>
        <w:t>s</w:t>
      </w:r>
      <w:r w:rsidRPr="00331AAB">
        <w:rPr>
          <w:lang w:val="fr-CA"/>
        </w:rPr>
        <w:t xml:space="preserve"> </w:t>
      </w:r>
      <w:r>
        <w:rPr>
          <w:lang w:val="fr-CA"/>
        </w:rPr>
        <w:t>liés à l</w:t>
      </w:r>
      <w:r w:rsidR="00C62E0C">
        <w:rPr>
          <w:lang w:val="fr-CA"/>
        </w:rPr>
        <w:t>’</w:t>
      </w:r>
      <w:r w:rsidRPr="00331AAB">
        <w:rPr>
          <w:lang w:val="fr-CA"/>
        </w:rPr>
        <w:t>IA</w:t>
      </w:r>
      <w:bookmarkEnd w:id="84"/>
    </w:p>
    <w:p w14:paraId="3E89E1F0" w14:textId="0872F16D" w:rsidR="00613485" w:rsidRPr="00A317D7" w:rsidRDefault="00EF5B03" w:rsidP="00A2744F">
      <w:pPr>
        <w:spacing w:after="120"/>
        <w:rPr>
          <w:rFonts w:eastAsia="Aptos" w:cs="Calibri"/>
          <w:lang w:val="fr-CA"/>
        </w:rPr>
      </w:pPr>
      <w:r w:rsidRPr="00EF5B03">
        <w:rPr>
          <w:rFonts w:eastAsia="Aptos" w:cs="Calibri"/>
          <w:lang w:val="fr-CA"/>
        </w:rPr>
        <w:t>Les documents thématiques examinent comment les systèmes d</w:t>
      </w:r>
      <w:r w:rsidR="00C62E0C">
        <w:rPr>
          <w:rFonts w:eastAsia="Aptos" w:cs="Calibri"/>
          <w:lang w:val="fr-CA"/>
        </w:rPr>
        <w:t>’</w:t>
      </w:r>
      <w:r w:rsidRPr="00EF5B03">
        <w:rPr>
          <w:rFonts w:eastAsia="Aptos" w:cs="Calibri"/>
          <w:lang w:val="fr-CA"/>
        </w:rPr>
        <w:t xml:space="preserve">IA dans le </w:t>
      </w:r>
      <w:r w:rsidR="00E418E7">
        <w:rPr>
          <w:rFonts w:eastAsia="Aptos" w:cs="Calibri"/>
          <w:lang w:val="fr-CA"/>
        </w:rPr>
        <w:t>secteur</w:t>
      </w:r>
      <w:r w:rsidRPr="00EF5B03">
        <w:rPr>
          <w:rFonts w:eastAsia="Aptos" w:cs="Calibri"/>
          <w:lang w:val="fr-CA"/>
        </w:rPr>
        <w:t xml:space="preserve"> pénal soulèvent de nouveaux défis complexes en matière de procédure, de preuve et de contentieux, notamment</w:t>
      </w:r>
      <w:r>
        <w:rPr>
          <w:rFonts w:eastAsia="Aptos" w:cs="Calibri"/>
          <w:lang w:val="fr-CA"/>
        </w:rPr>
        <w:t> </w:t>
      </w:r>
      <w:r w:rsidRPr="00EF5B03">
        <w:rPr>
          <w:rFonts w:eastAsia="Aptos" w:cs="Calibri"/>
          <w:lang w:val="fr-CA"/>
        </w:rPr>
        <w:t>:</w:t>
      </w:r>
    </w:p>
    <w:p w14:paraId="219A8446" w14:textId="1C69D717"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L</w:t>
      </w:r>
      <w:r w:rsidR="00C62E0C">
        <w:rPr>
          <w:rFonts w:eastAsia="Aptos" w:cs="Calibri"/>
          <w:lang w:val="fr-CA"/>
        </w:rPr>
        <w:t>’</w:t>
      </w:r>
      <w:r w:rsidRPr="00EF5B03">
        <w:rPr>
          <w:rFonts w:eastAsia="Aptos" w:cs="Calibri"/>
          <w:lang w:val="fr-CA"/>
        </w:rPr>
        <w:t>admissibilité et la fiabilité des preuves issues de l</w:t>
      </w:r>
      <w:r w:rsidR="00C62E0C">
        <w:rPr>
          <w:rFonts w:eastAsia="Aptos" w:cs="Calibri"/>
          <w:lang w:val="fr-CA"/>
        </w:rPr>
        <w:t>’</w:t>
      </w:r>
      <w:r w:rsidRPr="00EF5B03">
        <w:rPr>
          <w:rFonts w:eastAsia="Aptos" w:cs="Calibri"/>
          <w:lang w:val="fr-CA"/>
        </w:rPr>
        <w:t>IA et la question de savoir si l</w:t>
      </w:r>
      <w:r w:rsidR="00C62E0C">
        <w:rPr>
          <w:rFonts w:eastAsia="Aptos" w:cs="Calibri"/>
          <w:lang w:val="fr-CA"/>
        </w:rPr>
        <w:t>’</w:t>
      </w:r>
      <w:r w:rsidRPr="00EF5B03">
        <w:rPr>
          <w:rFonts w:eastAsia="Aptos" w:cs="Calibri"/>
          <w:lang w:val="fr-CA"/>
        </w:rPr>
        <w:t>IA constitue une «</w:t>
      </w:r>
      <w:r w:rsidR="00C62E0C">
        <w:rPr>
          <w:rFonts w:eastAsia="Aptos" w:cs="Calibri"/>
          <w:lang w:val="fr-CA"/>
        </w:rPr>
        <w:t> </w:t>
      </w:r>
      <w:r w:rsidRPr="00EF5B03">
        <w:rPr>
          <w:rFonts w:eastAsia="Aptos" w:cs="Calibri"/>
          <w:lang w:val="fr-CA"/>
        </w:rPr>
        <w:t>preuve d</w:t>
      </w:r>
      <w:r w:rsidR="00C62E0C">
        <w:rPr>
          <w:rFonts w:eastAsia="Aptos" w:cs="Calibri"/>
          <w:lang w:val="fr-CA"/>
        </w:rPr>
        <w:t>’</w:t>
      </w:r>
      <w:r w:rsidRPr="00EF5B03">
        <w:rPr>
          <w:rFonts w:eastAsia="Aptos" w:cs="Calibri"/>
          <w:lang w:val="fr-CA"/>
        </w:rPr>
        <w:t>expert</w:t>
      </w:r>
      <w:r w:rsidR="00C62E0C">
        <w:rPr>
          <w:rFonts w:eastAsia="Aptos" w:cs="Calibri"/>
          <w:lang w:val="fr-CA"/>
        </w:rPr>
        <w:t> </w:t>
      </w:r>
      <w:r w:rsidRPr="00EF5B03">
        <w:rPr>
          <w:rFonts w:eastAsia="Aptos" w:cs="Calibri"/>
          <w:lang w:val="fr-CA"/>
        </w:rPr>
        <w:t>».</w:t>
      </w:r>
    </w:p>
    <w:p w14:paraId="3FD128BA" w14:textId="0C964028"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L</w:t>
      </w:r>
      <w:r w:rsidR="00C62E0C">
        <w:rPr>
          <w:rFonts w:eastAsia="Aptos" w:cs="Calibri"/>
          <w:lang w:val="fr-CA"/>
        </w:rPr>
        <w:t>’</w:t>
      </w:r>
      <w:r w:rsidRPr="00EF5B03">
        <w:rPr>
          <w:rFonts w:eastAsia="Aptos" w:cs="Calibri"/>
          <w:lang w:val="fr-CA"/>
        </w:rPr>
        <w:t>utilisation de l</w:t>
      </w:r>
      <w:r w:rsidR="00C62E0C">
        <w:rPr>
          <w:rFonts w:eastAsia="Aptos" w:cs="Calibri"/>
          <w:lang w:val="fr-CA"/>
        </w:rPr>
        <w:t>’</w:t>
      </w:r>
      <w:r w:rsidRPr="00EF5B03">
        <w:rPr>
          <w:rFonts w:eastAsia="Aptos" w:cs="Calibri"/>
          <w:lang w:val="fr-CA"/>
        </w:rPr>
        <w:t>IA pour générer des rapports d</w:t>
      </w:r>
      <w:r w:rsidR="00C62E0C">
        <w:rPr>
          <w:rFonts w:eastAsia="Aptos" w:cs="Calibri"/>
          <w:lang w:val="fr-CA"/>
        </w:rPr>
        <w:t>’</w:t>
      </w:r>
      <w:r w:rsidRPr="00EF5B03">
        <w:rPr>
          <w:rFonts w:eastAsia="Aptos" w:cs="Calibri"/>
          <w:lang w:val="fr-CA"/>
        </w:rPr>
        <w:t>incident, résumer ou analyser les données des caméras corporelles, etc.</w:t>
      </w:r>
    </w:p>
    <w:p w14:paraId="56144EDC" w14:textId="16105B54"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 xml:space="preserve">Les observations </w:t>
      </w:r>
      <w:r w:rsidR="0017152A" w:rsidRPr="00EF5B03">
        <w:rPr>
          <w:rFonts w:eastAsia="Aptos" w:cs="Calibri"/>
          <w:lang w:val="fr-CA"/>
        </w:rPr>
        <w:t xml:space="preserve">à la cour </w:t>
      </w:r>
      <w:r w:rsidRPr="00EF5B03">
        <w:rPr>
          <w:rFonts w:eastAsia="Aptos" w:cs="Calibri"/>
          <w:lang w:val="fr-CA"/>
        </w:rPr>
        <w:t>assistées par l</w:t>
      </w:r>
      <w:r w:rsidR="00C62E0C">
        <w:rPr>
          <w:rFonts w:eastAsia="Aptos" w:cs="Calibri"/>
          <w:lang w:val="fr-CA"/>
        </w:rPr>
        <w:t>’</w:t>
      </w:r>
      <w:r w:rsidRPr="00EF5B03">
        <w:rPr>
          <w:rFonts w:eastAsia="Aptos" w:cs="Calibri"/>
          <w:lang w:val="fr-CA"/>
        </w:rPr>
        <w:t>IA ou les résumés de divulgation.</w:t>
      </w:r>
    </w:p>
    <w:p w14:paraId="642223A3" w14:textId="2C36F6D2"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Les preuves hypertruquée</w:t>
      </w:r>
      <w:r w:rsidR="00D15092">
        <w:rPr>
          <w:rFonts w:eastAsia="Aptos" w:cs="Calibri"/>
          <w:lang w:val="fr-CA"/>
        </w:rPr>
        <w:t>s</w:t>
      </w:r>
      <w:r w:rsidRPr="00EF5B03">
        <w:rPr>
          <w:rFonts w:eastAsia="Aptos" w:cs="Calibri"/>
          <w:lang w:val="fr-CA"/>
        </w:rPr>
        <w:t>.</w:t>
      </w:r>
    </w:p>
    <w:p w14:paraId="0CBE1CA1" w14:textId="21014F1E"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Les déclarations de témoins générées par l</w:t>
      </w:r>
      <w:r w:rsidR="00C62E0C">
        <w:rPr>
          <w:rFonts w:eastAsia="Aptos" w:cs="Calibri"/>
          <w:lang w:val="fr-CA"/>
        </w:rPr>
        <w:t>’</w:t>
      </w:r>
      <w:r w:rsidRPr="00EF5B03">
        <w:rPr>
          <w:rFonts w:eastAsia="Aptos" w:cs="Calibri"/>
          <w:lang w:val="fr-CA"/>
        </w:rPr>
        <w:t xml:space="preserve">IA, les déclarations des victimes, les rapports </w:t>
      </w:r>
      <w:r w:rsidRPr="00D15092">
        <w:rPr>
          <w:rFonts w:eastAsia="Aptos" w:cs="Calibri"/>
          <w:i/>
          <w:lang w:val="fr-CA"/>
        </w:rPr>
        <w:t>Gladue</w:t>
      </w:r>
      <w:r w:rsidRPr="00EF5B03">
        <w:rPr>
          <w:rFonts w:eastAsia="Aptos" w:cs="Calibri"/>
          <w:lang w:val="fr-CA"/>
        </w:rPr>
        <w:t>, etc.</w:t>
      </w:r>
    </w:p>
    <w:p w14:paraId="745CFBFD" w14:textId="160476EF" w:rsidR="00EF5B03" w:rsidRPr="00EF5B03" w:rsidRDefault="00EF5B03" w:rsidP="00EF5B03">
      <w:pPr>
        <w:pStyle w:val="ListParagraph"/>
        <w:numPr>
          <w:ilvl w:val="0"/>
          <w:numId w:val="40"/>
        </w:numPr>
        <w:rPr>
          <w:rFonts w:eastAsia="Aptos" w:cs="Calibri"/>
          <w:lang w:val="fr-CA"/>
        </w:rPr>
      </w:pPr>
      <w:r w:rsidRPr="00EF5B03">
        <w:rPr>
          <w:rFonts w:eastAsia="Aptos" w:cs="Calibri"/>
          <w:lang w:val="fr-CA"/>
        </w:rPr>
        <w:t>Les litiges relatifs aux allégations de «</w:t>
      </w:r>
      <w:r w:rsidR="00C62E0C">
        <w:rPr>
          <w:rFonts w:eastAsia="Aptos" w:cs="Calibri"/>
          <w:lang w:val="fr-CA"/>
        </w:rPr>
        <w:t> </w:t>
      </w:r>
      <w:r w:rsidRPr="00EF5B03">
        <w:rPr>
          <w:rFonts w:eastAsia="Aptos" w:cs="Calibri"/>
          <w:lang w:val="fr-CA"/>
        </w:rPr>
        <w:t>secrets commerciaux</w:t>
      </w:r>
      <w:r w:rsidR="00C62E0C">
        <w:rPr>
          <w:rFonts w:eastAsia="Aptos" w:cs="Calibri"/>
          <w:lang w:val="fr-CA"/>
        </w:rPr>
        <w:t> </w:t>
      </w:r>
      <w:r w:rsidRPr="00EF5B03">
        <w:rPr>
          <w:rFonts w:eastAsia="Aptos" w:cs="Calibri"/>
          <w:lang w:val="fr-CA"/>
        </w:rPr>
        <w:t>» ou de «</w:t>
      </w:r>
      <w:r w:rsidR="00C62E0C">
        <w:rPr>
          <w:rFonts w:eastAsia="Aptos" w:cs="Calibri"/>
          <w:lang w:val="fr-CA"/>
        </w:rPr>
        <w:t> </w:t>
      </w:r>
      <w:r w:rsidRPr="00EF5B03">
        <w:rPr>
          <w:rFonts w:eastAsia="Aptos" w:cs="Calibri"/>
          <w:lang w:val="fr-CA"/>
        </w:rPr>
        <w:t>secret professionnel des enquêteurs</w:t>
      </w:r>
      <w:r w:rsidR="00C62E0C">
        <w:rPr>
          <w:rFonts w:eastAsia="Aptos" w:cs="Calibri"/>
          <w:lang w:val="fr-CA"/>
        </w:rPr>
        <w:t> </w:t>
      </w:r>
      <w:r w:rsidRPr="00EF5B03">
        <w:rPr>
          <w:rFonts w:eastAsia="Aptos" w:cs="Calibri"/>
          <w:lang w:val="fr-CA"/>
        </w:rPr>
        <w:t>».</w:t>
      </w:r>
    </w:p>
    <w:p w14:paraId="2DB66CDC" w14:textId="4E2C75BA" w:rsidR="00613485" w:rsidRPr="00A317D7" w:rsidRDefault="00EF5B03" w:rsidP="00EF5B03">
      <w:pPr>
        <w:pStyle w:val="ListParagraph"/>
        <w:numPr>
          <w:ilvl w:val="0"/>
          <w:numId w:val="40"/>
        </w:numPr>
        <w:rPr>
          <w:rFonts w:eastAsia="Aptos" w:cs="Calibri"/>
          <w:lang w:val="fr-CA"/>
        </w:rPr>
      </w:pPr>
      <w:r w:rsidRPr="00EF5B03">
        <w:rPr>
          <w:rFonts w:eastAsia="Aptos" w:cs="Calibri"/>
          <w:lang w:val="fr-CA"/>
        </w:rPr>
        <w:t xml:space="preserve">Les mandats ou les demandes </w:t>
      </w:r>
      <w:r w:rsidRPr="00D15092">
        <w:rPr>
          <w:rFonts w:eastAsia="Aptos" w:cs="Calibri"/>
          <w:i/>
          <w:lang w:val="fr-CA"/>
        </w:rPr>
        <w:t>O</w:t>
      </w:r>
      <w:r w:rsidR="00C62E0C">
        <w:rPr>
          <w:rFonts w:eastAsia="Aptos" w:cs="Calibri"/>
          <w:i/>
          <w:lang w:val="fr-CA"/>
        </w:rPr>
        <w:t>’</w:t>
      </w:r>
      <w:r w:rsidRPr="00D15092">
        <w:rPr>
          <w:rFonts w:eastAsia="Aptos" w:cs="Calibri"/>
          <w:i/>
          <w:lang w:val="fr-CA"/>
        </w:rPr>
        <w:t>Connor</w:t>
      </w:r>
      <w:r w:rsidRPr="00EF5B03">
        <w:rPr>
          <w:rFonts w:eastAsia="Aptos" w:cs="Calibri"/>
          <w:lang w:val="fr-CA"/>
        </w:rPr>
        <w:t xml:space="preserve"> pour obtenir des preuves provenant de tiers</w:t>
      </w:r>
      <w:r w:rsidR="00613485" w:rsidRPr="00A317D7">
        <w:rPr>
          <w:rFonts w:eastAsia="Aptos" w:cs="Calibri"/>
          <w:lang w:val="fr-CA"/>
        </w:rPr>
        <w:t>.</w:t>
      </w:r>
    </w:p>
    <w:p w14:paraId="27A18614" w14:textId="77777777" w:rsidR="00613485" w:rsidRPr="00A317D7" w:rsidRDefault="00613485" w:rsidP="0099008B">
      <w:pPr>
        <w:spacing w:after="120"/>
        <w:ind w:left="720"/>
        <w:contextualSpacing/>
        <w:rPr>
          <w:rFonts w:eastAsia="Aptos" w:cs="Calibri"/>
          <w:iCs/>
          <w:lang w:val="fr-CA"/>
        </w:rPr>
      </w:pPr>
    </w:p>
    <w:p w14:paraId="0D51D9F0" w14:textId="5031A4C5" w:rsidR="007B72EC" w:rsidRPr="00A317D7" w:rsidRDefault="00762A97" w:rsidP="0099008B">
      <w:pPr>
        <w:spacing w:after="120"/>
        <w:contextualSpacing/>
        <w:rPr>
          <w:rFonts w:eastAsia="Aptos" w:cs="Calibri"/>
          <w:color w:val="FF0000"/>
          <w:lang w:val="fr-CA"/>
        </w:rPr>
      </w:pPr>
      <w:r w:rsidRPr="00762A97">
        <w:rPr>
          <w:rFonts w:eastAsia="Aptos" w:cs="Calibri"/>
          <w:i/>
          <w:color w:val="FF0000"/>
          <w:lang w:val="fr-CA"/>
        </w:rPr>
        <w:t>Comment pouvons-nous r</w:t>
      </w:r>
      <w:r w:rsidR="00C62E0C">
        <w:rPr>
          <w:rFonts w:eastAsia="Aptos" w:cs="Calibri"/>
          <w:i/>
          <w:color w:val="FF0000"/>
          <w:lang w:val="fr-CA"/>
        </w:rPr>
        <w:t>è</w:t>
      </w:r>
      <w:r w:rsidRPr="00762A97">
        <w:rPr>
          <w:rFonts w:eastAsia="Aptos" w:cs="Calibri"/>
          <w:i/>
          <w:color w:val="FF0000"/>
          <w:lang w:val="fr-CA"/>
        </w:rPr>
        <w:t>glementer, formaliser ou rationaliser les questions fréquemment litigieuses liées à l</w:t>
      </w:r>
      <w:r w:rsidR="00C62E0C">
        <w:rPr>
          <w:rFonts w:eastAsia="Aptos" w:cs="Calibri"/>
          <w:i/>
          <w:color w:val="FF0000"/>
          <w:lang w:val="fr-CA"/>
        </w:rPr>
        <w:t>’</w:t>
      </w:r>
      <w:r w:rsidRPr="00762A97">
        <w:rPr>
          <w:rFonts w:eastAsia="Aptos" w:cs="Calibri"/>
          <w:i/>
          <w:color w:val="FF0000"/>
          <w:lang w:val="fr-CA"/>
        </w:rPr>
        <w:t>IA telles que celles mentionnées ci-dessus</w:t>
      </w:r>
      <w:r w:rsidR="00613485" w:rsidRPr="00A317D7">
        <w:rPr>
          <w:rFonts w:eastAsia="Aptos" w:cs="Calibri"/>
          <w:i/>
          <w:color w:val="FF0000"/>
          <w:lang w:val="fr-CA"/>
        </w:rPr>
        <w:t>?</w:t>
      </w:r>
      <w:r w:rsidR="00613485" w:rsidRPr="00A317D7">
        <w:rPr>
          <w:rFonts w:eastAsia="Aptos" w:cs="Calibri"/>
          <w:iCs/>
          <w:color w:val="FF0000"/>
          <w:lang w:val="fr-CA"/>
        </w:rPr>
        <w:t xml:space="preserve"> </w:t>
      </w:r>
    </w:p>
    <w:p w14:paraId="015FADB7" w14:textId="77777777" w:rsidR="007B72EC" w:rsidRPr="00A317D7" w:rsidRDefault="007B72EC" w:rsidP="0099008B">
      <w:pPr>
        <w:spacing w:after="120"/>
        <w:contextualSpacing/>
        <w:rPr>
          <w:rFonts w:eastAsia="Aptos" w:cs="Calibri"/>
          <w:color w:val="FF0000"/>
          <w:lang w:val="fr-CA"/>
        </w:rPr>
      </w:pPr>
    </w:p>
    <w:p w14:paraId="1D60A2B3" w14:textId="6F212E7C" w:rsidR="007B72EC" w:rsidRPr="00A317D7" w:rsidRDefault="00762A97" w:rsidP="0099008B">
      <w:pPr>
        <w:spacing w:after="120"/>
        <w:contextualSpacing/>
        <w:rPr>
          <w:rFonts w:eastAsia="Times New Roman" w:cs="Calibri"/>
          <w:i/>
          <w:color w:val="FF0000"/>
          <w:lang w:val="fr-CA" w:eastAsia="en-CA"/>
        </w:rPr>
      </w:pPr>
      <w:r w:rsidRPr="00762A97">
        <w:rPr>
          <w:rFonts w:eastAsia="Aptos" w:cs="Calibri"/>
          <w:i/>
          <w:color w:val="FF0000"/>
          <w:lang w:val="fr-CA"/>
        </w:rPr>
        <w:t>Une exigence systématique de divulgation complète d</w:t>
      </w:r>
      <w:r w:rsidR="00C62E0C">
        <w:rPr>
          <w:rFonts w:eastAsia="Aptos" w:cs="Calibri"/>
          <w:i/>
          <w:color w:val="FF0000"/>
          <w:lang w:val="fr-CA"/>
        </w:rPr>
        <w:t>’</w:t>
      </w:r>
      <w:r w:rsidRPr="00762A97">
        <w:rPr>
          <w:rFonts w:eastAsia="Aptos" w:cs="Calibri"/>
          <w:i/>
          <w:color w:val="FF0000"/>
          <w:lang w:val="fr-CA"/>
        </w:rPr>
        <w:t>un système d</w:t>
      </w:r>
      <w:r w:rsidR="00C62E0C">
        <w:rPr>
          <w:rFonts w:eastAsia="Aptos" w:cs="Calibri"/>
          <w:i/>
          <w:color w:val="FF0000"/>
          <w:lang w:val="fr-CA"/>
        </w:rPr>
        <w:t>’</w:t>
      </w:r>
      <w:r w:rsidRPr="00762A97">
        <w:rPr>
          <w:rFonts w:eastAsia="Aptos" w:cs="Calibri"/>
          <w:i/>
          <w:color w:val="FF0000"/>
          <w:lang w:val="fr-CA"/>
        </w:rPr>
        <w:t>IA et de ses composants serait-elle atténuée par des mesures objectives de performance de l</w:t>
      </w:r>
      <w:r w:rsidR="00C62E0C">
        <w:rPr>
          <w:rFonts w:eastAsia="Aptos" w:cs="Calibri"/>
          <w:i/>
          <w:color w:val="FF0000"/>
          <w:lang w:val="fr-CA"/>
        </w:rPr>
        <w:t>’</w:t>
      </w:r>
      <w:r w:rsidRPr="00762A97">
        <w:rPr>
          <w:rFonts w:eastAsia="Aptos" w:cs="Calibri"/>
          <w:i/>
          <w:color w:val="FF0000"/>
          <w:lang w:val="fr-CA"/>
        </w:rPr>
        <w:t xml:space="preserve">IA, telles que des audits techniques indépendants qui </w:t>
      </w:r>
      <w:r w:rsidR="00E418E7">
        <w:rPr>
          <w:rFonts w:eastAsia="Aptos" w:cs="Calibri"/>
          <w:i/>
          <w:color w:val="FF0000"/>
          <w:lang w:val="fr-CA"/>
        </w:rPr>
        <w:t xml:space="preserve">en </w:t>
      </w:r>
      <w:r w:rsidRPr="00762A97">
        <w:rPr>
          <w:rFonts w:eastAsia="Aptos" w:cs="Calibri"/>
          <w:i/>
          <w:color w:val="FF0000"/>
          <w:lang w:val="fr-CA"/>
        </w:rPr>
        <w:t>valident la fiabilité et la performance</w:t>
      </w:r>
      <w:r w:rsidR="007B72EC" w:rsidRPr="00A317D7">
        <w:rPr>
          <w:rFonts w:eastAsia="Times New Roman" w:cs="Calibri"/>
          <w:i/>
          <w:color w:val="FF0000"/>
          <w:lang w:val="fr-CA" w:eastAsia="en-CA"/>
        </w:rPr>
        <w:t>?</w:t>
      </w:r>
    </w:p>
    <w:p w14:paraId="543993D0" w14:textId="77777777" w:rsidR="007B72EC" w:rsidRPr="00A317D7" w:rsidRDefault="007B72EC" w:rsidP="0099008B">
      <w:pPr>
        <w:spacing w:after="120"/>
        <w:ind w:left="720"/>
        <w:contextualSpacing/>
        <w:rPr>
          <w:rFonts w:eastAsia="Aptos" w:cs="Calibri"/>
          <w:i/>
          <w:lang w:val="fr-CA"/>
        </w:rPr>
      </w:pPr>
    </w:p>
    <w:p w14:paraId="66E6A31A" w14:textId="7D962DD2" w:rsidR="001F5424" w:rsidRPr="00A317D7" w:rsidRDefault="00762A97" w:rsidP="0099008B">
      <w:pPr>
        <w:spacing w:after="120"/>
        <w:rPr>
          <w:rFonts w:eastAsia="Aptos" w:cstheme="minorHAnsi"/>
          <w:b/>
          <w:bCs/>
          <w:i/>
          <w:iCs/>
          <w:color w:val="FF0000"/>
          <w:lang w:val="fr-CA"/>
        </w:rPr>
      </w:pPr>
      <w:r w:rsidRPr="00762A97">
        <w:rPr>
          <w:rFonts w:eastAsia="Aptos" w:cstheme="minorHAnsi"/>
          <w:i/>
          <w:iCs/>
          <w:color w:val="FF0000"/>
          <w:lang w:val="fr-CA"/>
        </w:rPr>
        <w:t>Avons-nous besoin de normes ou de pratiques régissant les déclarations</w:t>
      </w:r>
      <w:r w:rsidR="0017152A">
        <w:rPr>
          <w:rFonts w:eastAsia="Aptos" w:cstheme="minorHAnsi"/>
          <w:i/>
          <w:iCs/>
          <w:color w:val="FF0000"/>
          <w:lang w:val="fr-CA"/>
        </w:rPr>
        <w:t xml:space="preserve"> ou </w:t>
      </w:r>
      <w:r w:rsidRPr="00762A97">
        <w:rPr>
          <w:rFonts w:eastAsia="Aptos" w:cstheme="minorHAnsi"/>
          <w:i/>
          <w:iCs/>
          <w:color w:val="FF0000"/>
          <w:lang w:val="fr-CA"/>
        </w:rPr>
        <w:t>rapports générés par l</w:t>
      </w:r>
      <w:r w:rsidR="00C62E0C">
        <w:rPr>
          <w:rFonts w:eastAsia="Aptos" w:cstheme="minorHAnsi"/>
          <w:i/>
          <w:iCs/>
          <w:color w:val="FF0000"/>
          <w:lang w:val="fr-CA"/>
        </w:rPr>
        <w:t>’</w:t>
      </w:r>
      <w:r w:rsidRPr="00762A97">
        <w:rPr>
          <w:rFonts w:eastAsia="Aptos" w:cstheme="minorHAnsi"/>
          <w:i/>
          <w:iCs/>
          <w:color w:val="FF0000"/>
          <w:lang w:val="fr-CA"/>
        </w:rPr>
        <w:t>IA afin d</w:t>
      </w:r>
      <w:r w:rsidR="00C62E0C">
        <w:rPr>
          <w:rFonts w:eastAsia="Aptos" w:cstheme="minorHAnsi"/>
          <w:i/>
          <w:iCs/>
          <w:color w:val="FF0000"/>
          <w:lang w:val="fr-CA"/>
        </w:rPr>
        <w:t>’</w:t>
      </w:r>
      <w:r w:rsidRPr="00762A97">
        <w:rPr>
          <w:rFonts w:eastAsia="Aptos" w:cstheme="minorHAnsi"/>
          <w:i/>
          <w:iCs/>
          <w:color w:val="FF0000"/>
          <w:lang w:val="fr-CA"/>
        </w:rPr>
        <w:t>en garantir la fiabilité et l</w:t>
      </w:r>
      <w:r w:rsidR="00C62E0C">
        <w:rPr>
          <w:rFonts w:eastAsia="Aptos" w:cstheme="minorHAnsi"/>
          <w:i/>
          <w:iCs/>
          <w:color w:val="FF0000"/>
          <w:lang w:val="fr-CA"/>
        </w:rPr>
        <w:t>’</w:t>
      </w:r>
      <w:r w:rsidRPr="00762A97">
        <w:rPr>
          <w:rFonts w:eastAsia="Aptos" w:cstheme="minorHAnsi"/>
          <w:i/>
          <w:iCs/>
          <w:color w:val="FF0000"/>
          <w:lang w:val="fr-CA"/>
        </w:rPr>
        <w:t>admissibilité</w:t>
      </w:r>
      <w:r w:rsidR="007B72EC" w:rsidRPr="00A317D7">
        <w:rPr>
          <w:rFonts w:eastAsia="Aptos" w:cstheme="minorHAnsi"/>
          <w:i/>
          <w:iCs/>
          <w:color w:val="FF0000"/>
          <w:lang w:val="fr-CA"/>
        </w:rPr>
        <w:t xml:space="preserve">? </w:t>
      </w:r>
    </w:p>
    <w:p w14:paraId="7E470B48" w14:textId="77777777" w:rsidR="00302833" w:rsidRPr="00A317D7" w:rsidRDefault="00302833" w:rsidP="00613485">
      <w:pPr>
        <w:contextualSpacing/>
        <w:rPr>
          <w:rFonts w:eastAsia="Aptos" w:cs="Calibri"/>
          <w:b/>
          <w:bCs/>
          <w:sz w:val="24"/>
          <w:lang w:val="fr-CA"/>
        </w:rPr>
      </w:pPr>
    </w:p>
    <w:p w14:paraId="28D27441" w14:textId="17327A4E" w:rsidR="00364898" w:rsidRPr="00A317D7" w:rsidRDefault="00364898" w:rsidP="00261A72">
      <w:pPr>
        <w:pStyle w:val="Heading2"/>
        <w:numPr>
          <w:ilvl w:val="0"/>
          <w:numId w:val="35"/>
        </w:numPr>
        <w:spacing w:after="120"/>
        <w:rPr>
          <w:rFonts w:eastAsia="Aptos"/>
          <w:lang w:val="fr-CA"/>
        </w:rPr>
      </w:pPr>
      <w:bookmarkStart w:id="85" w:name="_Toc197353503"/>
      <w:bookmarkStart w:id="86" w:name="_Toc197599902"/>
      <w:r w:rsidRPr="00A317D7">
        <w:rPr>
          <w:rFonts w:eastAsia="Aptos"/>
          <w:lang w:val="fr-CA"/>
        </w:rPr>
        <w:t>Engagement</w:t>
      </w:r>
      <w:bookmarkEnd w:id="85"/>
      <w:r w:rsidRPr="00A317D7">
        <w:rPr>
          <w:rFonts w:eastAsia="Aptos"/>
          <w:lang w:val="fr-CA"/>
        </w:rPr>
        <w:t xml:space="preserve"> </w:t>
      </w:r>
      <w:r w:rsidR="00331AAB">
        <w:rPr>
          <w:rFonts w:eastAsia="Aptos"/>
          <w:lang w:val="fr-CA"/>
        </w:rPr>
        <w:t>public</w:t>
      </w:r>
      <w:bookmarkEnd w:id="86"/>
    </w:p>
    <w:p w14:paraId="2CC2A5A6" w14:textId="77777777" w:rsidR="00364898" w:rsidRPr="00A317D7" w:rsidRDefault="00364898" w:rsidP="00261A72">
      <w:pPr>
        <w:spacing w:after="120"/>
        <w:rPr>
          <w:rFonts w:eastAsia="Aptos" w:cs="Calibri"/>
          <w:szCs w:val="21"/>
          <w:lang w:val="fr-CA"/>
        </w:rPr>
      </w:pPr>
    </w:p>
    <w:p w14:paraId="3A54B789" w14:textId="3FA00BA3" w:rsidR="005C3B6A" w:rsidRPr="00762A97" w:rsidRDefault="00762A97" w:rsidP="00261A72">
      <w:pPr>
        <w:spacing w:after="120"/>
        <w:rPr>
          <w:rFonts w:eastAsia="Aptos" w:cstheme="minorHAnsi"/>
          <w:szCs w:val="21"/>
          <w:lang w:val="fr-CA"/>
        </w:rPr>
      </w:pPr>
      <w:r w:rsidRPr="00762A97">
        <w:rPr>
          <w:rFonts w:cstheme="minorHAnsi"/>
          <w:color w:val="212121"/>
          <w:lang w:val="fr-CA"/>
        </w:rPr>
        <w:t>De nombreux systèmes d</w:t>
      </w:r>
      <w:r w:rsidR="00C62E0C">
        <w:rPr>
          <w:rFonts w:cstheme="minorHAnsi"/>
          <w:color w:val="212121"/>
          <w:lang w:val="fr-CA"/>
        </w:rPr>
        <w:t>’</w:t>
      </w:r>
      <w:r w:rsidRPr="00762A97">
        <w:rPr>
          <w:rFonts w:cstheme="minorHAnsi"/>
          <w:color w:val="212121"/>
          <w:lang w:val="fr-CA"/>
        </w:rPr>
        <w:t xml:space="preserve">IA utilisés dans le </w:t>
      </w:r>
      <w:r w:rsidR="00E418E7">
        <w:rPr>
          <w:rFonts w:cstheme="minorHAnsi"/>
          <w:color w:val="212121"/>
          <w:lang w:val="fr-CA"/>
        </w:rPr>
        <w:t>secteur</w:t>
      </w:r>
      <w:r w:rsidRPr="00762A97">
        <w:rPr>
          <w:rFonts w:cstheme="minorHAnsi"/>
          <w:color w:val="212121"/>
          <w:lang w:val="fr-CA"/>
        </w:rPr>
        <w:t xml:space="preserve"> pénal ont été critiqués par des communautés qui estiment ne pas avoir été consultées ni informées au sujet de systèmes qui les concernent. De nombreuses initiatives en matière </w:t>
      </w:r>
      <w:r w:rsidR="00E418E7">
        <w:rPr>
          <w:rFonts w:cstheme="minorHAnsi"/>
          <w:color w:val="212121"/>
          <w:lang w:val="fr-CA"/>
        </w:rPr>
        <w:t>de fiabilité de l</w:t>
      </w:r>
      <w:r w:rsidR="00C62E0C">
        <w:rPr>
          <w:rFonts w:cstheme="minorHAnsi"/>
          <w:color w:val="212121"/>
          <w:lang w:val="fr-CA"/>
        </w:rPr>
        <w:t>’</w:t>
      </w:r>
      <w:r w:rsidRPr="00762A97">
        <w:rPr>
          <w:rFonts w:cstheme="minorHAnsi"/>
          <w:color w:val="212121"/>
          <w:lang w:val="fr-CA"/>
        </w:rPr>
        <w:t xml:space="preserve">IA </w:t>
      </w:r>
      <w:r w:rsidR="00105D48" w:rsidRPr="00105D48">
        <w:rPr>
          <w:rFonts w:cstheme="minorHAnsi"/>
          <w:color w:val="212121"/>
          <w:lang w:val="fr-CA"/>
        </w:rPr>
        <w:t>dans le secteur de la justice pénale</w:t>
      </w:r>
      <w:r w:rsidRPr="00762A97">
        <w:rPr>
          <w:rFonts w:cstheme="minorHAnsi"/>
          <w:color w:val="212121"/>
          <w:lang w:val="fr-CA"/>
        </w:rPr>
        <w:t xml:space="preserve">, notamment la politique </w:t>
      </w:r>
      <w:r w:rsidR="00E418E7">
        <w:rPr>
          <w:rFonts w:cstheme="minorHAnsi"/>
          <w:color w:val="212121"/>
          <w:lang w:val="fr-CA"/>
        </w:rPr>
        <w:t xml:space="preserve">du service de </w:t>
      </w:r>
      <w:r w:rsidRPr="00762A97">
        <w:rPr>
          <w:rFonts w:cstheme="minorHAnsi"/>
          <w:color w:val="212121"/>
          <w:lang w:val="fr-CA"/>
        </w:rPr>
        <w:t>police de Toronto en matière d</w:t>
      </w:r>
      <w:r w:rsidR="00C62E0C">
        <w:rPr>
          <w:rFonts w:cstheme="minorHAnsi"/>
          <w:color w:val="212121"/>
          <w:lang w:val="fr-CA"/>
        </w:rPr>
        <w:t>’</w:t>
      </w:r>
      <w:r w:rsidRPr="00762A97">
        <w:rPr>
          <w:rFonts w:cstheme="minorHAnsi"/>
          <w:color w:val="212121"/>
          <w:lang w:val="fr-CA"/>
        </w:rPr>
        <w:t>IA, prévoient des exigences en matière d</w:t>
      </w:r>
      <w:r w:rsidR="0017152A">
        <w:rPr>
          <w:rFonts w:cstheme="minorHAnsi"/>
          <w:color w:val="212121"/>
          <w:lang w:val="fr-CA"/>
        </w:rPr>
        <w:t xml:space="preserve">’engagement </w:t>
      </w:r>
      <w:r w:rsidRPr="00762A97">
        <w:rPr>
          <w:rFonts w:cstheme="minorHAnsi"/>
          <w:color w:val="212121"/>
          <w:lang w:val="fr-CA"/>
        </w:rPr>
        <w:t>du public</w:t>
      </w:r>
      <w:r w:rsidR="005C3B6A" w:rsidRPr="00762A97">
        <w:rPr>
          <w:rFonts w:cstheme="minorHAnsi"/>
          <w:color w:val="212121"/>
          <w:lang w:val="fr-CA"/>
        </w:rPr>
        <w:t xml:space="preserve">. </w:t>
      </w:r>
    </w:p>
    <w:p w14:paraId="4259A872" w14:textId="099B8BF2" w:rsidR="00364898" w:rsidRPr="00A317D7" w:rsidRDefault="00762A97" w:rsidP="00364898">
      <w:pPr>
        <w:rPr>
          <w:rFonts w:eastAsia="Aptos" w:cs="Calibri"/>
          <w:i/>
          <w:iCs/>
          <w:color w:val="FF0000"/>
          <w:szCs w:val="21"/>
          <w:lang w:val="fr-CA"/>
        </w:rPr>
      </w:pPr>
      <w:r w:rsidRPr="00762A97">
        <w:rPr>
          <w:rFonts w:eastAsia="Aptos" w:cs="Calibri"/>
          <w:i/>
          <w:iCs/>
          <w:color w:val="FF0000"/>
          <w:szCs w:val="21"/>
          <w:lang w:val="fr-CA"/>
        </w:rPr>
        <w:t>Comment le public devrait-il être impliqué dans l</w:t>
      </w:r>
      <w:r w:rsidR="00C62E0C">
        <w:rPr>
          <w:rFonts w:eastAsia="Aptos" w:cs="Calibri"/>
          <w:i/>
          <w:iCs/>
          <w:color w:val="FF0000"/>
          <w:szCs w:val="21"/>
          <w:lang w:val="fr-CA"/>
        </w:rPr>
        <w:t>’</w:t>
      </w:r>
      <w:r w:rsidRPr="00762A97">
        <w:rPr>
          <w:rFonts w:eastAsia="Aptos" w:cs="Calibri"/>
          <w:i/>
          <w:iCs/>
          <w:color w:val="FF0000"/>
          <w:szCs w:val="21"/>
          <w:lang w:val="fr-CA"/>
        </w:rPr>
        <w:t>élaboration, l</w:t>
      </w:r>
      <w:r w:rsidR="00C62E0C">
        <w:rPr>
          <w:rFonts w:eastAsia="Aptos" w:cs="Calibri"/>
          <w:i/>
          <w:iCs/>
          <w:color w:val="FF0000"/>
          <w:szCs w:val="21"/>
          <w:lang w:val="fr-CA"/>
        </w:rPr>
        <w:t>’</w:t>
      </w:r>
      <w:r w:rsidRPr="00762A97">
        <w:rPr>
          <w:rFonts w:eastAsia="Aptos" w:cs="Calibri"/>
          <w:i/>
          <w:iCs/>
          <w:color w:val="FF0000"/>
          <w:szCs w:val="21"/>
          <w:lang w:val="fr-CA"/>
        </w:rPr>
        <w:t>évaluation ou la surveillance des politiques en matière d</w:t>
      </w:r>
      <w:r w:rsidR="00C62E0C">
        <w:rPr>
          <w:rFonts w:eastAsia="Aptos" w:cs="Calibri"/>
          <w:i/>
          <w:iCs/>
          <w:color w:val="FF0000"/>
          <w:szCs w:val="21"/>
          <w:lang w:val="fr-CA"/>
        </w:rPr>
        <w:t>’</w:t>
      </w:r>
      <w:r w:rsidRPr="00762A97">
        <w:rPr>
          <w:rFonts w:eastAsia="Aptos" w:cs="Calibri"/>
          <w:i/>
          <w:iCs/>
          <w:color w:val="FF0000"/>
          <w:szCs w:val="21"/>
          <w:lang w:val="fr-CA"/>
        </w:rPr>
        <w:t xml:space="preserve">IA dans le </w:t>
      </w:r>
      <w:r w:rsidR="00E418E7">
        <w:rPr>
          <w:rFonts w:eastAsia="Aptos" w:cs="Calibri"/>
          <w:i/>
          <w:iCs/>
          <w:color w:val="FF0000"/>
          <w:szCs w:val="21"/>
          <w:lang w:val="fr-CA"/>
        </w:rPr>
        <w:t>système de justice</w:t>
      </w:r>
      <w:r w:rsidRPr="00762A97">
        <w:rPr>
          <w:rFonts w:eastAsia="Aptos" w:cs="Calibri"/>
          <w:i/>
          <w:iCs/>
          <w:color w:val="FF0000"/>
          <w:szCs w:val="21"/>
          <w:lang w:val="fr-CA"/>
        </w:rPr>
        <w:t xml:space="preserve"> pénal</w:t>
      </w:r>
      <w:r w:rsidR="00E418E7">
        <w:rPr>
          <w:rFonts w:eastAsia="Aptos" w:cs="Calibri"/>
          <w:i/>
          <w:iCs/>
          <w:color w:val="FF0000"/>
          <w:szCs w:val="21"/>
          <w:lang w:val="fr-CA"/>
        </w:rPr>
        <w:t>e</w:t>
      </w:r>
      <w:r w:rsidR="00364898" w:rsidRPr="00A317D7">
        <w:rPr>
          <w:rFonts w:eastAsia="Aptos" w:cs="Calibri"/>
          <w:i/>
          <w:iCs/>
          <w:color w:val="FF0000"/>
          <w:szCs w:val="21"/>
          <w:lang w:val="fr-CA"/>
        </w:rPr>
        <w:t xml:space="preserve">? </w:t>
      </w:r>
      <w:r w:rsidR="00364898" w:rsidRPr="00A317D7">
        <w:rPr>
          <w:rFonts w:eastAsia="Aptos" w:cs="Calibri"/>
          <w:i/>
          <w:iCs/>
          <w:color w:val="FF0000"/>
          <w:szCs w:val="21"/>
          <w:lang w:val="fr-CA"/>
        </w:rPr>
        <w:br/>
      </w:r>
    </w:p>
    <w:p w14:paraId="26061249" w14:textId="666EC270" w:rsidR="00613485" w:rsidRPr="00A317D7" w:rsidRDefault="007B72EC" w:rsidP="00A2744F">
      <w:pPr>
        <w:pStyle w:val="Heading2"/>
        <w:numPr>
          <w:ilvl w:val="0"/>
          <w:numId w:val="35"/>
        </w:numPr>
        <w:rPr>
          <w:rFonts w:eastAsia="Aptos"/>
          <w:lang w:val="fr-CA"/>
        </w:rPr>
      </w:pPr>
      <w:bookmarkStart w:id="87" w:name="_Toc197353504"/>
      <w:bookmarkStart w:id="88" w:name="_Toc197599903"/>
      <w:r w:rsidRPr="00A317D7">
        <w:rPr>
          <w:rFonts w:eastAsia="Aptos"/>
          <w:lang w:val="fr-CA"/>
        </w:rPr>
        <w:t>Acc</w:t>
      </w:r>
      <w:r w:rsidR="00331AAB">
        <w:rPr>
          <w:rFonts w:eastAsia="Aptos"/>
          <w:lang w:val="fr-CA"/>
        </w:rPr>
        <w:t>ès à la j</w:t>
      </w:r>
      <w:r w:rsidRPr="00A317D7">
        <w:rPr>
          <w:rFonts w:eastAsia="Aptos"/>
          <w:lang w:val="fr-CA"/>
        </w:rPr>
        <w:t>ustice</w:t>
      </w:r>
      <w:bookmarkEnd w:id="87"/>
      <w:bookmarkEnd w:id="88"/>
    </w:p>
    <w:p w14:paraId="6D02B8A4" w14:textId="77777777" w:rsidR="007B72EC" w:rsidRPr="00A317D7" w:rsidRDefault="007B72EC" w:rsidP="00C44A1D">
      <w:pPr>
        <w:spacing w:after="120"/>
        <w:contextualSpacing/>
        <w:rPr>
          <w:rFonts w:eastAsia="Aptos" w:cs="Calibri"/>
          <w:b/>
          <w:bCs/>
          <w:sz w:val="24"/>
          <w:lang w:val="fr-CA"/>
        </w:rPr>
      </w:pPr>
    </w:p>
    <w:p w14:paraId="0ACD89C0" w14:textId="6B6935E2" w:rsidR="0057301C" w:rsidRPr="00A317D7" w:rsidRDefault="00762A97" w:rsidP="00C44A1D">
      <w:pPr>
        <w:spacing w:after="120"/>
        <w:contextualSpacing/>
        <w:rPr>
          <w:rFonts w:eastAsia="Aptos" w:cs="Calibri"/>
          <w:szCs w:val="21"/>
          <w:lang w:val="fr-CA"/>
        </w:rPr>
      </w:pPr>
      <w:r w:rsidRPr="00762A97">
        <w:rPr>
          <w:rFonts w:eastAsia="Aptos" w:cs="Calibri"/>
          <w:szCs w:val="21"/>
          <w:lang w:val="fr-CA"/>
        </w:rPr>
        <w:lastRenderedPageBreak/>
        <w:t xml:space="preserve">Les documents thématiques comprenaient des discussions approfondies sur </w:t>
      </w:r>
      <w:r w:rsidR="00C00B53" w:rsidRPr="00C00B53">
        <w:rPr>
          <w:rFonts w:eastAsia="Aptos" w:cs="Calibri"/>
          <w:szCs w:val="21"/>
          <w:lang w:val="fr-CA"/>
        </w:rPr>
        <w:t xml:space="preserve">l’incidence </w:t>
      </w:r>
      <w:r w:rsidRPr="00762A97">
        <w:rPr>
          <w:rFonts w:eastAsia="Aptos" w:cs="Calibri"/>
          <w:szCs w:val="21"/>
          <w:lang w:val="fr-CA"/>
        </w:rPr>
        <w:t>systémique potentiel</w:t>
      </w:r>
      <w:r w:rsidR="00C00B53">
        <w:rPr>
          <w:rFonts w:eastAsia="Aptos" w:cs="Calibri"/>
          <w:szCs w:val="21"/>
          <w:lang w:val="fr-CA"/>
        </w:rPr>
        <w:t>le</w:t>
      </w:r>
      <w:r w:rsidRPr="00762A97">
        <w:rPr>
          <w:rFonts w:eastAsia="Aptos" w:cs="Calibri"/>
          <w:szCs w:val="21"/>
          <w:lang w:val="fr-CA"/>
        </w:rPr>
        <w:t xml:space="preserve"> des systèmes d</w:t>
      </w:r>
      <w:r w:rsidR="00C62E0C">
        <w:rPr>
          <w:rFonts w:eastAsia="Aptos" w:cs="Calibri"/>
          <w:szCs w:val="21"/>
          <w:lang w:val="fr-CA"/>
        </w:rPr>
        <w:t>’</w:t>
      </w:r>
      <w:r w:rsidRPr="00762A97">
        <w:rPr>
          <w:rFonts w:eastAsia="Aptos" w:cs="Calibri"/>
          <w:szCs w:val="21"/>
          <w:lang w:val="fr-CA"/>
        </w:rPr>
        <w:t xml:space="preserve">IA dans le </w:t>
      </w:r>
      <w:r w:rsidR="00E418E7">
        <w:rPr>
          <w:rFonts w:eastAsia="Aptos" w:cs="Calibri"/>
          <w:szCs w:val="21"/>
          <w:lang w:val="fr-CA"/>
        </w:rPr>
        <w:t>secteur</w:t>
      </w:r>
      <w:r w:rsidRPr="00762A97">
        <w:rPr>
          <w:rFonts w:eastAsia="Aptos" w:cs="Calibri"/>
          <w:szCs w:val="21"/>
          <w:lang w:val="fr-CA"/>
        </w:rPr>
        <w:t xml:space="preserve"> pénal sur l</w:t>
      </w:r>
      <w:r w:rsidR="00C62E0C">
        <w:rPr>
          <w:rFonts w:eastAsia="Aptos" w:cs="Calibri"/>
          <w:szCs w:val="21"/>
          <w:lang w:val="fr-CA"/>
        </w:rPr>
        <w:t>’</w:t>
      </w:r>
      <w:r w:rsidRPr="00762A97">
        <w:rPr>
          <w:rFonts w:eastAsia="Aptos" w:cs="Calibri"/>
          <w:szCs w:val="21"/>
          <w:lang w:val="fr-CA"/>
        </w:rPr>
        <w:t>accès à la justice et les communautés racisées, autochtone</w:t>
      </w:r>
      <w:r>
        <w:rPr>
          <w:rFonts w:eastAsia="Aptos" w:cs="Calibri"/>
          <w:szCs w:val="21"/>
          <w:lang w:val="fr-CA"/>
        </w:rPr>
        <w:t>s ou à faible revenu en Ontario</w:t>
      </w:r>
      <w:r w:rsidR="004711D1" w:rsidRPr="00A317D7">
        <w:rPr>
          <w:rFonts w:eastAsia="Aptos" w:cs="Calibri"/>
          <w:szCs w:val="21"/>
          <w:lang w:val="fr-CA"/>
        </w:rPr>
        <w:t xml:space="preserve">.  </w:t>
      </w:r>
    </w:p>
    <w:p w14:paraId="16B9BC41" w14:textId="77777777" w:rsidR="004711D1" w:rsidRPr="00A317D7" w:rsidRDefault="004711D1" w:rsidP="00C44A1D">
      <w:pPr>
        <w:spacing w:after="120"/>
        <w:contextualSpacing/>
        <w:rPr>
          <w:rFonts w:eastAsia="Aptos" w:cs="Calibri"/>
          <w:szCs w:val="21"/>
          <w:lang w:val="fr-CA"/>
        </w:rPr>
      </w:pPr>
    </w:p>
    <w:p w14:paraId="02E8A9AB" w14:textId="6F03FF88" w:rsidR="004711D1" w:rsidRPr="00A317D7" w:rsidRDefault="00762A97" w:rsidP="00C44A1D">
      <w:pPr>
        <w:spacing w:after="120"/>
        <w:contextualSpacing/>
        <w:rPr>
          <w:rFonts w:eastAsia="Aptos" w:cs="Calibri"/>
          <w:i/>
          <w:iCs/>
          <w:color w:val="FF0000"/>
          <w:szCs w:val="21"/>
          <w:lang w:val="fr-CA"/>
        </w:rPr>
      </w:pPr>
      <w:r w:rsidRPr="00762A97">
        <w:rPr>
          <w:rFonts w:eastAsia="Aptos" w:cs="Calibri"/>
          <w:i/>
          <w:iCs/>
          <w:color w:val="FF0000"/>
          <w:szCs w:val="21"/>
          <w:lang w:val="fr-CA"/>
        </w:rPr>
        <w:t>Outre les mesures évoquées ci-dessus, comment le système de justice pénale de l</w:t>
      </w:r>
      <w:r w:rsidR="00C62E0C">
        <w:rPr>
          <w:rFonts w:eastAsia="Aptos" w:cs="Calibri"/>
          <w:i/>
          <w:iCs/>
          <w:color w:val="FF0000"/>
          <w:szCs w:val="21"/>
          <w:lang w:val="fr-CA"/>
        </w:rPr>
        <w:t>’</w:t>
      </w:r>
      <w:r w:rsidRPr="00762A97">
        <w:rPr>
          <w:rFonts w:eastAsia="Aptos" w:cs="Calibri"/>
          <w:i/>
          <w:iCs/>
          <w:color w:val="FF0000"/>
          <w:szCs w:val="21"/>
          <w:lang w:val="fr-CA"/>
        </w:rPr>
        <w:t>Ontario peut-il garantir l</w:t>
      </w:r>
      <w:r w:rsidR="00C62E0C">
        <w:rPr>
          <w:rFonts w:eastAsia="Aptos" w:cs="Calibri"/>
          <w:i/>
          <w:iCs/>
          <w:color w:val="FF0000"/>
          <w:szCs w:val="21"/>
          <w:lang w:val="fr-CA"/>
        </w:rPr>
        <w:t>’</w:t>
      </w:r>
      <w:r w:rsidRPr="00762A97">
        <w:rPr>
          <w:rFonts w:eastAsia="Aptos" w:cs="Calibri"/>
          <w:i/>
          <w:iCs/>
          <w:color w:val="FF0000"/>
          <w:szCs w:val="21"/>
          <w:lang w:val="fr-CA"/>
        </w:rPr>
        <w:t>accès à la justice si les systèmes d</w:t>
      </w:r>
      <w:r w:rsidR="00C62E0C">
        <w:rPr>
          <w:rFonts w:eastAsia="Aptos" w:cs="Calibri"/>
          <w:i/>
          <w:iCs/>
          <w:color w:val="FF0000"/>
          <w:szCs w:val="21"/>
          <w:lang w:val="fr-CA"/>
        </w:rPr>
        <w:t>’</w:t>
      </w:r>
      <w:r w:rsidRPr="00762A97">
        <w:rPr>
          <w:rFonts w:eastAsia="Aptos" w:cs="Calibri"/>
          <w:i/>
          <w:iCs/>
          <w:color w:val="FF0000"/>
          <w:szCs w:val="21"/>
          <w:lang w:val="fr-CA"/>
        </w:rPr>
        <w:t xml:space="preserve">IA dans le </w:t>
      </w:r>
      <w:r w:rsidR="00E418E7">
        <w:rPr>
          <w:rFonts w:eastAsia="Aptos" w:cs="Calibri"/>
          <w:i/>
          <w:iCs/>
          <w:color w:val="FF0000"/>
          <w:szCs w:val="21"/>
          <w:lang w:val="fr-CA"/>
        </w:rPr>
        <w:t>secteur</w:t>
      </w:r>
      <w:r w:rsidRPr="00762A97">
        <w:rPr>
          <w:rFonts w:eastAsia="Aptos" w:cs="Calibri"/>
          <w:i/>
          <w:iCs/>
          <w:color w:val="FF0000"/>
          <w:szCs w:val="21"/>
          <w:lang w:val="fr-CA"/>
        </w:rPr>
        <w:t xml:space="preserve"> pénal sont largement adoptés dans la province</w:t>
      </w:r>
      <w:r w:rsidR="00364898" w:rsidRPr="00A317D7">
        <w:rPr>
          <w:rFonts w:eastAsia="Aptos" w:cs="Calibri"/>
          <w:i/>
          <w:iCs/>
          <w:color w:val="FF0000"/>
          <w:szCs w:val="21"/>
          <w:lang w:val="fr-CA"/>
        </w:rPr>
        <w:t>?</w:t>
      </w:r>
    </w:p>
    <w:p w14:paraId="60EC0C62" w14:textId="77777777" w:rsidR="00364898" w:rsidRPr="00A317D7" w:rsidRDefault="00364898" w:rsidP="00C44A1D">
      <w:pPr>
        <w:spacing w:after="120"/>
        <w:contextualSpacing/>
        <w:rPr>
          <w:rFonts w:eastAsia="Aptos" w:cs="Calibri"/>
          <w:i/>
          <w:iCs/>
          <w:color w:val="FF0000"/>
          <w:szCs w:val="21"/>
          <w:lang w:val="fr-CA"/>
        </w:rPr>
      </w:pPr>
    </w:p>
    <w:p w14:paraId="611B1E61" w14:textId="0DC73981" w:rsidR="00364898" w:rsidRPr="00A317D7" w:rsidRDefault="00762A97" w:rsidP="00C44A1D">
      <w:pPr>
        <w:spacing w:after="120"/>
        <w:contextualSpacing/>
        <w:rPr>
          <w:rFonts w:eastAsia="Aptos" w:cs="Calibri"/>
          <w:i/>
          <w:iCs/>
          <w:color w:val="FF0000"/>
          <w:szCs w:val="21"/>
          <w:lang w:val="fr-CA"/>
        </w:rPr>
      </w:pPr>
      <w:r w:rsidRPr="00762A97">
        <w:rPr>
          <w:rFonts w:eastAsia="Aptos" w:cs="Calibri"/>
          <w:i/>
          <w:iCs/>
          <w:color w:val="FF0000"/>
          <w:szCs w:val="21"/>
          <w:lang w:val="fr-CA"/>
        </w:rPr>
        <w:t>Quelles politiques ou mesures de soutien sont nécessaires pour garantir l</w:t>
      </w:r>
      <w:r w:rsidR="00C62E0C">
        <w:rPr>
          <w:rFonts w:eastAsia="Aptos" w:cs="Calibri"/>
          <w:i/>
          <w:iCs/>
          <w:color w:val="FF0000"/>
          <w:szCs w:val="21"/>
          <w:lang w:val="fr-CA"/>
        </w:rPr>
        <w:t>’</w:t>
      </w:r>
      <w:r w:rsidRPr="00762A97">
        <w:rPr>
          <w:rFonts w:eastAsia="Aptos" w:cs="Calibri"/>
          <w:i/>
          <w:iCs/>
          <w:color w:val="FF0000"/>
          <w:szCs w:val="21"/>
          <w:lang w:val="fr-CA"/>
        </w:rPr>
        <w:t>accès à la justice aux personnes accusées d</w:t>
      </w:r>
      <w:r w:rsidR="00C62E0C">
        <w:rPr>
          <w:rFonts w:eastAsia="Aptos" w:cs="Calibri"/>
          <w:i/>
          <w:iCs/>
          <w:color w:val="FF0000"/>
          <w:szCs w:val="21"/>
          <w:lang w:val="fr-CA"/>
        </w:rPr>
        <w:t>’</w:t>
      </w:r>
      <w:r w:rsidRPr="00762A97">
        <w:rPr>
          <w:rFonts w:eastAsia="Aptos" w:cs="Calibri"/>
          <w:i/>
          <w:iCs/>
          <w:color w:val="FF0000"/>
          <w:szCs w:val="21"/>
          <w:lang w:val="fr-CA"/>
        </w:rPr>
        <w:t>infractions criminelles qui n</w:t>
      </w:r>
      <w:r w:rsidR="00C62E0C">
        <w:rPr>
          <w:rFonts w:eastAsia="Aptos" w:cs="Calibri"/>
          <w:i/>
          <w:iCs/>
          <w:color w:val="FF0000"/>
          <w:szCs w:val="21"/>
          <w:lang w:val="fr-CA"/>
        </w:rPr>
        <w:t>’</w:t>
      </w:r>
      <w:r w:rsidRPr="00762A97">
        <w:rPr>
          <w:rFonts w:eastAsia="Aptos" w:cs="Calibri"/>
          <w:i/>
          <w:iCs/>
          <w:color w:val="FF0000"/>
          <w:szCs w:val="21"/>
          <w:lang w:val="fr-CA"/>
        </w:rPr>
        <w:t>ont pas les moyens de contester les systèmes d</w:t>
      </w:r>
      <w:r w:rsidR="00C62E0C">
        <w:rPr>
          <w:rFonts w:eastAsia="Aptos" w:cs="Calibri"/>
          <w:i/>
          <w:iCs/>
          <w:color w:val="FF0000"/>
          <w:szCs w:val="21"/>
          <w:lang w:val="fr-CA"/>
        </w:rPr>
        <w:t>’</w:t>
      </w:r>
      <w:r w:rsidRPr="00762A97">
        <w:rPr>
          <w:rFonts w:eastAsia="Aptos" w:cs="Calibri"/>
          <w:i/>
          <w:iCs/>
          <w:color w:val="FF0000"/>
          <w:szCs w:val="21"/>
          <w:lang w:val="fr-CA"/>
        </w:rPr>
        <w:t xml:space="preserve">IA utilisés dans le </w:t>
      </w:r>
      <w:r w:rsidR="00853F4E">
        <w:rPr>
          <w:rFonts w:eastAsia="Aptos" w:cs="Calibri"/>
          <w:i/>
          <w:iCs/>
          <w:color w:val="FF0000"/>
          <w:szCs w:val="21"/>
          <w:lang w:val="fr-CA"/>
        </w:rPr>
        <w:t>secteur</w:t>
      </w:r>
      <w:r w:rsidR="00853F4E" w:rsidRPr="00762A97">
        <w:rPr>
          <w:rFonts w:eastAsia="Aptos" w:cs="Calibri"/>
          <w:i/>
          <w:iCs/>
          <w:color w:val="FF0000"/>
          <w:szCs w:val="21"/>
          <w:lang w:val="fr-CA"/>
        </w:rPr>
        <w:t xml:space="preserve"> </w:t>
      </w:r>
      <w:r w:rsidRPr="00762A97">
        <w:rPr>
          <w:rFonts w:eastAsia="Aptos" w:cs="Calibri"/>
          <w:i/>
          <w:iCs/>
          <w:color w:val="FF0000"/>
          <w:szCs w:val="21"/>
          <w:lang w:val="fr-CA"/>
        </w:rPr>
        <w:t>pénal</w:t>
      </w:r>
      <w:r w:rsidR="00364898" w:rsidRPr="00A317D7">
        <w:rPr>
          <w:rFonts w:eastAsia="Aptos" w:cs="Calibri"/>
          <w:i/>
          <w:iCs/>
          <w:color w:val="FF0000"/>
          <w:szCs w:val="21"/>
          <w:lang w:val="fr-CA"/>
        </w:rPr>
        <w:t>?</w:t>
      </w:r>
    </w:p>
    <w:p w14:paraId="601AF13C" w14:textId="77777777" w:rsidR="004711D1" w:rsidRPr="00A317D7" w:rsidRDefault="004711D1" w:rsidP="00C44A1D">
      <w:pPr>
        <w:spacing w:after="120"/>
        <w:contextualSpacing/>
        <w:rPr>
          <w:rFonts w:eastAsia="Aptos" w:cs="Calibri"/>
          <w:color w:val="FF0000"/>
          <w:szCs w:val="21"/>
          <w:lang w:val="fr-CA"/>
        </w:rPr>
      </w:pPr>
    </w:p>
    <w:p w14:paraId="58F6BCA6" w14:textId="39A9362A" w:rsidR="0099008B" w:rsidRPr="00A317D7" w:rsidRDefault="00331AAB" w:rsidP="00331AAB">
      <w:pPr>
        <w:pStyle w:val="Heading2"/>
        <w:numPr>
          <w:ilvl w:val="0"/>
          <w:numId w:val="35"/>
        </w:numPr>
        <w:spacing w:after="120"/>
        <w:rPr>
          <w:rFonts w:eastAsia="Aptos"/>
          <w:lang w:val="fr-CA"/>
        </w:rPr>
      </w:pPr>
      <w:bookmarkStart w:id="89" w:name="_Toc197599904"/>
      <w:r w:rsidRPr="00331AAB">
        <w:rPr>
          <w:rFonts w:eastAsia="Aptos"/>
          <w:lang w:val="fr-CA"/>
        </w:rPr>
        <w:t>Capacité institutionnelle</w:t>
      </w:r>
      <w:bookmarkEnd w:id="89"/>
      <w:r w:rsidR="00C9376C" w:rsidRPr="00A317D7">
        <w:rPr>
          <w:rFonts w:eastAsia="Aptos"/>
          <w:lang w:val="fr-CA"/>
        </w:rPr>
        <w:t xml:space="preserve"> </w:t>
      </w:r>
    </w:p>
    <w:p w14:paraId="5DC4C663" w14:textId="0CF002B9" w:rsidR="00C9376C" w:rsidRPr="00A317D7" w:rsidRDefault="00762A97" w:rsidP="0099008B">
      <w:pPr>
        <w:spacing w:after="120"/>
        <w:rPr>
          <w:rFonts w:eastAsia="Aptos" w:cs="Calibri"/>
          <w:szCs w:val="21"/>
          <w:lang w:val="fr-CA"/>
        </w:rPr>
      </w:pPr>
      <w:r w:rsidRPr="00762A97">
        <w:rPr>
          <w:rFonts w:eastAsia="Aptos" w:cs="Calibri"/>
          <w:szCs w:val="21"/>
          <w:lang w:val="fr-CA"/>
        </w:rPr>
        <w:t>Les documents thématiques examinent comment les systèmes d</w:t>
      </w:r>
      <w:r w:rsidR="00C62E0C">
        <w:rPr>
          <w:rFonts w:eastAsia="Aptos" w:cs="Calibri"/>
          <w:szCs w:val="21"/>
          <w:lang w:val="fr-CA"/>
        </w:rPr>
        <w:t>’</w:t>
      </w:r>
      <w:r w:rsidRPr="00762A97">
        <w:rPr>
          <w:rFonts w:eastAsia="Aptos" w:cs="Calibri"/>
          <w:szCs w:val="21"/>
          <w:lang w:val="fr-CA"/>
        </w:rPr>
        <w:t xml:space="preserve">IA dans le </w:t>
      </w:r>
      <w:r w:rsidR="00853F4E" w:rsidRPr="00853F4E">
        <w:rPr>
          <w:rFonts w:eastAsia="Aptos" w:cs="Calibri"/>
          <w:szCs w:val="21"/>
          <w:lang w:val="fr-CA"/>
        </w:rPr>
        <w:t xml:space="preserve">secteur </w:t>
      </w:r>
      <w:r w:rsidRPr="00762A97">
        <w:rPr>
          <w:rFonts w:eastAsia="Aptos" w:cs="Calibri"/>
          <w:szCs w:val="21"/>
          <w:lang w:val="fr-CA"/>
        </w:rPr>
        <w:t>pénal posent de nouveaux défis aux institutions de justice pénale de l</w:t>
      </w:r>
      <w:r w:rsidR="00C62E0C">
        <w:rPr>
          <w:rFonts w:eastAsia="Aptos" w:cs="Calibri"/>
          <w:szCs w:val="21"/>
          <w:lang w:val="fr-CA"/>
        </w:rPr>
        <w:t>’</w:t>
      </w:r>
      <w:r w:rsidRPr="00762A97">
        <w:rPr>
          <w:rFonts w:eastAsia="Aptos" w:cs="Calibri"/>
          <w:szCs w:val="21"/>
          <w:lang w:val="fr-CA"/>
        </w:rPr>
        <w:t>Ontario</w:t>
      </w:r>
      <w:r w:rsidR="00C9376C" w:rsidRPr="00A317D7">
        <w:rPr>
          <w:rFonts w:eastAsia="Aptos" w:cs="Calibri"/>
          <w:szCs w:val="21"/>
          <w:lang w:val="fr-CA"/>
        </w:rPr>
        <w:t xml:space="preserve">. </w:t>
      </w:r>
    </w:p>
    <w:p w14:paraId="4470DFB6" w14:textId="67CD4EA6" w:rsidR="00C9376C" w:rsidRPr="00A317D7" w:rsidRDefault="00762A97" w:rsidP="0099008B">
      <w:pPr>
        <w:spacing w:after="120"/>
        <w:contextualSpacing/>
        <w:rPr>
          <w:b/>
          <w:bCs/>
          <w:color w:val="FF0000"/>
          <w:sz w:val="21"/>
          <w:szCs w:val="21"/>
          <w:lang w:val="fr-CA"/>
        </w:rPr>
      </w:pPr>
      <w:r w:rsidRPr="00762A97">
        <w:rPr>
          <w:rFonts w:eastAsia="Aptos" w:cs="Calibri"/>
          <w:i/>
          <w:iCs/>
          <w:color w:val="FF0000"/>
          <w:szCs w:val="21"/>
          <w:lang w:val="fr-CA"/>
        </w:rPr>
        <w:t>Le système judiciaire provincial a-t-il la capacité de relever ces défis? Si ce n</w:t>
      </w:r>
      <w:r w:rsidR="00C62E0C">
        <w:rPr>
          <w:rFonts w:eastAsia="Aptos" w:cs="Calibri"/>
          <w:i/>
          <w:iCs/>
          <w:color w:val="FF0000"/>
          <w:szCs w:val="21"/>
          <w:lang w:val="fr-CA"/>
        </w:rPr>
        <w:t>’</w:t>
      </w:r>
      <w:r w:rsidRPr="00762A97">
        <w:rPr>
          <w:rFonts w:eastAsia="Aptos" w:cs="Calibri"/>
          <w:i/>
          <w:iCs/>
          <w:color w:val="FF0000"/>
          <w:szCs w:val="21"/>
          <w:lang w:val="fr-CA"/>
        </w:rPr>
        <w:t>est pas le cas, quels outils ou soutiens sont nécessaires pour aider les institutions à relever ces défis de manière proactive</w:t>
      </w:r>
      <w:r w:rsidR="00C9376C" w:rsidRPr="00A317D7">
        <w:rPr>
          <w:rFonts w:eastAsia="Aptos" w:cs="Calibri"/>
          <w:i/>
          <w:iCs/>
          <w:color w:val="FF0000"/>
          <w:szCs w:val="21"/>
          <w:lang w:val="fr-CA"/>
        </w:rPr>
        <w:t>?</w:t>
      </w:r>
      <w:r w:rsidR="00C9376C" w:rsidRPr="00A317D7">
        <w:rPr>
          <w:rFonts w:eastAsia="Aptos" w:cs="Calibri"/>
          <w:i/>
          <w:iCs/>
          <w:color w:val="FF0000"/>
          <w:szCs w:val="21"/>
          <w:lang w:val="fr-CA"/>
        </w:rPr>
        <w:br/>
      </w:r>
    </w:p>
    <w:p w14:paraId="3FC9C92A" w14:textId="42DA5EE8" w:rsidR="007D204B" w:rsidRPr="00A317D7" w:rsidRDefault="00302833" w:rsidP="0099008B">
      <w:pPr>
        <w:pStyle w:val="Heading2"/>
        <w:numPr>
          <w:ilvl w:val="0"/>
          <w:numId w:val="35"/>
        </w:numPr>
        <w:spacing w:after="120"/>
        <w:rPr>
          <w:rFonts w:eastAsia="Aptos"/>
          <w:lang w:val="fr-CA"/>
        </w:rPr>
      </w:pPr>
      <w:bookmarkStart w:id="90" w:name="_Toc197353506"/>
      <w:bookmarkStart w:id="91" w:name="_Toc197599905"/>
      <w:r w:rsidRPr="00A317D7">
        <w:rPr>
          <w:rFonts w:eastAsia="Aptos"/>
          <w:lang w:val="fr-CA"/>
        </w:rPr>
        <w:t>S</w:t>
      </w:r>
      <w:r w:rsidR="00331AAB">
        <w:rPr>
          <w:rFonts w:eastAsia="Aptos"/>
          <w:lang w:val="fr-CA"/>
        </w:rPr>
        <w:t>urveillance systémique</w:t>
      </w:r>
      <w:bookmarkEnd w:id="90"/>
      <w:bookmarkEnd w:id="91"/>
      <w:r w:rsidRPr="00A317D7">
        <w:rPr>
          <w:rFonts w:eastAsia="Aptos"/>
          <w:lang w:val="fr-CA"/>
        </w:rPr>
        <w:t xml:space="preserve"> </w:t>
      </w:r>
    </w:p>
    <w:p w14:paraId="07424F77" w14:textId="432467FD" w:rsidR="007D204B" w:rsidRPr="00A317D7" w:rsidRDefault="00762A97" w:rsidP="0099008B">
      <w:pPr>
        <w:spacing w:before="120" w:after="120" w:line="240" w:lineRule="auto"/>
        <w:rPr>
          <w:rFonts w:cstheme="minorHAnsi"/>
          <w:szCs w:val="21"/>
          <w:lang w:val="fr-CA"/>
        </w:rPr>
      </w:pPr>
      <w:r w:rsidRPr="00762A97">
        <w:rPr>
          <w:rFonts w:cstheme="minorHAnsi"/>
          <w:szCs w:val="21"/>
          <w:lang w:val="fr-CA"/>
        </w:rPr>
        <w:t>Outre les mesures évoquées ci-dessus, nombreux sont ceux qui estiment nécessaire de mettre en place un contrôle indépendant des systèmes d</w:t>
      </w:r>
      <w:r w:rsidR="00C62E0C">
        <w:rPr>
          <w:rFonts w:cstheme="minorHAnsi"/>
          <w:szCs w:val="21"/>
          <w:lang w:val="fr-CA"/>
        </w:rPr>
        <w:t>’</w:t>
      </w:r>
      <w:r w:rsidRPr="00762A97">
        <w:rPr>
          <w:rFonts w:cstheme="minorHAnsi"/>
          <w:szCs w:val="21"/>
          <w:lang w:val="fr-CA"/>
        </w:rPr>
        <w:t xml:space="preserve">IA utilisés dans le secteur public, y compris dans le </w:t>
      </w:r>
      <w:r w:rsidR="005D5B92">
        <w:rPr>
          <w:rFonts w:cstheme="minorHAnsi"/>
          <w:szCs w:val="21"/>
          <w:lang w:val="fr-CA"/>
        </w:rPr>
        <w:t>système</w:t>
      </w:r>
      <w:r w:rsidRPr="00762A97">
        <w:rPr>
          <w:rFonts w:cstheme="minorHAnsi"/>
          <w:szCs w:val="21"/>
          <w:lang w:val="fr-CA"/>
        </w:rPr>
        <w:t xml:space="preserve"> de justice pénale</w:t>
      </w:r>
      <w:r w:rsidR="007D204B" w:rsidRPr="00A317D7">
        <w:rPr>
          <w:rFonts w:cstheme="minorHAnsi"/>
          <w:szCs w:val="21"/>
          <w:lang w:val="fr-CA"/>
        </w:rPr>
        <w:t>.</w:t>
      </w:r>
    </w:p>
    <w:p w14:paraId="469CA8E4" w14:textId="6EA52B1A" w:rsidR="00C9376C" w:rsidRPr="00A317D7" w:rsidRDefault="00762A97" w:rsidP="0099008B">
      <w:pPr>
        <w:spacing w:before="120" w:after="120" w:line="240" w:lineRule="auto"/>
        <w:rPr>
          <w:rFonts w:cstheme="minorHAnsi"/>
          <w:i/>
          <w:iCs/>
          <w:color w:val="FF0000"/>
          <w:szCs w:val="21"/>
          <w:lang w:val="fr-CA"/>
        </w:rPr>
      </w:pPr>
      <w:r w:rsidRPr="00762A97">
        <w:rPr>
          <w:rFonts w:cstheme="minorHAnsi"/>
          <w:i/>
          <w:iCs/>
          <w:color w:val="FF0000"/>
          <w:szCs w:val="21"/>
          <w:lang w:val="fr-CA"/>
        </w:rPr>
        <w:t>Étant donné que de nombreuses institutions de justice pénale font l</w:t>
      </w:r>
      <w:r w:rsidR="00C62E0C">
        <w:rPr>
          <w:rFonts w:cstheme="minorHAnsi"/>
          <w:i/>
          <w:iCs/>
          <w:color w:val="FF0000"/>
          <w:szCs w:val="21"/>
          <w:lang w:val="fr-CA"/>
        </w:rPr>
        <w:t>’</w:t>
      </w:r>
      <w:r w:rsidRPr="00762A97">
        <w:rPr>
          <w:rFonts w:cstheme="minorHAnsi"/>
          <w:i/>
          <w:iCs/>
          <w:color w:val="FF0000"/>
          <w:szCs w:val="21"/>
          <w:lang w:val="fr-CA"/>
        </w:rPr>
        <w:t>objet ou sont soumises à des formes de contrôle, comment fonctionnerait le contrôle de l</w:t>
      </w:r>
      <w:r w:rsidR="00C62E0C">
        <w:rPr>
          <w:rFonts w:cstheme="minorHAnsi"/>
          <w:i/>
          <w:iCs/>
          <w:color w:val="FF0000"/>
          <w:szCs w:val="21"/>
          <w:lang w:val="fr-CA"/>
        </w:rPr>
        <w:t>’</w:t>
      </w:r>
      <w:r w:rsidRPr="00762A97">
        <w:rPr>
          <w:rFonts w:cstheme="minorHAnsi"/>
          <w:i/>
          <w:iCs/>
          <w:color w:val="FF0000"/>
          <w:szCs w:val="21"/>
          <w:lang w:val="fr-CA"/>
        </w:rPr>
        <w:t>I</w:t>
      </w:r>
      <w:r w:rsidR="00853F4E">
        <w:rPr>
          <w:rFonts w:cstheme="minorHAnsi"/>
          <w:i/>
          <w:iCs/>
          <w:color w:val="FF0000"/>
          <w:szCs w:val="21"/>
          <w:lang w:val="fr-CA"/>
        </w:rPr>
        <w:t>A</w:t>
      </w:r>
      <w:r w:rsidR="004A4B72" w:rsidRPr="00A317D7">
        <w:rPr>
          <w:rFonts w:cstheme="minorHAnsi"/>
          <w:i/>
          <w:iCs/>
          <w:color w:val="FF0000"/>
          <w:szCs w:val="21"/>
          <w:lang w:val="fr-CA"/>
        </w:rPr>
        <w:t xml:space="preserve">? </w:t>
      </w:r>
    </w:p>
    <w:p w14:paraId="523F69B6" w14:textId="31A2EE56" w:rsidR="007D204B" w:rsidRPr="00A317D7" w:rsidRDefault="00762A97" w:rsidP="0099008B">
      <w:pPr>
        <w:spacing w:before="120" w:after="120" w:line="240" w:lineRule="auto"/>
        <w:rPr>
          <w:rFonts w:cstheme="minorHAnsi"/>
          <w:i/>
          <w:iCs/>
          <w:color w:val="FF0000"/>
          <w:szCs w:val="21"/>
          <w:lang w:val="fr-CA"/>
        </w:rPr>
      </w:pPr>
      <w:r w:rsidRPr="00762A97">
        <w:rPr>
          <w:rFonts w:cstheme="minorHAnsi"/>
          <w:i/>
          <w:iCs/>
          <w:color w:val="FF0000"/>
          <w:szCs w:val="21"/>
          <w:lang w:val="fr-CA"/>
        </w:rPr>
        <w:t>L</w:t>
      </w:r>
      <w:r w:rsidR="00C62E0C">
        <w:rPr>
          <w:rFonts w:cstheme="minorHAnsi"/>
          <w:i/>
          <w:iCs/>
          <w:color w:val="FF0000"/>
          <w:szCs w:val="21"/>
          <w:lang w:val="fr-CA"/>
        </w:rPr>
        <w:t>’</w:t>
      </w:r>
      <w:r w:rsidRPr="00762A97">
        <w:rPr>
          <w:rFonts w:cstheme="minorHAnsi"/>
          <w:i/>
          <w:iCs/>
          <w:color w:val="FF0000"/>
          <w:szCs w:val="21"/>
          <w:lang w:val="fr-CA"/>
        </w:rPr>
        <w:t>Ontario a-t-il besoin d</w:t>
      </w:r>
      <w:r w:rsidR="00C62E0C">
        <w:rPr>
          <w:rFonts w:cstheme="minorHAnsi"/>
          <w:i/>
          <w:iCs/>
          <w:color w:val="FF0000"/>
          <w:szCs w:val="21"/>
          <w:lang w:val="fr-CA"/>
        </w:rPr>
        <w:t>’</w:t>
      </w:r>
      <w:r w:rsidRPr="00762A97">
        <w:rPr>
          <w:rFonts w:cstheme="minorHAnsi"/>
          <w:i/>
          <w:iCs/>
          <w:color w:val="FF0000"/>
          <w:szCs w:val="21"/>
          <w:lang w:val="fr-CA"/>
        </w:rPr>
        <w:t>un nouvel organisme de surveillance indépendant ou cette fonction peut-elle être intégrée aux organismes existants</w:t>
      </w:r>
      <w:r w:rsidR="007D204B" w:rsidRPr="00A317D7">
        <w:rPr>
          <w:rFonts w:cstheme="minorHAnsi"/>
          <w:i/>
          <w:iCs/>
          <w:color w:val="FF0000"/>
          <w:szCs w:val="21"/>
          <w:lang w:val="fr-CA"/>
        </w:rPr>
        <w:t>?</w:t>
      </w:r>
    </w:p>
    <w:p w14:paraId="120B950A" w14:textId="77777777" w:rsidR="00AD6262" w:rsidRPr="00A317D7" w:rsidRDefault="00AD6262" w:rsidP="00623CB4">
      <w:pPr>
        <w:ind w:left="720"/>
        <w:rPr>
          <w:rFonts w:eastAsia="Calibri" w:cstheme="minorHAnsi"/>
          <w:b/>
          <w:bCs/>
          <w:i/>
          <w:iCs/>
          <w:kern w:val="0"/>
          <w:lang w:val="fr-CA" w:eastAsia="en-CA"/>
          <w14:ligatures w14:val="none"/>
        </w:rPr>
      </w:pPr>
    </w:p>
    <w:p w14:paraId="451A499A" w14:textId="77777777" w:rsidR="0040140A" w:rsidRPr="00A317D7" w:rsidRDefault="0040140A" w:rsidP="0040140A">
      <w:pPr>
        <w:spacing w:after="0"/>
        <w:rPr>
          <w:bCs/>
          <w:lang w:val="fr-CA"/>
        </w:rPr>
      </w:pPr>
    </w:p>
    <w:p w14:paraId="51F743C3" w14:textId="77777777" w:rsidR="00414E25" w:rsidRPr="00A317D7" w:rsidRDefault="00414E25" w:rsidP="00414E25">
      <w:pPr>
        <w:spacing w:after="0"/>
        <w:rPr>
          <w:rFonts w:ascii="Calibri" w:eastAsia="Calibri" w:hAnsi="Calibri" w:cs="Times New Roman"/>
          <w:lang w:val="fr-CA"/>
        </w:rPr>
      </w:pPr>
    </w:p>
    <w:p w14:paraId="1BA353E9" w14:textId="650E5DB7" w:rsidR="006A012C" w:rsidRPr="00A317D7" w:rsidRDefault="006A012C">
      <w:pPr>
        <w:rPr>
          <w:rFonts w:asciiTheme="majorHAnsi" w:eastAsiaTheme="majorEastAsia" w:hAnsiTheme="majorHAnsi" w:cstheme="majorBidi"/>
          <w:b/>
          <w:color w:val="2F5496" w:themeColor="accent1" w:themeShade="BF"/>
          <w:sz w:val="26"/>
          <w:szCs w:val="26"/>
          <w:lang w:val="fr-CA"/>
        </w:rPr>
      </w:pPr>
    </w:p>
    <w:sectPr w:rsidR="006A012C" w:rsidRPr="00A317D7" w:rsidSect="00225A92">
      <w:headerReference w:type="default" r:id="rId42"/>
      <w:footerReference w:type="default" r:id="rId43"/>
      <w:endnotePr>
        <w:numFmt w:val="decimal"/>
      </w:endnotePr>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339E3" w14:textId="77777777" w:rsidR="00ED779B" w:rsidRDefault="00ED779B" w:rsidP="0060645D">
      <w:pPr>
        <w:spacing w:after="0" w:line="240" w:lineRule="auto"/>
      </w:pPr>
      <w:r>
        <w:separator/>
      </w:r>
    </w:p>
  </w:endnote>
  <w:endnote w:type="continuationSeparator" w:id="0">
    <w:p w14:paraId="58A85D1C" w14:textId="77777777" w:rsidR="00ED779B" w:rsidRDefault="00ED779B" w:rsidP="0060645D">
      <w:pPr>
        <w:spacing w:after="0" w:line="240" w:lineRule="auto"/>
      </w:pPr>
      <w:r>
        <w:continuationSeparator/>
      </w:r>
    </w:p>
  </w:endnote>
  <w:endnote w:id="1">
    <w:p w14:paraId="724730E9" w14:textId="3532A98D" w:rsidR="00A610A1" w:rsidRPr="00A610A1" w:rsidRDefault="00A610A1">
      <w:pPr>
        <w:pStyle w:val="EndnoteText"/>
        <w:rPr>
          <w:lang w:val="en-US"/>
        </w:rPr>
      </w:pPr>
      <w:r w:rsidRPr="00C20DA6">
        <w:rPr>
          <w:rStyle w:val="EndnoteReference"/>
          <w:lang w:val="fr-CA"/>
        </w:rPr>
        <w:endnoteRef/>
      </w:r>
      <w:r w:rsidRPr="00C20DA6">
        <w:rPr>
          <w:lang w:val="fr-CA"/>
        </w:rPr>
        <w:t xml:space="preserve"> Le maintien de l’ordre prédictif est abordé dans le document de travail n°</w:t>
      </w:r>
      <w:r>
        <w:rPr>
          <w:lang w:val="fr-CA"/>
        </w:rPr>
        <w:t> </w:t>
      </w:r>
      <w:r w:rsidRPr="00C20DA6">
        <w:rPr>
          <w:lang w:val="fr-CA"/>
        </w:rPr>
        <w:t xml:space="preserve">2 du projet de la CDO sur l’IA dans le système de justice pénale, intitulé « Utilisation de l’IA par les forces de l’ordre » [document de travail de la CDO sur l’IA dans le domaine policier], rédigé par Ryan Fritsch, conseiller en politiques de la CDO. Ce rapport est disponible en ligne au </w:t>
      </w:r>
      <w:hyperlink r:id="rId1" w:history="1">
        <w:r w:rsidRPr="00C20DA6">
          <w:rPr>
            <w:rStyle w:val="Hyperlink"/>
            <w:lang w:val="fr-CA"/>
          </w:rPr>
          <w:t>https://www.lco-cdo.org/fr/nos-projets-en-cours/lia-dans-le-systeme-de-justice-penale/</w:t>
        </w:r>
      </w:hyperlink>
      <w:r w:rsidRPr="00C20DA6">
        <w:rPr>
          <w:lang w:val="fr-CA"/>
        </w:rPr>
        <w:t xml:space="preserve">. </w:t>
      </w:r>
      <w:r w:rsidRPr="00CE33F3">
        <w:rPr>
          <w:lang w:val="fr-CA"/>
        </w:rPr>
        <w:t>Voir aussi</w:t>
      </w:r>
      <w:r w:rsidRPr="00A610A1">
        <w:rPr>
          <w:lang w:val="en-US"/>
        </w:rPr>
        <w:t xml:space="preserve">, Andrew Guthrie Ferguson, « Predictive Policing Theory » </w:t>
      </w:r>
      <w:r w:rsidRPr="00CE33F3">
        <w:rPr>
          <w:lang w:val="fr-CA"/>
        </w:rPr>
        <w:t>publié comme chapitre 24 dans</w:t>
      </w:r>
      <w:r w:rsidRPr="00A610A1">
        <w:rPr>
          <w:lang w:val="en-US"/>
        </w:rPr>
        <w:t xml:space="preserve"> Tamara Rice Lave et Eric J. Miller (</w:t>
      </w:r>
      <w:r w:rsidRPr="00CE33F3">
        <w:rPr>
          <w:lang w:val="fr-CA"/>
        </w:rPr>
        <w:t>éd</w:t>
      </w:r>
      <w:r w:rsidRPr="00A610A1">
        <w:rPr>
          <w:lang w:val="en-US"/>
        </w:rPr>
        <w:t xml:space="preserve">.), </w:t>
      </w:r>
      <w:r w:rsidRPr="00A610A1">
        <w:rPr>
          <w:i/>
          <w:iCs/>
          <w:lang w:val="en-US"/>
        </w:rPr>
        <w:t>The Cambridge Handbook of Policing in the United States</w:t>
      </w:r>
      <w:r w:rsidRPr="00A610A1">
        <w:rPr>
          <w:lang w:val="en-US"/>
        </w:rPr>
        <w:t xml:space="preserve"> [Ferguson 2019] (2019), </w:t>
      </w:r>
      <w:r w:rsidRPr="00CE33F3">
        <w:rPr>
          <w:lang w:val="fr-CA"/>
        </w:rPr>
        <w:t>en ligne</w:t>
      </w:r>
      <w:r w:rsidRPr="00A610A1">
        <w:rPr>
          <w:lang w:val="en-US"/>
        </w:rPr>
        <w:t xml:space="preserve"> : </w:t>
      </w:r>
      <w:hyperlink r:id="rId2" w:history="1">
        <w:r w:rsidRPr="00A610A1">
          <w:rPr>
            <w:rStyle w:val="Hyperlink"/>
            <w:lang w:val="en-US"/>
          </w:rPr>
          <w:t>https://ssrn.com/abstract=3516382</w:t>
        </w:r>
      </w:hyperlink>
      <w:r w:rsidRPr="00A610A1">
        <w:rPr>
          <w:rStyle w:val="Hyperlink"/>
          <w:lang w:val="en-US"/>
        </w:rPr>
        <w:t> </w:t>
      </w:r>
      <w:r w:rsidRPr="00A610A1">
        <w:rPr>
          <w:lang w:val="en-US"/>
        </w:rPr>
        <w:t xml:space="preserve">; National Academies of Sciences, Engineering, and Medicine, </w:t>
      </w:r>
      <w:r w:rsidRPr="00A610A1">
        <w:rPr>
          <w:i/>
          <w:iCs/>
          <w:lang w:val="en-US"/>
        </w:rPr>
        <w:t>Law Enforcement Use of Predictive Policing Approaches: Proceedings of a Workshop – In Brief</w:t>
      </w:r>
      <w:r w:rsidRPr="00A610A1">
        <w:rPr>
          <w:lang w:val="en-US"/>
        </w:rPr>
        <w:t xml:space="preserve"> [NAS Predictive Policing] (2024), </w:t>
      </w:r>
      <w:r w:rsidR="00CE33F3" w:rsidRPr="00CE33F3">
        <w:rPr>
          <w:lang w:val="fr-CA"/>
        </w:rPr>
        <w:t>en ligne</w:t>
      </w:r>
      <w:r w:rsidR="00CE33F3" w:rsidRPr="00A610A1">
        <w:rPr>
          <w:lang w:val="en-US"/>
        </w:rPr>
        <w:t> </w:t>
      </w:r>
      <w:r w:rsidRPr="00A610A1">
        <w:rPr>
          <w:lang w:val="en-US"/>
        </w:rPr>
        <w:t xml:space="preserve">: </w:t>
      </w:r>
      <w:hyperlink r:id="rId3" w:history="1">
        <w:r w:rsidRPr="00A610A1">
          <w:rPr>
            <w:rStyle w:val="Hyperlink"/>
            <w:lang w:val="en-US"/>
          </w:rPr>
          <w:t>https://nap.nationalacademies.org/catalog/28037/law-enforcement-use-of-predictive-policing-approaches-proceedings-of-a</w:t>
        </w:r>
      </w:hyperlink>
      <w:r w:rsidRPr="00A610A1">
        <w:rPr>
          <w:rStyle w:val="Hyperlink"/>
          <w:lang w:val="en-US"/>
        </w:rPr>
        <w:t> </w:t>
      </w:r>
      <w:r w:rsidRPr="00A610A1">
        <w:rPr>
          <w:lang w:val="en-US"/>
        </w:rPr>
        <w:t xml:space="preserve">; et The Citizen Lab, </w:t>
      </w:r>
      <w:r w:rsidRPr="00A610A1">
        <w:rPr>
          <w:i/>
          <w:iCs/>
          <w:lang w:val="en-US"/>
        </w:rPr>
        <w:t>To Surveil and Protect: A Human Rights Analysis of Algorithmic Policing in Canada</w:t>
      </w:r>
      <w:r w:rsidRPr="00A610A1">
        <w:rPr>
          <w:lang w:val="en-US"/>
        </w:rPr>
        <w:t xml:space="preserve"> [To Surveil and Protect] (2020), </w:t>
      </w:r>
      <w:r w:rsidR="00CE33F3" w:rsidRPr="00CE33F3">
        <w:rPr>
          <w:lang w:val="fr-CA"/>
        </w:rPr>
        <w:t>en ligne</w:t>
      </w:r>
      <w:r w:rsidR="00CE33F3" w:rsidRPr="00A610A1">
        <w:rPr>
          <w:lang w:val="en-US"/>
        </w:rPr>
        <w:t> </w:t>
      </w:r>
      <w:r w:rsidRPr="00A610A1">
        <w:rPr>
          <w:lang w:val="en-US"/>
        </w:rPr>
        <w:t xml:space="preserve">: </w:t>
      </w:r>
      <w:hyperlink r:id="rId4" w:history="1">
        <w:r w:rsidRPr="00A610A1">
          <w:rPr>
            <w:rStyle w:val="Hyperlink"/>
            <w:lang w:val="en-US"/>
          </w:rPr>
          <w:t>https://citizenlab.ca/wp-content/uploads/2020/09/To-Surveil-and-Predict.pdf</w:t>
        </w:r>
      </w:hyperlink>
      <w:r w:rsidRPr="00A610A1">
        <w:rPr>
          <w:lang w:val="en-US"/>
        </w:rPr>
        <w:t xml:space="preserve">. </w:t>
      </w:r>
    </w:p>
  </w:endnote>
  <w:endnote w:id="2">
    <w:p w14:paraId="51F5391A" w14:textId="5BC89571" w:rsidR="00A610A1" w:rsidRPr="00A610A1" w:rsidRDefault="00A610A1" w:rsidP="00E03202">
      <w:pPr>
        <w:pStyle w:val="EndnoteText"/>
        <w:rPr>
          <w:lang w:val="en-US"/>
        </w:rPr>
      </w:pPr>
      <w:r w:rsidRPr="00C20DA6">
        <w:rPr>
          <w:rStyle w:val="EndnoteReference"/>
          <w:lang w:val="fr-CA"/>
        </w:rPr>
        <w:endnoteRef/>
      </w:r>
      <w:r w:rsidRPr="00A610A1">
        <w:rPr>
          <w:lang w:val="en-US"/>
        </w:rPr>
        <w:t xml:space="preserve"> Ferguson 2019 p. 491.</w:t>
      </w:r>
    </w:p>
  </w:endnote>
  <w:endnote w:id="3">
    <w:p w14:paraId="3C961CEC" w14:textId="3A70BE9D" w:rsidR="00A610A1" w:rsidRPr="00A610A1" w:rsidRDefault="00A610A1" w:rsidP="0062785A">
      <w:pPr>
        <w:pStyle w:val="EndnoteText"/>
        <w:rPr>
          <w:lang w:val="en-US"/>
        </w:rPr>
      </w:pPr>
      <w:r w:rsidRPr="00C20DA6">
        <w:rPr>
          <w:rStyle w:val="EndnoteReference"/>
          <w:lang w:val="fr-CA"/>
        </w:rPr>
        <w:endnoteRef/>
      </w:r>
      <w:r w:rsidRPr="00A610A1">
        <w:rPr>
          <w:lang w:val="en-US"/>
        </w:rPr>
        <w:t xml:space="preserve"> </w:t>
      </w:r>
      <w:r w:rsidRPr="00A610A1">
        <w:rPr>
          <w:i/>
          <w:lang w:val="en-US"/>
        </w:rPr>
        <w:t xml:space="preserve">To </w:t>
      </w:r>
      <w:r w:rsidRPr="00A610A1">
        <w:rPr>
          <w:i/>
          <w:iCs/>
          <w:lang w:val="en-US"/>
        </w:rPr>
        <w:t>Surveil and Protect</w:t>
      </w:r>
      <w:r w:rsidRPr="00A610A1">
        <w:rPr>
          <w:lang w:val="en-US"/>
        </w:rPr>
        <w:t xml:space="preserve"> p. 41-46. </w:t>
      </w:r>
    </w:p>
  </w:endnote>
  <w:endnote w:id="4">
    <w:p w14:paraId="41A92120" w14:textId="0CB58F6B" w:rsidR="00A610A1" w:rsidRPr="00C20DA6" w:rsidRDefault="00A610A1" w:rsidP="0022083A">
      <w:pPr>
        <w:pStyle w:val="EndnoteText"/>
        <w:rPr>
          <w:lang w:val="fr-CA"/>
        </w:rPr>
      </w:pPr>
      <w:r w:rsidRPr="00C20DA6">
        <w:rPr>
          <w:rStyle w:val="EndnoteReference"/>
          <w:lang w:val="fr-CA"/>
        </w:rPr>
        <w:endnoteRef/>
      </w:r>
      <w:r w:rsidRPr="00C20DA6">
        <w:rPr>
          <w:lang w:val="fr-CA"/>
        </w:rPr>
        <w:t xml:space="preserve"> Voir de manière générale, document thématique sur l’utilisation de l’IA par la police de la CDO et NAS </w:t>
      </w:r>
      <w:r w:rsidRPr="00CE33F3">
        <w:t>Predictive Policing</w:t>
      </w:r>
      <w:r w:rsidRPr="00C20DA6">
        <w:rPr>
          <w:lang w:val="fr-CA"/>
        </w:rPr>
        <w:t>, p. 3-4.</w:t>
      </w:r>
    </w:p>
  </w:endnote>
  <w:endnote w:id="5">
    <w:p w14:paraId="5C244CC4" w14:textId="09FC52D7" w:rsidR="00A610A1" w:rsidRPr="00A610A1" w:rsidRDefault="00A610A1" w:rsidP="008A2ED0">
      <w:pPr>
        <w:spacing w:after="0"/>
        <w:rPr>
          <w:lang w:val="en-US"/>
        </w:rPr>
      </w:pPr>
      <w:r w:rsidRPr="00C20DA6">
        <w:rPr>
          <w:rStyle w:val="EndnoteReference"/>
          <w:sz w:val="20"/>
          <w:szCs w:val="20"/>
          <w:lang w:val="fr-CA"/>
        </w:rPr>
        <w:endnoteRef/>
      </w:r>
      <w:r w:rsidRPr="00A610A1">
        <w:rPr>
          <w:color w:val="000000"/>
          <w:sz w:val="20"/>
          <w:szCs w:val="20"/>
          <w:lang w:val="en-US"/>
        </w:rPr>
        <w:t xml:space="preserve"> </w:t>
      </w:r>
      <w:r w:rsidRPr="00A610A1">
        <w:rPr>
          <w:i/>
          <w:color w:val="000000"/>
          <w:sz w:val="20"/>
          <w:szCs w:val="20"/>
          <w:lang w:val="en-US"/>
        </w:rPr>
        <w:t>To</w:t>
      </w:r>
      <w:r w:rsidRPr="00A610A1">
        <w:rPr>
          <w:color w:val="000000"/>
          <w:sz w:val="20"/>
          <w:szCs w:val="20"/>
          <w:lang w:val="en-US"/>
        </w:rPr>
        <w:t xml:space="preserve"> </w:t>
      </w:r>
      <w:r w:rsidRPr="00A610A1">
        <w:rPr>
          <w:i/>
          <w:iCs/>
          <w:color w:val="000000"/>
          <w:sz w:val="20"/>
          <w:szCs w:val="20"/>
          <w:lang w:val="en-US"/>
        </w:rPr>
        <w:t>Surveil and Protect</w:t>
      </w:r>
      <w:r w:rsidRPr="00A610A1">
        <w:rPr>
          <w:color w:val="000000"/>
          <w:sz w:val="20"/>
          <w:szCs w:val="20"/>
          <w:lang w:val="en-US"/>
        </w:rPr>
        <w:t xml:space="preserve"> p. 47. </w:t>
      </w:r>
    </w:p>
  </w:endnote>
  <w:endnote w:id="6">
    <w:p w14:paraId="5B6C536E" w14:textId="69526054" w:rsidR="00A610A1" w:rsidRPr="00C20DA6" w:rsidRDefault="00A610A1" w:rsidP="009F322C">
      <w:pPr>
        <w:pStyle w:val="EndnoteText"/>
        <w:rPr>
          <w:lang w:val="fr-CA"/>
        </w:rPr>
      </w:pPr>
      <w:r w:rsidRPr="00C20DA6">
        <w:rPr>
          <w:rStyle w:val="EndnoteReference"/>
          <w:lang w:val="fr-CA"/>
        </w:rPr>
        <w:endnoteRef/>
      </w:r>
      <w:r w:rsidRPr="00C20DA6">
        <w:rPr>
          <w:lang w:val="fr-CA"/>
        </w:rPr>
        <w:t xml:space="preserve"> Les technologies de reconnaissance faciale utilisées par </w:t>
      </w:r>
      <w:r>
        <w:rPr>
          <w:lang w:val="fr-CA"/>
        </w:rPr>
        <w:t xml:space="preserve">la police </w:t>
      </w:r>
      <w:r w:rsidRPr="00C20DA6">
        <w:rPr>
          <w:lang w:val="fr-CA"/>
        </w:rPr>
        <w:t xml:space="preserve">sont abordées dans le document thématique de la CDO sur l’IA dans les forces de l’ordre. Voir également, de manière générale, Organisation internationale de police criminelle (INTERPOL), </w:t>
      </w:r>
      <w:r w:rsidRPr="00C20DA6">
        <w:rPr>
          <w:i/>
          <w:iCs/>
          <w:lang w:val="fr-CA"/>
        </w:rPr>
        <w:t xml:space="preserve">A Policy Framework for </w:t>
      </w:r>
      <w:r w:rsidRPr="00CE33F3">
        <w:rPr>
          <w:i/>
          <w:iCs/>
        </w:rPr>
        <w:t>Responsible Limits</w:t>
      </w:r>
      <w:r w:rsidRPr="00C20DA6">
        <w:rPr>
          <w:i/>
          <w:iCs/>
          <w:lang w:val="fr-CA"/>
        </w:rPr>
        <w:t xml:space="preserve"> on Facial Recognition </w:t>
      </w:r>
      <w:r w:rsidRPr="00C20DA6">
        <w:rPr>
          <w:lang w:val="fr-CA"/>
        </w:rPr>
        <w:t xml:space="preserve">[Cadre stratégique d’INTERPOL] (2021), en ligne : </w:t>
      </w:r>
      <w:hyperlink r:id="rId5" w:history="1">
        <w:r w:rsidRPr="00C20DA6">
          <w:rPr>
            <w:rStyle w:val="Hyperlink"/>
            <w:lang w:val="fr-CA"/>
          </w:rPr>
          <w:t>https://unicri.org/A-Policy-Framework%20-for-Responsible-Limits-on-Facial-Recognition</w:t>
        </w:r>
      </w:hyperlink>
      <w:r w:rsidRPr="00C20DA6">
        <w:rPr>
          <w:rStyle w:val="Hyperlink"/>
          <w:lang w:val="fr-CA"/>
        </w:rPr>
        <w:t> </w:t>
      </w:r>
      <w:r w:rsidRPr="00C20DA6">
        <w:rPr>
          <w:lang w:val="fr-CA"/>
        </w:rPr>
        <w:t xml:space="preserve">; International Network of Civil </w:t>
      </w:r>
      <w:r w:rsidRPr="00CE33F3">
        <w:t xml:space="preserve">Liberties Organizations, </w:t>
      </w:r>
      <w:r w:rsidRPr="00CE33F3">
        <w:rPr>
          <w:i/>
          <w:iCs/>
        </w:rPr>
        <w:t xml:space="preserve">Eyes on the Watchers: Challenging the Rise of Police Facial Recognition Technology </w:t>
      </w:r>
      <w:r w:rsidRPr="00CE33F3">
        <w:t>[INCLO Challenging</w:t>
      </w:r>
      <w:r w:rsidRPr="00C20DA6">
        <w:rPr>
          <w:lang w:val="fr-CA"/>
        </w:rPr>
        <w:t xml:space="preserve"> FRT] (2025), en ligne: </w:t>
      </w:r>
      <w:hyperlink r:id="rId6" w:history="1">
        <w:r w:rsidRPr="00C20DA6">
          <w:rPr>
            <w:rStyle w:val="Hyperlink"/>
            <w:lang w:val="fr-CA"/>
          </w:rPr>
          <w:t>https://inclo.net/pillars/surveillance-and-digital-rights/principles-for-use-of-frt/</w:t>
        </w:r>
      </w:hyperlink>
      <w:r w:rsidRPr="00C20DA6">
        <w:rPr>
          <w:lang w:val="fr-CA"/>
        </w:rPr>
        <w:t xml:space="preserve">; et Commissaire à l’information et à la protection de la vie privée de l’Ontario, </w:t>
      </w:r>
      <w:r w:rsidRPr="00C20DA6">
        <w:rPr>
          <w:i/>
          <w:iCs/>
          <w:lang w:val="fr-CA"/>
        </w:rPr>
        <w:t xml:space="preserve">La reconnaissance faciale et les bases de données de photos signalétiques : document d’orientation à l’intention des services de police de l’Ontario </w:t>
      </w:r>
      <w:r w:rsidRPr="00C20DA6">
        <w:rPr>
          <w:lang w:val="fr-CA"/>
        </w:rPr>
        <w:t xml:space="preserve">[Rapport de la CIPVP sur la RF] (2024), en ligne : </w:t>
      </w:r>
      <w:hyperlink r:id="rId7" w:history="1">
        <w:r w:rsidRPr="00C20DA6">
          <w:rPr>
            <w:rStyle w:val="Hyperlink"/>
            <w:lang w:val="fr-CA"/>
          </w:rPr>
          <w:t>https://www.ipc.on.ca/wp-content/uploads/2024/01/2024-01-19-la-reconnaissance-faciale-et-les-bases-de-donnees-de-photos-signaletiques-document-d-orientation-a-l-intention-des-services-de-police-en-ontario-f.pdf</w:t>
        </w:r>
      </w:hyperlink>
      <w:r w:rsidRPr="00C20DA6">
        <w:rPr>
          <w:lang w:val="fr-CA"/>
        </w:rPr>
        <w:t>.</w:t>
      </w:r>
    </w:p>
  </w:endnote>
  <w:endnote w:id="7">
    <w:p w14:paraId="296C6F06" w14:textId="693B6E5B" w:rsidR="00A610A1" w:rsidRPr="00C20DA6" w:rsidRDefault="00A610A1" w:rsidP="006C16DC">
      <w:pPr>
        <w:spacing w:after="0" w:line="240" w:lineRule="auto"/>
        <w:rPr>
          <w:sz w:val="20"/>
          <w:szCs w:val="20"/>
          <w:lang w:val="fr-CA"/>
        </w:rPr>
      </w:pPr>
      <w:r w:rsidRPr="00C20DA6">
        <w:rPr>
          <w:rStyle w:val="EndnoteReference"/>
          <w:sz w:val="20"/>
          <w:szCs w:val="20"/>
          <w:lang w:val="fr-CA"/>
        </w:rPr>
        <w:endnoteRef/>
      </w:r>
      <w:r w:rsidRPr="00C20DA6">
        <w:rPr>
          <w:sz w:val="20"/>
          <w:szCs w:val="20"/>
          <w:lang w:val="fr-CA"/>
        </w:rPr>
        <w:t xml:space="preserve"> Rapport de la CIPVP sur la RF p. 1.</w:t>
      </w:r>
    </w:p>
  </w:endnote>
  <w:endnote w:id="8">
    <w:p w14:paraId="48B065AE" w14:textId="06B271CF" w:rsidR="00A610A1" w:rsidRPr="00C20DA6" w:rsidRDefault="00A610A1" w:rsidP="00D236FC">
      <w:pPr>
        <w:pStyle w:val="EndnoteText"/>
        <w:rPr>
          <w:lang w:val="fr-CA"/>
        </w:rPr>
      </w:pPr>
      <w:r w:rsidRPr="00C20DA6">
        <w:rPr>
          <w:rStyle w:val="EndnoteReference"/>
          <w:lang w:val="fr-CA"/>
        </w:rPr>
        <w:endnoteRef/>
      </w:r>
      <w:r w:rsidRPr="00C20DA6">
        <w:rPr>
          <w:lang w:val="fr-CA"/>
        </w:rPr>
        <w:t xml:space="preserve"> Organisation internationale de police criminelle (INTERPOL), </w:t>
      </w:r>
      <w:r w:rsidRPr="00C20DA6">
        <w:rPr>
          <w:i/>
          <w:iCs/>
          <w:lang w:val="fr-CA"/>
        </w:rPr>
        <w:t xml:space="preserve">Introduction to </w:t>
      </w:r>
      <w:r w:rsidRPr="00CE33F3">
        <w:rPr>
          <w:i/>
          <w:iCs/>
        </w:rPr>
        <w:t>Responsible</w:t>
      </w:r>
      <w:r w:rsidRPr="00C20DA6">
        <w:rPr>
          <w:i/>
          <w:iCs/>
          <w:lang w:val="fr-CA"/>
        </w:rPr>
        <w:t xml:space="preserve"> AI Innovation</w:t>
      </w:r>
      <w:r w:rsidRPr="00C20DA6">
        <w:rPr>
          <w:lang w:val="fr-CA"/>
        </w:rPr>
        <w:t xml:space="preserve"> </w:t>
      </w:r>
      <w:r w:rsidRPr="00C20DA6">
        <w:rPr>
          <w:rFonts w:eastAsia="Times New Roman"/>
          <w:lang w:val="fr-CA" w:eastAsia="en-CA"/>
        </w:rPr>
        <w:t xml:space="preserve">(2024) [INTERPOL AI Introduction], en ligne : </w:t>
      </w:r>
      <w:r w:rsidRPr="00C20DA6">
        <w:rPr>
          <w:rStyle w:val="Hyperlink"/>
          <w:rFonts w:eastAsia="Times New Roman"/>
          <w:lang w:val="fr-CA" w:eastAsia="en-CA"/>
        </w:rPr>
        <w:t>https://www.interpol.int/fr/Notre-action/Innovation/Manuel-d-utilisation-de-l-intelligence-artificielle</w:t>
      </w:r>
      <w:r w:rsidRPr="00C20DA6">
        <w:rPr>
          <w:rFonts w:eastAsia="Times New Roman"/>
          <w:lang w:val="fr-CA" w:eastAsia="en-CA"/>
        </w:rPr>
        <w:t xml:space="preserve"> p. </w:t>
      </w:r>
      <w:r w:rsidRPr="00C20DA6">
        <w:rPr>
          <w:lang w:val="fr-CA"/>
        </w:rPr>
        <w:t>21.</w:t>
      </w:r>
    </w:p>
  </w:endnote>
  <w:endnote w:id="9">
    <w:p w14:paraId="08F5BD69" w14:textId="6CE3AA79" w:rsidR="00A610A1" w:rsidRPr="00A610A1" w:rsidRDefault="00A610A1" w:rsidP="00D236FC">
      <w:pPr>
        <w:pStyle w:val="EndnoteText"/>
        <w:rPr>
          <w:lang w:val="en-US"/>
        </w:rPr>
      </w:pPr>
      <w:r w:rsidRPr="00C20DA6">
        <w:rPr>
          <w:rStyle w:val="EndnoteReference"/>
          <w:lang w:val="fr-CA"/>
        </w:rPr>
        <w:endnoteRef/>
      </w:r>
      <w:r w:rsidRPr="00A610A1">
        <w:rPr>
          <w:lang w:val="en-US"/>
        </w:rPr>
        <w:t xml:space="preserve"> Europol, </w:t>
      </w:r>
      <w:r w:rsidRPr="00A610A1">
        <w:rPr>
          <w:i/>
          <w:iCs/>
          <w:lang w:val="en-US"/>
        </w:rPr>
        <w:t xml:space="preserve">AI and Policing: The Benefits and Challenges of Artificial Intelligence for Law Enforcement </w:t>
      </w:r>
      <w:r w:rsidRPr="00A610A1">
        <w:rPr>
          <w:lang w:val="en-US"/>
        </w:rPr>
        <w:t xml:space="preserve">[EUROPOL] (2024), </w:t>
      </w:r>
      <w:r w:rsidR="00CE33F3" w:rsidRPr="00CE33F3">
        <w:rPr>
          <w:lang w:val="fr-CA"/>
        </w:rPr>
        <w:t>en ligne</w:t>
      </w:r>
      <w:r w:rsidR="00CE33F3" w:rsidRPr="00A610A1">
        <w:rPr>
          <w:lang w:val="en-US"/>
        </w:rPr>
        <w:t> </w:t>
      </w:r>
      <w:r w:rsidRPr="00A610A1">
        <w:rPr>
          <w:lang w:val="en-US"/>
        </w:rPr>
        <w:t xml:space="preserve">: </w:t>
      </w:r>
      <w:hyperlink r:id="rId8" w:history="1">
        <w:r w:rsidRPr="00A610A1">
          <w:rPr>
            <w:rStyle w:val="Hyperlink"/>
            <w:lang w:val="en-US"/>
          </w:rPr>
          <w:t>https://www.europol.europa.eu/publication-events/main-reports/ai-and-policing</w:t>
        </w:r>
      </w:hyperlink>
      <w:r w:rsidRPr="00A610A1">
        <w:rPr>
          <w:lang w:val="en-US"/>
        </w:rPr>
        <w:t xml:space="preserve"> p. 21-29.  </w:t>
      </w:r>
    </w:p>
  </w:endnote>
  <w:endnote w:id="10">
    <w:p w14:paraId="702689B8" w14:textId="7AF929EF" w:rsidR="00A610A1" w:rsidRPr="00346043" w:rsidRDefault="00A610A1">
      <w:pPr>
        <w:pStyle w:val="EndnoteText"/>
        <w:rPr>
          <w:lang w:val="en-US"/>
        </w:rPr>
      </w:pPr>
      <w:r w:rsidRPr="00C20DA6">
        <w:rPr>
          <w:rStyle w:val="EndnoteReference"/>
          <w:lang w:val="fr-CA"/>
        </w:rPr>
        <w:endnoteRef/>
      </w:r>
      <w:r w:rsidRPr="00346043">
        <w:rPr>
          <w:lang w:val="en-US"/>
        </w:rPr>
        <w:t xml:space="preserve"> Par </w:t>
      </w:r>
      <w:r w:rsidRPr="00CE33F3">
        <w:rPr>
          <w:lang w:val="fr-CA"/>
        </w:rPr>
        <w:t>exemple voir</w:t>
      </w:r>
      <w:r w:rsidRPr="00346043">
        <w:rPr>
          <w:lang w:val="en-US"/>
        </w:rPr>
        <w:t xml:space="preserve"> </w:t>
      </w:r>
      <w:r w:rsidRPr="00346043">
        <w:rPr>
          <w:color w:val="000000"/>
          <w:lang w:val="en-US"/>
        </w:rPr>
        <w:t xml:space="preserve">United States Government Accountability Office, Report to Congressional Requesters, </w:t>
      </w:r>
      <w:r w:rsidRPr="00346043">
        <w:rPr>
          <w:i/>
          <w:iCs/>
          <w:color w:val="000000"/>
          <w:lang w:val="en-US"/>
        </w:rPr>
        <w:t>Facial Recognition Technology: Federal Law Enforcement Agencies Should Better Assess Privacy and Other Risks</w:t>
      </w:r>
      <w:r w:rsidRPr="00346043">
        <w:rPr>
          <w:color w:val="000000"/>
          <w:lang w:val="en-US"/>
        </w:rPr>
        <w:t xml:space="preserve"> (2021), </w:t>
      </w:r>
      <w:r w:rsidR="00CE33F3" w:rsidRPr="00CE33F3">
        <w:rPr>
          <w:lang w:val="fr-CA"/>
        </w:rPr>
        <w:t>en ligne</w:t>
      </w:r>
      <w:r w:rsidR="00CE33F3" w:rsidRPr="00A610A1">
        <w:rPr>
          <w:lang w:val="en-US"/>
        </w:rPr>
        <w:t> </w:t>
      </w:r>
      <w:r w:rsidRPr="00346043">
        <w:rPr>
          <w:color w:val="000000"/>
          <w:lang w:val="en-US"/>
        </w:rPr>
        <w:t xml:space="preserve">: </w:t>
      </w:r>
      <w:hyperlink r:id="rId9">
        <w:r w:rsidRPr="00346043">
          <w:rPr>
            <w:color w:val="0563C1"/>
            <w:u w:val="single"/>
            <w:lang w:val="en-US"/>
          </w:rPr>
          <w:t>https://www.gao.gov/assets/gao-21-518.pdf</w:t>
        </w:r>
      </w:hyperlink>
      <w:r w:rsidRPr="00346043">
        <w:rPr>
          <w:lang w:val="en-US"/>
        </w:rPr>
        <w:t>.</w:t>
      </w:r>
    </w:p>
  </w:endnote>
  <w:endnote w:id="11">
    <w:p w14:paraId="54EAD40A" w14:textId="330CC299" w:rsidR="00A610A1" w:rsidRPr="00C20DA6" w:rsidRDefault="00A610A1">
      <w:pPr>
        <w:pStyle w:val="EndnoteText"/>
        <w:rPr>
          <w:lang w:val="fr-CA"/>
        </w:rPr>
      </w:pPr>
      <w:r w:rsidRPr="00C20DA6">
        <w:rPr>
          <w:rStyle w:val="EndnoteReference"/>
          <w:lang w:val="fr-CA"/>
        </w:rPr>
        <w:endnoteRef/>
      </w:r>
      <w:r w:rsidRPr="00C20DA6">
        <w:rPr>
          <w:lang w:val="fr-CA"/>
        </w:rPr>
        <w:t xml:space="preserve"> Commissariat à la protection de la vie privée du Canada, </w:t>
      </w:r>
      <w:r w:rsidRPr="00C20DA6">
        <w:rPr>
          <w:i/>
          <w:iCs/>
          <w:lang w:val="fr-CA"/>
        </w:rPr>
        <w:t xml:space="preserve">Enquête conjointe sur Clearview AI, Inc. par le Commissariat à la protection de la vie privée du Canada, la Commission d’accès à l’information du Québec, le Commissariat à l’information et à la protection de la vie privée de la Colombie-Britannique et le Commissariat à l’information et à la protection de la vie privée de l’Alberta </w:t>
      </w:r>
      <w:r w:rsidRPr="00C20DA6">
        <w:rPr>
          <w:lang w:val="fr-CA"/>
        </w:rPr>
        <w:t xml:space="preserve">[Enquête conjointe sur Clearview AI] (2 février 2021), en ligne : </w:t>
      </w:r>
      <w:r w:rsidRPr="00C20DA6">
        <w:rPr>
          <w:rStyle w:val="Hyperlink"/>
          <w:lang w:val="fr-CA"/>
        </w:rPr>
        <w:t>https://www.priv.gc.ca/fr/mesures-et-decisions-prises-par-le-commissariat/enquetes/enquetes-visant-les-entreprises/2021/lprpde-2021-001/</w:t>
      </w:r>
      <w:r w:rsidRPr="00C20DA6">
        <w:rPr>
          <w:lang w:val="fr-CA"/>
        </w:rPr>
        <w:t>.</w:t>
      </w:r>
    </w:p>
  </w:endnote>
  <w:endnote w:id="12">
    <w:p w14:paraId="5ADDE9AD" w14:textId="43CABC78" w:rsidR="00A610A1" w:rsidRPr="00346043" w:rsidRDefault="00A610A1" w:rsidP="00D236FC">
      <w:pPr>
        <w:pStyle w:val="EndnoteText"/>
        <w:rPr>
          <w:lang w:val="en-US"/>
        </w:rPr>
      </w:pPr>
      <w:r w:rsidRPr="00C20DA6">
        <w:rPr>
          <w:rStyle w:val="EndnoteReference"/>
          <w:lang w:val="fr-CA"/>
        </w:rPr>
        <w:endnoteRef/>
      </w:r>
      <w:r w:rsidRPr="00346043">
        <w:rPr>
          <w:lang w:val="en-US"/>
        </w:rPr>
        <w:t xml:space="preserve"> </w:t>
      </w:r>
      <w:r w:rsidRPr="00CE33F3">
        <w:rPr>
          <w:rFonts w:cstheme="minorHAnsi"/>
          <w:lang w:val="en-US"/>
        </w:rPr>
        <w:t xml:space="preserve">Services </w:t>
      </w:r>
      <w:r w:rsidRPr="00CE33F3">
        <w:rPr>
          <w:rFonts w:cstheme="minorHAnsi"/>
          <w:lang w:val="fr-CA"/>
        </w:rPr>
        <w:t>policiers</w:t>
      </w:r>
      <w:r w:rsidRPr="00346043">
        <w:rPr>
          <w:rFonts w:cstheme="minorHAnsi"/>
          <w:lang w:val="en-US"/>
        </w:rPr>
        <w:t xml:space="preserve"> de Toronto, </w:t>
      </w:r>
      <w:r w:rsidRPr="00346043">
        <w:rPr>
          <w:rFonts w:cstheme="minorHAnsi"/>
          <w:i/>
          <w:iCs/>
          <w:lang w:val="en-US"/>
        </w:rPr>
        <w:t>Update on the Implementation of the Board’s Policy on the Use of AI Technology</w:t>
      </w:r>
      <w:r w:rsidRPr="00346043">
        <w:rPr>
          <w:rFonts w:cstheme="minorHAnsi"/>
          <w:lang w:val="en-US"/>
        </w:rPr>
        <w:t xml:space="preserve"> (11 </w:t>
      </w:r>
      <w:r w:rsidRPr="00CE33F3">
        <w:rPr>
          <w:rFonts w:cstheme="minorHAnsi"/>
          <w:lang w:val="fr-CA"/>
        </w:rPr>
        <w:t>janvier</w:t>
      </w:r>
      <w:r w:rsidRPr="00346043">
        <w:rPr>
          <w:rFonts w:cstheme="minorHAnsi"/>
          <w:lang w:val="en-US"/>
        </w:rPr>
        <w:t xml:space="preserve"> 2024), </w:t>
      </w:r>
      <w:r w:rsidRPr="00CE33F3">
        <w:rPr>
          <w:lang w:val="fr-CA"/>
        </w:rPr>
        <w:t>en ligne</w:t>
      </w:r>
      <w:r w:rsidR="00CE33F3" w:rsidRPr="00CE33F3">
        <w:rPr>
          <w:lang w:val="en-US"/>
        </w:rPr>
        <w:t> </w:t>
      </w:r>
      <w:r w:rsidRPr="00346043">
        <w:rPr>
          <w:rFonts w:cstheme="minorHAnsi"/>
          <w:lang w:val="en-US"/>
        </w:rPr>
        <w:t xml:space="preserve">: </w:t>
      </w:r>
      <w:hyperlink r:id="rId10" w:history="1">
        <w:r w:rsidRPr="00346043">
          <w:rPr>
            <w:rStyle w:val="Hyperlink"/>
            <w:rFonts w:cstheme="minorHAnsi"/>
            <w:lang w:val="en-US"/>
          </w:rPr>
          <w:t>https://tpsb.ca/jdownloads-categories?task=download.send&amp;id=813:january-11-2024-public-agenda&amp;catid=32</w:t>
        </w:r>
      </w:hyperlink>
      <w:r w:rsidRPr="00346043">
        <w:rPr>
          <w:lang w:val="en-US"/>
        </w:rPr>
        <w:t>.</w:t>
      </w:r>
    </w:p>
  </w:endnote>
  <w:endnote w:id="13">
    <w:p w14:paraId="413BF2AA" w14:textId="012CB94E" w:rsidR="00A610A1" w:rsidRPr="00C20DA6" w:rsidRDefault="00A610A1" w:rsidP="00A14F63">
      <w:pPr>
        <w:pStyle w:val="EndnoteText"/>
        <w:rPr>
          <w:lang w:val="fr-CA"/>
        </w:rPr>
      </w:pPr>
      <w:r w:rsidRPr="00C20DA6">
        <w:rPr>
          <w:rStyle w:val="EndnoteReference"/>
          <w:lang w:val="fr-CA"/>
        </w:rPr>
        <w:endnoteRef/>
      </w:r>
      <w:r w:rsidRPr="00C20DA6">
        <w:rPr>
          <w:lang w:val="fr-CA"/>
        </w:rPr>
        <w:t xml:space="preserve"> Les systèmes d’IA associés à la mise en liberté sous caution et à la détermination des peines font l’objet du rapport n</w:t>
      </w:r>
      <w:r w:rsidRPr="00976446">
        <w:rPr>
          <w:vertAlign w:val="superscript"/>
          <w:lang w:val="fr-CA"/>
        </w:rPr>
        <w:t>o</w:t>
      </w:r>
      <w:r>
        <w:rPr>
          <w:lang w:val="fr-CA"/>
        </w:rPr>
        <w:t> </w:t>
      </w:r>
      <w:r w:rsidRPr="00C20DA6">
        <w:rPr>
          <w:lang w:val="fr-CA"/>
        </w:rPr>
        <w:t xml:space="preserve">3 de la CDO sur l’IA dans le système de justice pénale, </w:t>
      </w:r>
      <w:r w:rsidRPr="00C20DA6">
        <w:rPr>
          <w:i/>
          <w:iCs/>
          <w:lang w:val="fr-CA"/>
        </w:rPr>
        <w:t xml:space="preserve">L’IA et l’évaluation du risque associé à la mise en liberté sous caution, à la détermination des peines et à la récidive </w:t>
      </w:r>
      <w:r w:rsidRPr="00C20DA6">
        <w:rPr>
          <w:lang w:val="fr-CA"/>
        </w:rPr>
        <w:t xml:space="preserve">par </w:t>
      </w:r>
      <w:r w:rsidRPr="00C20DA6">
        <w:rPr>
          <w:lang w:val="fr-CA" w:eastAsia="en-CA"/>
        </w:rPr>
        <w:t xml:space="preserve">Armando D’Andrea, responsable du comité pénal et ancien avocat de service en matière criminelle, Aide juridique Ontario et Gideon Christian, faculté de droit, Université de Calgary. Ce rapport </w:t>
      </w:r>
      <w:r w:rsidRPr="00C20DA6">
        <w:rPr>
          <w:lang w:val="fr-CA"/>
        </w:rPr>
        <w:t xml:space="preserve">est disponible en ligne au </w:t>
      </w:r>
      <w:r w:rsidRPr="00C20DA6">
        <w:rPr>
          <w:rStyle w:val="Hyperlink"/>
          <w:lang w:val="fr-CA"/>
        </w:rPr>
        <w:t>https://www.lco-cdo.org/fr/nos-projets-en-cours/lia-dans-le-systeme-de-justice-penale/</w:t>
      </w:r>
      <w:r w:rsidRPr="00C20DA6">
        <w:rPr>
          <w:lang w:val="fr-CA"/>
        </w:rPr>
        <w:t xml:space="preserve">. Voir également Commission du droit de l’Ontario, </w:t>
      </w:r>
      <w:r w:rsidRPr="00C20DA6">
        <w:rPr>
          <w:i/>
          <w:iCs/>
          <w:lang w:val="fr-CA"/>
        </w:rPr>
        <w:t xml:space="preserve">The Rise and </w:t>
      </w:r>
      <w:r w:rsidRPr="00CE33F3">
        <w:rPr>
          <w:i/>
          <w:iCs/>
        </w:rPr>
        <w:t>Fall of Algorithms in American Criminal Justice : Lessons for Canada</w:t>
      </w:r>
      <w:r w:rsidRPr="00CE33F3">
        <w:t xml:space="preserve"> [LCO American Lessons</w:t>
      </w:r>
      <w:r w:rsidRPr="00C20DA6">
        <w:rPr>
          <w:lang w:val="fr-CA"/>
        </w:rPr>
        <w:t>] (2020) [</w:t>
      </w:r>
      <w:r>
        <w:rPr>
          <w:lang w:val="fr-CA"/>
        </w:rPr>
        <w:t>document thématique de la CDO sur l’AI dans le système de justice pénale</w:t>
      </w:r>
      <w:r w:rsidRPr="00C20DA6">
        <w:rPr>
          <w:lang w:val="fr-CA"/>
        </w:rPr>
        <w:t xml:space="preserve">], en ligne : </w:t>
      </w:r>
      <w:hyperlink r:id="rId11" w:history="1">
        <w:r w:rsidRPr="00C20DA6">
          <w:rPr>
            <w:rStyle w:val="Hyperlink"/>
            <w:lang w:val="fr-CA"/>
          </w:rPr>
          <w:t>https://www.lco-cdo.org/wp-content/uploads/2020/10/Criminal-AI-Paper-Final-Oct-28-2020.pdf</w:t>
        </w:r>
      </w:hyperlink>
      <w:r w:rsidRPr="00C20DA6">
        <w:rPr>
          <w:lang w:val="fr-CA" w:eastAsia="en-CA"/>
        </w:rPr>
        <w:t>.</w:t>
      </w:r>
    </w:p>
  </w:endnote>
  <w:endnote w:id="14">
    <w:p w14:paraId="050EAEAE" w14:textId="53981584" w:rsidR="00A610A1" w:rsidRPr="00A610A1" w:rsidRDefault="00A610A1" w:rsidP="00305C53">
      <w:pPr>
        <w:pStyle w:val="EndnoteText"/>
        <w:rPr>
          <w:lang w:val="en-US"/>
        </w:rPr>
      </w:pPr>
      <w:r w:rsidRPr="00C20DA6">
        <w:rPr>
          <w:rStyle w:val="EndnoteReference"/>
          <w:lang w:val="fr-CA"/>
        </w:rPr>
        <w:endnoteRef/>
      </w:r>
      <w:r w:rsidRPr="00346043">
        <w:rPr>
          <w:lang w:val="en-US"/>
        </w:rPr>
        <w:t xml:space="preserve"> The Champion, </w:t>
      </w:r>
      <w:r w:rsidRPr="00346043">
        <w:rPr>
          <w:i/>
          <w:iCs/>
          <w:lang w:val="en-US"/>
        </w:rPr>
        <w:t xml:space="preserve">Making Sense of Risk Assessments, </w:t>
      </w:r>
      <w:r w:rsidRPr="00346043">
        <w:rPr>
          <w:rFonts w:cstheme="minorHAnsi"/>
          <w:lang w:val="en-US"/>
        </w:rPr>
        <w:t>American National Association of Criminal Defense Lawyers,</w:t>
      </w:r>
      <w:r w:rsidRPr="00346043">
        <w:rPr>
          <w:lang w:val="en-US"/>
        </w:rPr>
        <w:t xml:space="preserve"> [The Champion] (2018), </w:t>
      </w:r>
      <w:r w:rsidRPr="00B32847">
        <w:rPr>
          <w:lang w:val="fr-CA"/>
        </w:rPr>
        <w:t>en ligne</w:t>
      </w:r>
      <w:r w:rsidR="00B32847" w:rsidRPr="00B32847">
        <w:rPr>
          <w:lang w:val="en-US"/>
        </w:rPr>
        <w:t> </w:t>
      </w:r>
      <w:r w:rsidRPr="00346043">
        <w:rPr>
          <w:lang w:val="en-US"/>
        </w:rPr>
        <w:t xml:space="preserve">: </w:t>
      </w:r>
      <w:hyperlink r:id="rId12" w:history="1">
        <w:r w:rsidRPr="00346043">
          <w:rPr>
            <w:rStyle w:val="Hyperlink"/>
            <w:lang w:val="en-US"/>
          </w:rPr>
          <w:t>https://www.nacdl.org/Article/June2018-MakingSenseofPretrialRiskAsses</w:t>
        </w:r>
      </w:hyperlink>
      <w:r w:rsidRPr="00346043">
        <w:rPr>
          <w:lang w:val="en-US"/>
        </w:rPr>
        <w:t xml:space="preserve">. </w:t>
      </w:r>
      <w:r w:rsidRPr="00B32847">
        <w:rPr>
          <w:lang w:val="fr-CA"/>
        </w:rPr>
        <w:t>Voir également</w:t>
      </w:r>
      <w:r w:rsidRPr="00A610A1">
        <w:rPr>
          <w:lang w:val="en-US"/>
        </w:rPr>
        <w:t xml:space="preserve"> LCO American Lessons.</w:t>
      </w:r>
    </w:p>
  </w:endnote>
  <w:endnote w:id="15">
    <w:p w14:paraId="1F5004B5" w14:textId="0C7E51B5" w:rsidR="00A610A1" w:rsidRPr="00346043" w:rsidRDefault="00A610A1" w:rsidP="00305C53">
      <w:pPr>
        <w:pStyle w:val="Footnote"/>
        <w:rPr>
          <w:lang w:val="en-US"/>
        </w:rPr>
      </w:pPr>
      <w:r w:rsidRPr="00C20DA6">
        <w:rPr>
          <w:rStyle w:val="EndnoteReference"/>
          <w:lang w:val="fr-CA"/>
        </w:rPr>
        <w:endnoteRef/>
      </w:r>
      <w:r w:rsidRPr="00346043">
        <w:rPr>
          <w:lang w:val="en-US"/>
        </w:rPr>
        <w:t xml:space="preserve"> Sarah Picard-Fritshe et al, Center on Court Innovation,</w:t>
      </w:r>
      <w:r w:rsidRPr="00346043">
        <w:rPr>
          <w:i/>
          <w:lang w:val="en-US"/>
        </w:rPr>
        <w:t xml:space="preserve"> Beyond the Algorithm: Pretrial Reform, Risk Assessment, and Racial Fairness</w:t>
      </w:r>
      <w:r w:rsidRPr="00346043">
        <w:rPr>
          <w:lang w:val="en-US"/>
        </w:rPr>
        <w:t xml:space="preserve"> (2019), </w:t>
      </w:r>
      <w:r w:rsidRPr="00B32847">
        <w:rPr>
          <w:lang w:val="fr-CA"/>
        </w:rPr>
        <w:t>en ligne</w:t>
      </w:r>
      <w:r w:rsidR="00B32847" w:rsidRPr="00B32847">
        <w:rPr>
          <w:lang w:val="en-US"/>
        </w:rPr>
        <w:t> </w:t>
      </w:r>
      <w:r w:rsidRPr="00346043">
        <w:rPr>
          <w:lang w:val="en-US"/>
        </w:rPr>
        <w:t>:</w:t>
      </w:r>
    </w:p>
    <w:p w14:paraId="5BD14FC5" w14:textId="2EE565AD" w:rsidR="00A610A1" w:rsidRPr="00A610A1" w:rsidRDefault="00A610A1" w:rsidP="00305C53">
      <w:pPr>
        <w:pStyle w:val="Footnote"/>
        <w:rPr>
          <w:lang w:val="en-US"/>
        </w:rPr>
      </w:pPr>
      <w:hyperlink r:id="rId13" w:history="1">
        <w:r w:rsidRPr="00A610A1">
          <w:rPr>
            <w:rStyle w:val="Hyperlink"/>
            <w:lang w:val="en-US"/>
          </w:rPr>
          <w:t>https://www.courtinnovation.org/sites/default/files/media/document/2019/Beyond_The_Algorithm.pdf</w:t>
        </w:r>
      </w:hyperlink>
      <w:r w:rsidRPr="00A610A1">
        <w:rPr>
          <w:lang w:val="en-US"/>
        </w:rPr>
        <w:t xml:space="preserve"> p. 3. </w:t>
      </w:r>
    </w:p>
  </w:endnote>
  <w:endnote w:id="16">
    <w:p w14:paraId="74FFB788" w14:textId="26E0602E" w:rsidR="00A610A1" w:rsidRPr="00C20DA6" w:rsidRDefault="00A610A1" w:rsidP="00A14F63">
      <w:pPr>
        <w:pStyle w:val="EndnoteText"/>
        <w:rPr>
          <w:highlight w:val="yellow"/>
          <w:lang w:val="fr-CA"/>
        </w:rPr>
      </w:pPr>
      <w:r w:rsidRPr="00C20DA6">
        <w:rPr>
          <w:rStyle w:val="EndnoteReference"/>
          <w:lang w:val="fr-CA"/>
        </w:rPr>
        <w:endnoteRef/>
      </w:r>
      <w:r w:rsidRPr="00C20DA6">
        <w:rPr>
          <w:lang w:val="fr-CA"/>
        </w:rPr>
        <w:t xml:space="preserve"> Ces systèmes sont décrits dans plusieurs documents relatifs au projet de la CDO sur l’IA dans le système de justice pénale, notamment le rapport n</w:t>
      </w:r>
      <w:r w:rsidRPr="00976446">
        <w:rPr>
          <w:vertAlign w:val="superscript"/>
          <w:lang w:val="fr-CA"/>
        </w:rPr>
        <w:t>o</w:t>
      </w:r>
      <w:r w:rsidRPr="00C20DA6">
        <w:rPr>
          <w:lang w:val="fr-CA"/>
        </w:rPr>
        <w:t xml:space="preserve"> 1, </w:t>
      </w:r>
      <w:r w:rsidRPr="00C20DA6">
        <w:rPr>
          <w:i/>
          <w:iCs/>
          <w:lang w:val="fr-CA"/>
        </w:rPr>
        <w:t xml:space="preserve">Introduction au projet sur l’IA dans le système de justice pénale de la CDO </w:t>
      </w:r>
      <w:r w:rsidRPr="00C20DA6">
        <w:rPr>
          <w:lang w:val="fr-CA"/>
        </w:rPr>
        <w:t xml:space="preserve">[LCO </w:t>
      </w:r>
      <w:r w:rsidRPr="00B32847">
        <w:t>Criminal</w:t>
      </w:r>
      <w:r w:rsidRPr="00C20DA6">
        <w:rPr>
          <w:lang w:val="fr-CA"/>
        </w:rPr>
        <w:t xml:space="preserve"> AI Introduction] par le directeur général de la CDO Nye Thomas ; rapport n</w:t>
      </w:r>
      <w:r w:rsidRPr="00976446">
        <w:rPr>
          <w:vertAlign w:val="superscript"/>
          <w:lang w:val="fr-CA"/>
        </w:rPr>
        <w:t>o</w:t>
      </w:r>
      <w:r>
        <w:rPr>
          <w:lang w:val="fr-CA"/>
        </w:rPr>
        <w:t> </w:t>
      </w:r>
      <w:r w:rsidRPr="00C20DA6">
        <w:rPr>
          <w:lang w:val="fr-CA"/>
        </w:rPr>
        <w:t xml:space="preserve">2 </w:t>
      </w:r>
      <w:r w:rsidRPr="00C20DA6">
        <w:rPr>
          <w:i/>
          <w:lang w:val="fr-CA"/>
        </w:rPr>
        <w:t>L’utilisation de l’IA par les forces de l’ordre </w:t>
      </w:r>
      <w:r w:rsidRPr="00C20DA6">
        <w:rPr>
          <w:lang w:val="fr-CA"/>
        </w:rPr>
        <w:t>; et rapport n</w:t>
      </w:r>
      <w:r w:rsidRPr="00976446">
        <w:rPr>
          <w:vertAlign w:val="superscript"/>
          <w:lang w:val="fr-CA"/>
        </w:rPr>
        <w:t>o</w:t>
      </w:r>
      <w:r>
        <w:rPr>
          <w:lang w:val="fr-CA"/>
        </w:rPr>
        <w:t> </w:t>
      </w:r>
      <w:r w:rsidRPr="00C20DA6">
        <w:rPr>
          <w:lang w:val="fr-CA"/>
        </w:rPr>
        <w:t xml:space="preserve">4, </w:t>
      </w:r>
      <w:r w:rsidRPr="00C20DA6">
        <w:rPr>
          <w:i/>
          <w:lang w:val="fr-CA"/>
        </w:rPr>
        <w:t>L’IA durant le procès et en appel</w:t>
      </w:r>
      <w:r w:rsidRPr="00C20DA6">
        <w:rPr>
          <w:i/>
          <w:iCs/>
          <w:lang w:val="fr-CA"/>
        </w:rPr>
        <w:t xml:space="preserve">, </w:t>
      </w:r>
      <w:r w:rsidRPr="00C20DA6">
        <w:rPr>
          <w:rFonts w:eastAsia="Times New Roman" w:cstheme="minorHAnsi"/>
          <w:kern w:val="0"/>
          <w:lang w:val="fr-CA" w:eastAsia="en-CA"/>
          <w14:ligatures w14:val="none"/>
        </w:rPr>
        <w:t xml:space="preserve">par Paula Thompson, Initiatives stratégiques, ministère du Procureur général, et Eric Neubauer, avocat de la défense, Neubauer Law, et coprésident, </w:t>
      </w:r>
      <w:r w:rsidRPr="00B32847">
        <w:rPr>
          <w:rFonts w:eastAsia="Times New Roman" w:cstheme="minorHAnsi"/>
          <w:kern w:val="0"/>
          <w:lang w:eastAsia="en-CA"/>
          <w14:ligatures w14:val="none"/>
        </w:rPr>
        <w:t>Criminal Lawyers Association Technology Committee</w:t>
      </w:r>
      <w:r w:rsidRPr="00C20DA6">
        <w:rPr>
          <w:rFonts w:eastAsia="Times New Roman" w:cstheme="minorHAnsi"/>
          <w:kern w:val="0"/>
          <w:lang w:val="fr-CA" w:eastAsia="en-CA"/>
          <w14:ligatures w14:val="none"/>
        </w:rPr>
        <w:t xml:space="preserve">. </w:t>
      </w:r>
      <w:r w:rsidRPr="00C20DA6">
        <w:rPr>
          <w:lang w:val="fr-CA"/>
        </w:rPr>
        <w:t xml:space="preserve">Ces rapports sont disponibles en ligne au </w:t>
      </w:r>
      <w:r w:rsidRPr="00C20DA6">
        <w:rPr>
          <w:rStyle w:val="Hyperlink"/>
          <w:lang w:val="fr-CA"/>
        </w:rPr>
        <w:t>https://www.lco-cdo.org/fr/nos-projets-en-cours/lia-dans-le-systeme-de-justice-penale/</w:t>
      </w:r>
      <w:r w:rsidRPr="00C20DA6">
        <w:rPr>
          <w:lang w:val="fr-CA"/>
        </w:rPr>
        <w:t>.</w:t>
      </w:r>
    </w:p>
  </w:endnote>
  <w:endnote w:id="17">
    <w:p w14:paraId="5DF7803E" w14:textId="6FE823EA" w:rsidR="00A610A1" w:rsidRPr="00C20DA6" w:rsidRDefault="00A610A1" w:rsidP="00B54C76">
      <w:pPr>
        <w:spacing w:after="0"/>
        <w:rPr>
          <w:sz w:val="20"/>
          <w:szCs w:val="20"/>
          <w:lang w:val="fr-CA"/>
        </w:rPr>
      </w:pPr>
      <w:r w:rsidRPr="00C20DA6">
        <w:rPr>
          <w:rStyle w:val="EndnoteReference"/>
          <w:sz w:val="20"/>
          <w:szCs w:val="20"/>
          <w:lang w:val="fr-CA"/>
        </w:rPr>
        <w:endnoteRef/>
      </w:r>
      <w:r w:rsidRPr="00C20DA6">
        <w:rPr>
          <w:sz w:val="20"/>
          <w:szCs w:val="20"/>
          <w:lang w:val="fr-CA"/>
        </w:rPr>
        <w:t xml:space="preserve"> Pour une discussion approfondie sur les biais dans les données d’IA, voir </w:t>
      </w:r>
      <w:r w:rsidRPr="00B200C1">
        <w:rPr>
          <w:i/>
          <w:sz w:val="20"/>
          <w:szCs w:val="20"/>
          <w:lang w:val="fr-CA"/>
        </w:rPr>
        <w:t xml:space="preserve">American </w:t>
      </w:r>
      <w:r w:rsidRPr="00B32847">
        <w:rPr>
          <w:i/>
          <w:sz w:val="20"/>
          <w:szCs w:val="20"/>
        </w:rPr>
        <w:t>Lessons</w:t>
      </w:r>
      <w:r w:rsidRPr="00C20DA6">
        <w:rPr>
          <w:sz w:val="20"/>
          <w:szCs w:val="20"/>
          <w:lang w:val="fr-CA"/>
        </w:rPr>
        <w:t xml:space="preserve"> par la CDO p. 20-26. Pour une analyse détaillée de l’IA et des droits de la personne en général, voir Commission du droit de l’Ontario, </w:t>
      </w:r>
      <w:r w:rsidRPr="00B32847">
        <w:rPr>
          <w:i/>
          <w:iCs/>
          <w:sz w:val="20"/>
          <w:szCs w:val="20"/>
        </w:rPr>
        <w:t>Accountable AI</w:t>
      </w:r>
      <w:r w:rsidRPr="00B32847">
        <w:rPr>
          <w:sz w:val="20"/>
          <w:szCs w:val="20"/>
        </w:rPr>
        <w:t>, (2022) [Accountable</w:t>
      </w:r>
      <w:r w:rsidRPr="00C20DA6">
        <w:rPr>
          <w:sz w:val="20"/>
          <w:szCs w:val="20"/>
          <w:lang w:val="fr-CA"/>
        </w:rPr>
        <w:t xml:space="preserve"> AI], </w:t>
      </w:r>
      <w:r w:rsidRPr="00C20DA6">
        <w:rPr>
          <w:sz w:val="20"/>
          <w:lang w:val="fr-CA"/>
        </w:rPr>
        <w:t>en ligne </w:t>
      </w:r>
      <w:r w:rsidRPr="00C20DA6">
        <w:rPr>
          <w:sz w:val="20"/>
          <w:szCs w:val="20"/>
          <w:lang w:val="fr-CA"/>
        </w:rPr>
        <w:t xml:space="preserve">: </w:t>
      </w:r>
      <w:r w:rsidRPr="00C20DA6">
        <w:rPr>
          <w:rStyle w:val="Hyperlink"/>
          <w:sz w:val="20"/>
          <w:szCs w:val="20"/>
          <w:lang w:val="fr-CA"/>
        </w:rPr>
        <w:t>https://www.lco-cdo.org/fr/nos-projets-en-cours/intelligence-artificielle-pda-et-systeme-de-justice/reglementer-lintelligence-artificielle-enjeux-et-choix-essentiels/</w:t>
      </w:r>
      <w:r w:rsidRPr="00C20DA6">
        <w:rPr>
          <w:sz w:val="20"/>
          <w:szCs w:val="20"/>
          <w:lang w:val="fr-CA"/>
        </w:rPr>
        <w:t xml:space="preserve"> p. 40-55. La CDO et la Commission ontarienne des droits de la personne ont également récemment élaboré la première évaluation de </w:t>
      </w:r>
      <w:r w:rsidRPr="00C00B53">
        <w:rPr>
          <w:sz w:val="20"/>
          <w:szCs w:val="20"/>
          <w:lang w:val="fr-CA"/>
        </w:rPr>
        <w:t xml:space="preserve">l’incidence </w:t>
      </w:r>
      <w:r w:rsidRPr="00C20DA6">
        <w:rPr>
          <w:sz w:val="20"/>
          <w:szCs w:val="20"/>
          <w:lang w:val="fr-CA"/>
        </w:rPr>
        <w:t>de l’IA sur les droits de la personne (EIDP) fondée sur le droit canadien. L’EIDP de la CDO et de la CODP et un document d’information complémentaire sont disponibles au</w:t>
      </w:r>
      <w:r w:rsidRPr="00C20DA6">
        <w:rPr>
          <w:rStyle w:val="Hyperlink"/>
          <w:color w:val="auto"/>
          <w:sz w:val="20"/>
          <w:szCs w:val="20"/>
          <w:u w:val="none"/>
          <w:lang w:val="fr-CA"/>
        </w:rPr>
        <w:t xml:space="preserve"> </w:t>
      </w:r>
      <w:r w:rsidRPr="00C20DA6">
        <w:rPr>
          <w:rStyle w:val="Hyperlink"/>
          <w:sz w:val="20"/>
          <w:szCs w:val="20"/>
          <w:lang w:val="fr-CA"/>
        </w:rPr>
        <w:t>https://www.lco-cdo.org/fr/nos-projets-en-cours/intelligence-artificielle-pda-et-systeme-de-justice/evaluation-de-limpact-de-lintelligence-artificielle-sur-les-droits-de-la-personne/</w:t>
      </w:r>
      <w:r w:rsidRPr="00C20DA6">
        <w:rPr>
          <w:sz w:val="20"/>
          <w:szCs w:val="20"/>
          <w:lang w:val="fr-CA"/>
        </w:rPr>
        <w:t xml:space="preserve">.   </w:t>
      </w:r>
    </w:p>
  </w:endnote>
  <w:endnote w:id="18">
    <w:p w14:paraId="33C364AF" w14:textId="2DDC3294" w:rsidR="00A610A1" w:rsidRPr="00C20DA6" w:rsidRDefault="00A610A1" w:rsidP="00B54C76">
      <w:pPr>
        <w:pStyle w:val="EndnoteText"/>
        <w:rPr>
          <w:lang w:val="fr-CA"/>
        </w:rPr>
      </w:pPr>
      <w:r w:rsidRPr="00C20DA6">
        <w:rPr>
          <w:rStyle w:val="EndnoteReference"/>
          <w:lang w:val="fr-CA"/>
        </w:rPr>
        <w:endnoteRef/>
      </w:r>
      <w:r w:rsidRPr="00C20DA6">
        <w:rPr>
          <w:lang w:val="fr-CA"/>
        </w:rPr>
        <w:t xml:space="preserve"> INCLO </w:t>
      </w:r>
      <w:r w:rsidRPr="00B32847">
        <w:t>Challenging</w:t>
      </w:r>
      <w:r w:rsidRPr="00C20DA6">
        <w:rPr>
          <w:lang w:val="fr-CA"/>
        </w:rPr>
        <w:t xml:space="preserve"> FRT p. 25. L’étude la plus connue sur les biais de la RF est un rapport publié en 2019 par le National Institute of Standards and </w:t>
      </w:r>
      <w:r w:rsidRPr="00B32847">
        <w:t>Technology</w:t>
      </w:r>
      <w:r w:rsidRPr="00C20DA6">
        <w:rPr>
          <w:lang w:val="fr-CA"/>
        </w:rPr>
        <w:t xml:space="preserve">, qui a révélé que « la majorité des systèmes commerciaux de reconnaissance faciale présentent des biais » et « identifient à tort les visages afro-américains et asiatiques 10 à 100 fois plus souvent que les visages caucasiens ». National Institute of Standards and </w:t>
      </w:r>
      <w:r w:rsidRPr="00B32847">
        <w:t>Technology</w:t>
      </w:r>
      <w:r w:rsidRPr="00C20DA6">
        <w:rPr>
          <w:rFonts w:cstheme="minorHAnsi"/>
          <w:lang w:val="fr-CA"/>
        </w:rPr>
        <w:t xml:space="preserve"> </w:t>
      </w:r>
      <w:r w:rsidRPr="00C20DA6">
        <w:rPr>
          <w:lang w:val="fr-CA"/>
        </w:rPr>
        <w:t xml:space="preserve">(NIST), </w:t>
      </w:r>
      <w:r w:rsidRPr="00C20DA6">
        <w:rPr>
          <w:i/>
          <w:iCs/>
          <w:lang w:val="fr-CA"/>
        </w:rPr>
        <w:t xml:space="preserve">Face Recognition </w:t>
      </w:r>
      <w:r w:rsidRPr="00B32847">
        <w:rPr>
          <w:i/>
          <w:iCs/>
        </w:rPr>
        <w:t>Vendor Test (FRVT) Part 3: Demographic Effects</w:t>
      </w:r>
      <w:r w:rsidRPr="00C20DA6">
        <w:rPr>
          <w:lang w:val="fr-CA"/>
        </w:rPr>
        <w:t xml:space="preserve"> (2019), en ligne : </w:t>
      </w:r>
      <w:hyperlink r:id="rId14" w:history="1">
        <w:r w:rsidRPr="00C20DA6">
          <w:rPr>
            <w:rStyle w:val="Hyperlink"/>
            <w:lang w:val="fr-CA"/>
          </w:rPr>
          <w:t>https://nvlpubs.nist.gov/nistpubs/ir/2019/NIST.IR.8280.pdf</w:t>
        </w:r>
      </w:hyperlink>
      <w:r w:rsidRPr="00C20DA6">
        <w:rPr>
          <w:lang w:val="fr-CA"/>
        </w:rPr>
        <w:t xml:space="preserve"> p. 3. Le </w:t>
      </w:r>
      <w:r w:rsidRPr="00C20DA6">
        <w:rPr>
          <w:rFonts w:cstheme="minorHAnsi"/>
          <w:lang w:val="fr-CA"/>
        </w:rPr>
        <w:t xml:space="preserve">NIST également identifié des préoccupations concernant les faux négatifs, les faux positifs, le genre et l’âge. </w:t>
      </w:r>
    </w:p>
  </w:endnote>
  <w:endnote w:id="19">
    <w:p w14:paraId="123772D4" w14:textId="4FD66E3C" w:rsidR="00A610A1" w:rsidRPr="00A610A1" w:rsidRDefault="00A610A1" w:rsidP="004E013A">
      <w:pPr>
        <w:pStyle w:val="EndnoteText"/>
        <w:rPr>
          <w:lang w:val="en-US"/>
        </w:rPr>
      </w:pPr>
      <w:r w:rsidRPr="00C20DA6">
        <w:rPr>
          <w:rStyle w:val="EndnoteReference"/>
          <w:lang w:val="fr-CA"/>
        </w:rPr>
        <w:endnoteRef/>
      </w:r>
      <w:r w:rsidRPr="00C20DA6">
        <w:rPr>
          <w:lang w:val="fr-CA"/>
        </w:rPr>
        <w:t xml:space="preserve"> NAS </w:t>
      </w:r>
      <w:r w:rsidRPr="00B32847">
        <w:t>Predictive Policing</w:t>
      </w:r>
      <w:r w:rsidRPr="00C20DA6">
        <w:rPr>
          <w:lang w:val="fr-CA"/>
        </w:rPr>
        <w:t xml:space="preserve"> p. 2 : « dans la pratique, les algorithmes prédictifs favoris</w:t>
      </w:r>
      <w:r>
        <w:rPr>
          <w:lang w:val="fr-CA"/>
        </w:rPr>
        <w:t>ent</w:t>
      </w:r>
      <w:r w:rsidRPr="00C20DA6">
        <w:rPr>
          <w:lang w:val="fr-CA"/>
        </w:rPr>
        <w:t xml:space="preserve"> la surveillance policière dans les zones sensibles, ce qui conduit trop souvent à une surveillance excessive des communautés et des habitants, imposant des préjugés néfastes </w:t>
      </w:r>
      <w:r>
        <w:rPr>
          <w:lang w:val="fr-CA"/>
        </w:rPr>
        <w:t xml:space="preserve">pour </w:t>
      </w:r>
      <w:r w:rsidRPr="00C20DA6">
        <w:rPr>
          <w:lang w:val="fr-CA"/>
        </w:rPr>
        <w:t xml:space="preserve">les personnes de couleur. » </w:t>
      </w:r>
      <w:r w:rsidRPr="00B32847">
        <w:rPr>
          <w:lang w:val="fr-CA"/>
        </w:rPr>
        <w:t>Voir également</w:t>
      </w:r>
      <w:r w:rsidRPr="00A610A1">
        <w:rPr>
          <w:lang w:val="en-US"/>
        </w:rPr>
        <w:t xml:space="preserve">, Partnership on AI (PAI), </w:t>
      </w:r>
      <w:r w:rsidRPr="00A610A1">
        <w:rPr>
          <w:i/>
          <w:iCs/>
          <w:lang w:val="en-US"/>
        </w:rPr>
        <w:t>Report on Algorithmic Risk Assessment Tools in the U.S. Criminal Justice System</w:t>
      </w:r>
      <w:r w:rsidRPr="00A610A1">
        <w:rPr>
          <w:lang w:val="en-US"/>
        </w:rPr>
        <w:t>, (</w:t>
      </w:r>
      <w:r w:rsidRPr="00B32847">
        <w:rPr>
          <w:lang w:val="fr-CA"/>
        </w:rPr>
        <w:t>avril</w:t>
      </w:r>
      <w:r w:rsidRPr="00A610A1">
        <w:rPr>
          <w:lang w:val="en-US"/>
        </w:rPr>
        <w:t xml:space="preserve"> 2019), </w:t>
      </w:r>
      <w:r w:rsidRPr="00B32847">
        <w:rPr>
          <w:lang w:val="fr-CA"/>
        </w:rPr>
        <w:t>en ligne</w:t>
      </w:r>
      <w:r w:rsidRPr="00A610A1">
        <w:rPr>
          <w:lang w:val="en-US"/>
        </w:rPr>
        <w:t xml:space="preserve"> : </w:t>
      </w:r>
      <w:hyperlink r:id="rId15" w:history="1">
        <w:r w:rsidRPr="00A610A1">
          <w:rPr>
            <w:rStyle w:val="Hyperlink"/>
            <w:lang w:val="en-US"/>
          </w:rPr>
          <w:t>https://www.partnershiponai.org/report-on-machine-learning-in-risk-assessment-tools-in-the-u-s-criminal-justice-system/</w:t>
        </w:r>
      </w:hyperlink>
      <w:r w:rsidRPr="00A610A1">
        <w:rPr>
          <w:lang w:val="en-US"/>
        </w:rPr>
        <w:t xml:space="preserve">. </w:t>
      </w:r>
    </w:p>
  </w:endnote>
  <w:endnote w:id="20">
    <w:p w14:paraId="4EA962CA" w14:textId="45C12E72" w:rsidR="00A610A1" w:rsidRPr="00A610A1" w:rsidRDefault="00A610A1">
      <w:pPr>
        <w:pStyle w:val="EndnoteText"/>
        <w:rPr>
          <w:i/>
          <w:iCs/>
          <w:lang w:val="en-US"/>
        </w:rPr>
      </w:pPr>
      <w:r w:rsidRPr="00C20DA6">
        <w:rPr>
          <w:rStyle w:val="EndnoteReference"/>
          <w:lang w:val="fr-CA"/>
        </w:rPr>
        <w:endnoteRef/>
      </w:r>
      <w:r w:rsidRPr="00A610A1">
        <w:rPr>
          <w:lang w:val="en-US"/>
        </w:rPr>
        <w:t xml:space="preserve"> </w:t>
      </w:r>
      <w:r w:rsidRPr="00385F9E">
        <w:rPr>
          <w:lang w:val="fr-CA"/>
        </w:rPr>
        <w:t>Voir par exemple</w:t>
      </w:r>
      <w:r w:rsidRPr="00A610A1">
        <w:rPr>
          <w:lang w:val="en-US"/>
        </w:rPr>
        <w:t xml:space="preserve">, Policing Project, New York University School of Law, </w:t>
      </w:r>
      <w:r w:rsidRPr="00A610A1">
        <w:rPr>
          <w:i/>
          <w:iCs/>
          <w:lang w:val="en-US"/>
        </w:rPr>
        <w:t xml:space="preserve">Law Enforcement Use of Facial Recognition Technology Must Be Regulated Now. Here’s How </w:t>
      </w:r>
      <w:r w:rsidRPr="00A610A1">
        <w:rPr>
          <w:lang w:val="en-US"/>
        </w:rPr>
        <w:t>[Policing Project FRT Regulation] (</w:t>
      </w:r>
      <w:r w:rsidRPr="00385F9E">
        <w:rPr>
          <w:lang w:val="fr-CA"/>
        </w:rPr>
        <w:t>consulté en mars 2025), en ligne</w:t>
      </w:r>
      <w:r w:rsidR="00B32847">
        <w:rPr>
          <w:lang w:val="en-US"/>
        </w:rPr>
        <w:t> </w:t>
      </w:r>
      <w:r w:rsidRPr="00A610A1">
        <w:rPr>
          <w:lang w:val="en-US"/>
        </w:rPr>
        <w:t xml:space="preserve">: </w:t>
      </w:r>
      <w:hyperlink r:id="rId16" w:history="1">
        <w:r w:rsidRPr="00A610A1">
          <w:rPr>
            <w:rStyle w:val="Hyperlink"/>
            <w:lang w:val="en-US"/>
          </w:rPr>
          <w:t>https://www.policingproject.org/regulating-police-use-of-face-recognition-technology at 1-2</w:t>
        </w:r>
      </w:hyperlink>
      <w:r w:rsidRPr="00A610A1">
        <w:rPr>
          <w:lang w:val="en-US"/>
        </w:rPr>
        <w:t xml:space="preserve">; Surveillance Technology Oversight Project (STOP), </w:t>
      </w:r>
      <w:r w:rsidRPr="00A610A1">
        <w:rPr>
          <w:i/>
          <w:iCs/>
          <w:lang w:val="en-US"/>
        </w:rPr>
        <w:t xml:space="preserve">Seeing Is Misbelieving: How Surveillance Technology Distorts Crime Statistics </w:t>
      </w:r>
      <w:r w:rsidRPr="00A610A1">
        <w:rPr>
          <w:lang w:val="en-US"/>
        </w:rPr>
        <w:t>(</w:t>
      </w:r>
      <w:r w:rsidRPr="00385F9E">
        <w:rPr>
          <w:lang w:val="fr-CA"/>
        </w:rPr>
        <w:t>juin 2024), en ligne</w:t>
      </w:r>
      <w:r w:rsidRPr="00A610A1">
        <w:rPr>
          <w:lang w:val="en-US"/>
        </w:rPr>
        <w:t xml:space="preserve"> : </w:t>
      </w:r>
      <w:hyperlink r:id="rId17" w:history="1">
        <w:r w:rsidRPr="00A610A1">
          <w:rPr>
            <w:rStyle w:val="Hyperlink"/>
            <w:lang w:val="en-US"/>
          </w:rPr>
          <w:t>https://www.stopspying.org/seeing-is-misbelieving</w:t>
        </w:r>
      </w:hyperlink>
      <w:r w:rsidRPr="00A610A1">
        <w:rPr>
          <w:rStyle w:val="Hyperlink"/>
          <w:lang w:val="en-US"/>
        </w:rPr>
        <w:t> </w:t>
      </w:r>
      <w:r w:rsidRPr="00A610A1">
        <w:rPr>
          <w:lang w:val="en-US"/>
        </w:rPr>
        <w:t xml:space="preserve">; </w:t>
      </w:r>
      <w:r w:rsidR="00385F9E" w:rsidRPr="00385F9E">
        <w:rPr>
          <w:lang w:val="fr-CA"/>
        </w:rPr>
        <w:t>c</w:t>
      </w:r>
      <w:r w:rsidRPr="00385F9E">
        <w:rPr>
          <w:lang w:val="fr-CA"/>
        </w:rPr>
        <w:t>adre stratégique d’INTERPOL</w:t>
      </w:r>
      <w:r w:rsidRPr="00A610A1">
        <w:rPr>
          <w:lang w:val="en-US"/>
        </w:rPr>
        <w:t> ; et INCLO Challenging FRT.</w:t>
      </w:r>
    </w:p>
  </w:endnote>
  <w:endnote w:id="21">
    <w:p w14:paraId="0A81AEBB" w14:textId="246288F1" w:rsidR="00A610A1" w:rsidRPr="00C20DA6" w:rsidRDefault="00A610A1">
      <w:pPr>
        <w:pStyle w:val="EndnoteText"/>
        <w:rPr>
          <w:lang w:val="fr-CA"/>
        </w:rPr>
      </w:pPr>
      <w:r w:rsidRPr="00C20DA6">
        <w:rPr>
          <w:rStyle w:val="EndnoteReference"/>
          <w:lang w:val="fr-CA"/>
        </w:rPr>
        <w:endnoteRef/>
      </w:r>
      <w:r w:rsidRPr="00C20DA6">
        <w:rPr>
          <w:lang w:val="fr-CA"/>
        </w:rPr>
        <w:t xml:space="preserve"> Voir de manière générale, Cadre stratégique d’INTERPOL et INCLO </w:t>
      </w:r>
      <w:r w:rsidRPr="00385F9E">
        <w:t>Challenging</w:t>
      </w:r>
      <w:r w:rsidRPr="00C20DA6">
        <w:rPr>
          <w:lang w:val="fr-CA"/>
        </w:rPr>
        <w:t xml:space="preserve"> FRT à titre d’exemple.</w:t>
      </w:r>
    </w:p>
  </w:endnote>
  <w:endnote w:id="22">
    <w:p w14:paraId="40E88A4B" w14:textId="1F1F92F9" w:rsidR="00A610A1" w:rsidRPr="00346043" w:rsidRDefault="00A610A1">
      <w:pPr>
        <w:pStyle w:val="EndnoteText"/>
        <w:rPr>
          <w:lang w:val="en-US"/>
        </w:rPr>
      </w:pPr>
      <w:r w:rsidRPr="00C20DA6">
        <w:rPr>
          <w:rStyle w:val="EndnoteReference"/>
          <w:lang w:val="fr-CA"/>
        </w:rPr>
        <w:endnoteRef/>
      </w:r>
      <w:r w:rsidRPr="00346043">
        <w:rPr>
          <w:lang w:val="en-US"/>
        </w:rPr>
        <w:t xml:space="preserve"> Brennan Center for Justice, New York University School of Law, </w:t>
      </w:r>
      <w:r w:rsidRPr="00346043">
        <w:rPr>
          <w:i/>
          <w:iCs/>
          <w:lang w:val="en-US"/>
        </w:rPr>
        <w:t xml:space="preserve">New York City Police Department Surveillance Technology </w:t>
      </w:r>
      <w:r w:rsidRPr="00346043">
        <w:rPr>
          <w:lang w:val="en-US"/>
        </w:rPr>
        <w:t>(2019</w:t>
      </w:r>
      <w:r w:rsidRPr="00EE0C24">
        <w:rPr>
          <w:lang w:val="fr-CA"/>
        </w:rPr>
        <w:t>), en ligne</w:t>
      </w:r>
      <w:r w:rsidR="00385F9E" w:rsidRPr="00EE0C24">
        <w:rPr>
          <w:lang w:val="en-US"/>
        </w:rPr>
        <w:t> </w:t>
      </w:r>
      <w:r w:rsidRPr="00EE0C24">
        <w:rPr>
          <w:lang w:val="en-US"/>
        </w:rPr>
        <w:t>:</w:t>
      </w:r>
      <w:r w:rsidRPr="00346043">
        <w:rPr>
          <w:lang w:val="en-US"/>
        </w:rPr>
        <w:t xml:space="preserve"> </w:t>
      </w:r>
      <w:hyperlink r:id="rId18" w:history="1">
        <w:r w:rsidRPr="00346043">
          <w:rPr>
            <w:rStyle w:val="Hyperlink"/>
            <w:lang w:val="en-US"/>
          </w:rPr>
          <w:t>https://www.brennancenter.org/our-work/research-reports/new-york-city-police-department-surveillance-technology</w:t>
        </w:r>
      </w:hyperlink>
      <w:r w:rsidRPr="00346043">
        <w:rPr>
          <w:lang w:val="en-US"/>
        </w:rPr>
        <w:t>.</w:t>
      </w:r>
    </w:p>
  </w:endnote>
  <w:endnote w:id="23">
    <w:p w14:paraId="61B73F8F" w14:textId="2298EA68" w:rsidR="00A610A1" w:rsidRPr="00C20DA6" w:rsidRDefault="00A610A1" w:rsidP="0027636A">
      <w:pPr>
        <w:pStyle w:val="EndnoteText"/>
        <w:rPr>
          <w:lang w:val="fr-CA"/>
        </w:rPr>
      </w:pPr>
      <w:r w:rsidRPr="00C20DA6">
        <w:rPr>
          <w:rStyle w:val="EndnoteReference"/>
          <w:lang w:val="fr-CA"/>
        </w:rPr>
        <w:endnoteRef/>
      </w:r>
      <w:r w:rsidRPr="00C20DA6">
        <w:rPr>
          <w:lang w:val="fr-CA"/>
        </w:rPr>
        <w:t xml:space="preserve"> Par exemple, voir Cadre stratégique d’INTERPOL p. 15-16. Voir également Commissaire à l’information et à la protection de la vie privée de l’Ontario, </w:t>
      </w:r>
      <w:r w:rsidRPr="00C20DA6">
        <w:rPr>
          <w:i/>
          <w:iCs/>
          <w:lang w:val="fr-CA"/>
        </w:rPr>
        <w:t xml:space="preserve">La reconnaissance faciale et les bases de données de photos signalétiques : document d’orientation à l’intention des services de police de l’Ontario </w:t>
      </w:r>
      <w:r w:rsidRPr="00C20DA6">
        <w:rPr>
          <w:rFonts w:eastAsia="Quattrocento Sans"/>
          <w:lang w:val="fr-CA"/>
        </w:rPr>
        <w:t>[Orientation sur les photos signalétiques] (janvier 2024), en ligne</w:t>
      </w:r>
      <w:r w:rsidRPr="00C20DA6">
        <w:rPr>
          <w:lang w:val="fr-CA"/>
        </w:rPr>
        <w:t xml:space="preserve"> : </w:t>
      </w:r>
      <w:hyperlink r:id="rId19" w:history="1">
        <w:r w:rsidRPr="00C20DA6">
          <w:rPr>
            <w:rStyle w:val="Hyperlink"/>
            <w:lang w:val="fr-CA"/>
          </w:rPr>
          <w:t>https://www.ipc.on.ca/wp-content/uploads/2024/01/2024-01-19-la-reconnaissance-faciale-et-les-bases-de-donnees-de-photos-signaletiques-document-d-orientation-a-l-intention-des-services-de-police-en-ontario-f.pdf</w:t>
        </w:r>
      </w:hyperlink>
      <w:r w:rsidRPr="00C20DA6">
        <w:rPr>
          <w:lang w:val="fr-CA"/>
        </w:rPr>
        <w:t>. Ce rapport présente des directives détaillées sur les questions liées à la mise en œuvre de la RF, les considérations opérationnelles, ainsi que l’examen et l’évaluation d</w:t>
      </w:r>
      <w:r>
        <w:rPr>
          <w:lang w:val="fr-CA"/>
        </w:rPr>
        <w:t>e</w:t>
      </w:r>
      <w:r w:rsidRPr="00C20DA6">
        <w:rPr>
          <w:lang w:val="fr-CA"/>
        </w:rPr>
        <w:t xml:space="preserve"> programme</w:t>
      </w:r>
      <w:r>
        <w:rPr>
          <w:lang w:val="fr-CA"/>
        </w:rPr>
        <w:t>s,</w:t>
      </w:r>
      <w:r w:rsidRPr="00C20DA6">
        <w:rPr>
          <w:lang w:val="fr-CA"/>
        </w:rPr>
        <w:t xml:space="preserve"> </w:t>
      </w:r>
      <w:r w:rsidRPr="00C20DA6">
        <w:rPr>
          <w:rFonts w:eastAsia="Quattrocento Sans"/>
          <w:lang w:val="fr-CA"/>
        </w:rPr>
        <w:t>p. 4-33.</w:t>
      </w:r>
    </w:p>
  </w:endnote>
  <w:endnote w:id="24">
    <w:p w14:paraId="3037F093" w14:textId="799D56EE" w:rsidR="00A610A1" w:rsidRPr="00C20DA6" w:rsidRDefault="00A610A1" w:rsidP="00542CA7">
      <w:pPr>
        <w:pStyle w:val="EndnoteText"/>
        <w:rPr>
          <w:lang w:val="fr-CA"/>
        </w:rPr>
      </w:pPr>
      <w:r w:rsidRPr="00C20DA6">
        <w:rPr>
          <w:rStyle w:val="EndnoteReference"/>
          <w:lang w:val="fr-CA"/>
        </w:rPr>
        <w:endnoteRef/>
      </w:r>
      <w:r w:rsidRPr="00C20DA6">
        <w:rPr>
          <w:lang w:val="fr-CA"/>
        </w:rPr>
        <w:t xml:space="preserve"> Voir le rapport de la CDO </w:t>
      </w:r>
      <w:r w:rsidRPr="00EE0C24">
        <w:rPr>
          <w:i/>
        </w:rPr>
        <w:t>American Lessons</w:t>
      </w:r>
      <w:r w:rsidRPr="00C20DA6">
        <w:rPr>
          <w:lang w:val="fr-CA"/>
        </w:rPr>
        <w:t xml:space="preserve"> pour un bon résumé de ces questions. </w:t>
      </w:r>
    </w:p>
  </w:endnote>
  <w:endnote w:id="25">
    <w:p w14:paraId="430757A9" w14:textId="7DD40F2B" w:rsidR="00A610A1" w:rsidRPr="00C20DA6" w:rsidRDefault="00A610A1" w:rsidP="00ED126A">
      <w:pPr>
        <w:pStyle w:val="EndnoteText"/>
        <w:rPr>
          <w:lang w:val="fr-CA"/>
        </w:rPr>
      </w:pPr>
      <w:r w:rsidRPr="00C20DA6">
        <w:rPr>
          <w:rStyle w:val="EndnoteReference"/>
          <w:lang w:val="fr-CA"/>
        </w:rPr>
        <w:endnoteRef/>
      </w:r>
      <w:r w:rsidRPr="00C20DA6">
        <w:rPr>
          <w:lang w:val="fr-CA"/>
        </w:rPr>
        <w:t xml:space="preserve"> Enquête conjointe sur Clearview AI.</w:t>
      </w:r>
    </w:p>
  </w:endnote>
  <w:endnote w:id="26">
    <w:p w14:paraId="36D17D8A" w14:textId="3101FB65" w:rsidR="00A610A1" w:rsidRPr="00A610A1" w:rsidRDefault="00A610A1" w:rsidP="00ED126A">
      <w:pPr>
        <w:widowControl w:val="0"/>
        <w:tabs>
          <w:tab w:val="left" w:pos="1411"/>
          <w:tab w:val="left" w:pos="1412"/>
        </w:tabs>
        <w:autoSpaceDE w:val="0"/>
        <w:autoSpaceDN w:val="0"/>
        <w:spacing w:after="0" w:line="218" w:lineRule="auto"/>
        <w:ind w:right="1154"/>
        <w:rPr>
          <w:color w:val="262526"/>
          <w:sz w:val="20"/>
          <w:lang w:val="en-US"/>
        </w:rPr>
      </w:pPr>
      <w:r w:rsidRPr="00C20DA6">
        <w:rPr>
          <w:rStyle w:val="EndnoteReference"/>
          <w:lang w:val="fr-CA"/>
        </w:rPr>
        <w:endnoteRef/>
      </w:r>
      <w:r w:rsidRPr="00A610A1">
        <w:rPr>
          <w:lang w:val="en-US"/>
        </w:rPr>
        <w:t xml:space="preserve"> </w:t>
      </w:r>
      <w:r w:rsidRPr="00A610A1">
        <w:rPr>
          <w:color w:val="262526"/>
          <w:sz w:val="20"/>
          <w:lang w:val="en-US"/>
        </w:rPr>
        <w:t>David Freeman Engstrom et Daniel E. Ho,</w:t>
      </w:r>
      <w:r w:rsidRPr="00A610A1">
        <w:rPr>
          <w:color w:val="262526"/>
          <w:spacing w:val="1"/>
          <w:sz w:val="20"/>
          <w:lang w:val="en-US"/>
        </w:rPr>
        <w:t xml:space="preserve"> « </w:t>
      </w:r>
      <w:r w:rsidRPr="00A610A1">
        <w:rPr>
          <w:iCs/>
          <w:color w:val="262526"/>
          <w:sz w:val="20"/>
          <w:lang w:val="en-US"/>
        </w:rPr>
        <w:t>Algorithmic Accountability in the Administrative</w:t>
      </w:r>
      <w:r w:rsidRPr="00A610A1">
        <w:rPr>
          <w:iCs/>
          <w:color w:val="262526"/>
          <w:spacing w:val="1"/>
          <w:sz w:val="20"/>
          <w:lang w:val="en-US"/>
        </w:rPr>
        <w:t xml:space="preserve"> </w:t>
      </w:r>
      <w:r w:rsidRPr="00A610A1">
        <w:rPr>
          <w:iCs/>
          <w:color w:val="262526"/>
          <w:sz w:val="20"/>
          <w:lang w:val="en-US"/>
        </w:rPr>
        <w:t xml:space="preserve">State » </w:t>
      </w:r>
      <w:r w:rsidRPr="00EE0C24">
        <w:rPr>
          <w:iCs/>
          <w:color w:val="262526"/>
          <w:sz w:val="20"/>
          <w:lang w:val="fr-CA"/>
        </w:rPr>
        <w:t>dans</w:t>
      </w:r>
      <w:r w:rsidRPr="00A610A1">
        <w:rPr>
          <w:i/>
          <w:color w:val="262526"/>
          <w:sz w:val="20"/>
          <w:lang w:val="en-US"/>
        </w:rPr>
        <w:t xml:space="preserve"> </w:t>
      </w:r>
      <w:r w:rsidRPr="00A610A1">
        <w:rPr>
          <w:color w:val="262526"/>
          <w:sz w:val="20"/>
          <w:lang w:val="en-US"/>
        </w:rPr>
        <w:t xml:space="preserve">(2020) </w:t>
      </w:r>
      <w:r w:rsidRPr="00A610A1">
        <w:rPr>
          <w:i/>
          <w:iCs/>
          <w:color w:val="262526"/>
          <w:sz w:val="20"/>
          <w:lang w:val="en-US"/>
        </w:rPr>
        <w:t>Yale Journal on Regulation</w:t>
      </w:r>
      <w:r w:rsidRPr="00A610A1">
        <w:rPr>
          <w:color w:val="262526"/>
          <w:sz w:val="20"/>
          <w:lang w:val="en-US"/>
        </w:rPr>
        <w:t xml:space="preserve"> 800, </w:t>
      </w:r>
      <w:r w:rsidRPr="00EE0C24">
        <w:rPr>
          <w:sz w:val="20"/>
          <w:lang w:val="fr-CA"/>
        </w:rPr>
        <w:t>en ligne</w:t>
      </w:r>
      <w:r w:rsidRPr="00A610A1">
        <w:rPr>
          <w:sz w:val="20"/>
          <w:lang w:val="en-US"/>
        </w:rPr>
        <w:t> </w:t>
      </w:r>
      <w:r w:rsidRPr="00A610A1">
        <w:rPr>
          <w:color w:val="262526"/>
          <w:sz w:val="20"/>
          <w:lang w:val="en-US"/>
        </w:rPr>
        <w:t>:</w:t>
      </w:r>
      <w:r w:rsidRPr="00A610A1">
        <w:rPr>
          <w:color w:val="262526"/>
          <w:spacing w:val="1"/>
          <w:sz w:val="20"/>
          <w:lang w:val="en-US"/>
        </w:rPr>
        <w:t xml:space="preserve"> </w:t>
      </w:r>
      <w:r w:rsidRPr="00A610A1">
        <w:rPr>
          <w:color w:val="262526"/>
          <w:spacing w:val="-1"/>
          <w:sz w:val="20"/>
          <w:lang w:val="en-US"/>
        </w:rPr>
        <w:t>papers.ssrn.com/sol3/papers.cfm?abstract_id=</w:t>
      </w:r>
      <w:r w:rsidRPr="00A610A1">
        <w:rPr>
          <w:color w:val="262526"/>
          <w:sz w:val="20"/>
          <w:lang w:val="en-US"/>
        </w:rPr>
        <w:t xml:space="preserve"> 3965041</w:t>
      </w:r>
      <w:r w:rsidRPr="00A610A1">
        <w:rPr>
          <w:color w:val="262526"/>
          <w:spacing w:val="-2"/>
          <w:sz w:val="20"/>
          <w:lang w:val="en-US"/>
        </w:rPr>
        <w:t xml:space="preserve"> p. </w:t>
      </w:r>
      <w:r w:rsidRPr="00A610A1">
        <w:rPr>
          <w:color w:val="262526"/>
          <w:sz w:val="20"/>
          <w:lang w:val="en-US"/>
        </w:rPr>
        <w:t>821.</w:t>
      </w:r>
    </w:p>
  </w:endnote>
  <w:endnote w:id="27">
    <w:p w14:paraId="6A4EB8E2" w14:textId="2962B27B" w:rsidR="00A610A1" w:rsidRPr="00C20DA6" w:rsidRDefault="00A610A1" w:rsidP="00ED126A">
      <w:pPr>
        <w:pStyle w:val="EndnoteText"/>
        <w:rPr>
          <w:lang w:val="fr-CA"/>
        </w:rPr>
      </w:pPr>
      <w:r w:rsidRPr="00C20DA6">
        <w:rPr>
          <w:rStyle w:val="EndnoteReference"/>
          <w:lang w:val="fr-CA"/>
        </w:rPr>
        <w:endnoteRef/>
      </w:r>
      <w:r w:rsidRPr="00C20DA6">
        <w:rPr>
          <w:lang w:val="fr-CA"/>
        </w:rPr>
        <w:t xml:space="preserve"> Voir INCLO </w:t>
      </w:r>
      <w:r w:rsidRPr="00743445">
        <w:t>Challenging</w:t>
      </w:r>
      <w:r w:rsidRPr="00C20DA6">
        <w:rPr>
          <w:lang w:val="fr-CA"/>
        </w:rPr>
        <w:t xml:space="preserve"> FRT, Ferguson 2019, et le rapport de la CDO </w:t>
      </w:r>
      <w:r w:rsidRPr="00C20DA6">
        <w:rPr>
          <w:i/>
          <w:lang w:val="fr-CA"/>
        </w:rPr>
        <w:t xml:space="preserve">American </w:t>
      </w:r>
      <w:r w:rsidRPr="00743445">
        <w:rPr>
          <w:i/>
        </w:rPr>
        <w:t>Lessons</w:t>
      </w:r>
      <w:r w:rsidRPr="00C20DA6">
        <w:rPr>
          <w:lang w:val="fr-CA"/>
        </w:rPr>
        <w:t xml:space="preserve"> pour des exemples représentatifs de cette analyse. </w:t>
      </w:r>
    </w:p>
  </w:endnote>
  <w:endnote w:id="28">
    <w:p w14:paraId="6ECF6D8A" w14:textId="48EB0E5C" w:rsidR="00A610A1" w:rsidRPr="00C20DA6" w:rsidRDefault="00A610A1" w:rsidP="00784133">
      <w:pPr>
        <w:pStyle w:val="EndnoteText"/>
        <w:rPr>
          <w:lang w:val="fr-CA"/>
        </w:rPr>
      </w:pPr>
      <w:r w:rsidRPr="00C20DA6">
        <w:rPr>
          <w:rStyle w:val="EndnoteReference"/>
          <w:lang w:val="fr-CA"/>
        </w:rPr>
        <w:endnoteRef/>
      </w:r>
      <w:r w:rsidRPr="00C20DA6">
        <w:rPr>
          <w:lang w:val="fr-CA"/>
        </w:rPr>
        <w:t xml:space="preserve"> </w:t>
      </w:r>
      <w:r w:rsidRPr="00C20DA6">
        <w:rPr>
          <w:rFonts w:eastAsia="Times New Roman"/>
          <w:lang w:val="fr-CA" w:eastAsia="en-CA"/>
        </w:rPr>
        <w:t>Les variations entre les systèmes d’IA</w:t>
      </w:r>
      <w:r>
        <w:rPr>
          <w:rFonts w:eastAsia="Times New Roman"/>
          <w:lang w:val="fr-CA" w:eastAsia="en-CA"/>
        </w:rPr>
        <w:t xml:space="preserve"> dans</w:t>
      </w:r>
      <w:r w:rsidRPr="00C20DA6">
        <w:rPr>
          <w:rFonts w:eastAsia="Times New Roman"/>
          <w:lang w:val="fr-CA" w:eastAsia="en-CA"/>
        </w:rPr>
        <w:t xml:space="preserve"> </w:t>
      </w:r>
      <w:r w:rsidRPr="00FA50CA">
        <w:rPr>
          <w:rFonts w:eastAsia="Times New Roman"/>
          <w:lang w:val="fr-CA" w:eastAsia="en-CA"/>
        </w:rPr>
        <w:t xml:space="preserve">le secteur de la justice pénale </w:t>
      </w:r>
      <w:r w:rsidRPr="00C20DA6">
        <w:rPr>
          <w:rFonts w:eastAsia="Times New Roman"/>
          <w:lang w:val="fr-CA" w:eastAsia="en-CA"/>
        </w:rPr>
        <w:t xml:space="preserve">et au sein même de ces systèmes confirment la nécessité de disposer d’outils et de critères permettant d’évaluer systématiquement les avantages et les risques de l’IA. Par exemple, un système de reconnaissance faciale surveillant une manifestation publique présente des risques plus graves pour la </w:t>
      </w:r>
      <w:r w:rsidRPr="00FA50CA">
        <w:rPr>
          <w:rFonts w:eastAsia="Times New Roman"/>
          <w:i/>
          <w:lang w:val="fr-CA" w:eastAsia="en-CA"/>
        </w:rPr>
        <w:t>Charte</w:t>
      </w:r>
      <w:r w:rsidRPr="00C20DA6">
        <w:rPr>
          <w:rFonts w:eastAsia="Times New Roman"/>
          <w:lang w:val="fr-CA" w:eastAsia="en-CA"/>
        </w:rPr>
        <w:t xml:space="preserve"> et la vie privée qu’un système de reconnaissance faciale surveillant une installation fermée et sécurisée. Les systèmes de maintien de l’ordre prédictif peuvent également varier considérablement en termes de portée et de risque : les systèmes basés sur la </w:t>
      </w:r>
      <w:r>
        <w:rPr>
          <w:rFonts w:eastAsia="Times New Roman"/>
          <w:lang w:val="fr-CA" w:eastAsia="en-CA"/>
        </w:rPr>
        <w:t>géo</w:t>
      </w:r>
      <w:r w:rsidRPr="00C20DA6">
        <w:rPr>
          <w:rFonts w:eastAsia="Times New Roman"/>
          <w:lang w:val="fr-CA" w:eastAsia="en-CA"/>
        </w:rPr>
        <w:t xml:space="preserve">localisation ont été utilisés pour gérer les patrouilles de police, </w:t>
      </w:r>
      <w:r>
        <w:rPr>
          <w:rFonts w:eastAsia="Times New Roman"/>
          <w:lang w:val="fr-CA" w:eastAsia="en-CA"/>
        </w:rPr>
        <w:t xml:space="preserve">pour </w:t>
      </w:r>
      <w:r w:rsidRPr="00C20DA6">
        <w:rPr>
          <w:rFonts w:eastAsia="Times New Roman"/>
          <w:lang w:val="fr-CA" w:eastAsia="en-CA"/>
        </w:rPr>
        <w:t xml:space="preserve">identifier les moments et les lieux où des crimes spécifiques sont susceptibles de se produire, et </w:t>
      </w:r>
      <w:r>
        <w:rPr>
          <w:rFonts w:eastAsia="Times New Roman"/>
          <w:lang w:val="fr-CA" w:eastAsia="en-CA"/>
        </w:rPr>
        <w:t xml:space="preserve">pour cerner </w:t>
      </w:r>
      <w:r w:rsidRPr="00C20DA6">
        <w:rPr>
          <w:rFonts w:eastAsia="Times New Roman"/>
          <w:lang w:val="fr-CA" w:eastAsia="en-CA"/>
        </w:rPr>
        <w:t>les zones où des interventions communautaires pourraient réduire la criminalité. Les systèmes basés sur les personnes, en revanche, ont été utilisés pour prédire les individus les plus susceptibles d’être impliqués dans des crimes, pour promouvoir la sécurité des agents lorsqu’ils répondent à des appels d’urgence, et pour promouvoir une « dissuasion ciblée ».</w:t>
      </w:r>
    </w:p>
  </w:endnote>
  <w:endnote w:id="29">
    <w:p w14:paraId="6F9F9BB3" w14:textId="2B7233C5" w:rsidR="00A610A1" w:rsidRPr="00C20DA6" w:rsidRDefault="00A610A1" w:rsidP="00412B4E">
      <w:pPr>
        <w:pStyle w:val="EndnoteText"/>
        <w:rPr>
          <w:lang w:val="fr-CA"/>
        </w:rPr>
      </w:pPr>
      <w:r w:rsidRPr="00C20DA6">
        <w:rPr>
          <w:rStyle w:val="EndnoteReference"/>
          <w:lang w:val="fr-CA"/>
        </w:rPr>
        <w:endnoteRef/>
      </w:r>
      <w:r w:rsidRPr="00C20DA6">
        <w:rPr>
          <w:lang w:val="fr-CA"/>
        </w:rPr>
        <w:t xml:space="preserve"> NAS </w:t>
      </w:r>
      <w:r w:rsidRPr="00743445">
        <w:t>Predictive Policing</w:t>
      </w:r>
      <w:r w:rsidRPr="00C20DA6">
        <w:rPr>
          <w:lang w:val="fr-CA"/>
        </w:rPr>
        <w:t xml:space="preserve"> p. 1. </w:t>
      </w:r>
    </w:p>
  </w:endnote>
  <w:endnote w:id="30">
    <w:p w14:paraId="3E06316D" w14:textId="11D3BB72" w:rsidR="00A610A1" w:rsidRPr="00C20DA6" w:rsidRDefault="00A610A1">
      <w:pPr>
        <w:pStyle w:val="EndnoteText"/>
        <w:rPr>
          <w:lang w:val="fr-CA"/>
        </w:rPr>
      </w:pPr>
      <w:r w:rsidRPr="00C20DA6">
        <w:rPr>
          <w:rStyle w:val="EndnoteReference"/>
          <w:lang w:val="fr-CA"/>
        </w:rPr>
        <w:endnoteRef/>
      </w:r>
      <w:r w:rsidRPr="00C20DA6">
        <w:rPr>
          <w:lang w:val="fr-CA"/>
        </w:rPr>
        <w:t xml:space="preserve"> Ces rapports sont documentés de manière exhaustive dans chacun des documents thématiques du projet de la CDO sur l’IA dans le système de justice pénale. </w:t>
      </w:r>
    </w:p>
  </w:endnote>
  <w:endnote w:id="31">
    <w:p w14:paraId="7ADBFA52" w14:textId="6D33439B" w:rsidR="00A610A1" w:rsidRPr="00C20DA6" w:rsidRDefault="00A610A1" w:rsidP="00EF5F8A">
      <w:pPr>
        <w:pStyle w:val="EndnoteText"/>
        <w:rPr>
          <w:lang w:val="fr-CA"/>
        </w:rPr>
      </w:pPr>
      <w:r w:rsidRPr="00C20DA6">
        <w:rPr>
          <w:rStyle w:val="EndnoteReference"/>
          <w:lang w:val="fr-CA"/>
        </w:rPr>
        <w:endnoteRef/>
      </w:r>
      <w:r w:rsidRPr="00C20DA6">
        <w:rPr>
          <w:lang w:val="fr-CA"/>
        </w:rPr>
        <w:t xml:space="preserve"> Union européenne, règlement (UE) 2024/1689 du Parlement européen et du Conseil établissant des règles harmonisées concernant l’intelligence artificielle [règlement de l’UE sur l’IA] (2024), en ligne : </w:t>
      </w:r>
      <w:hyperlink r:id="rId20" w:history="1">
        <w:r w:rsidRPr="00C20DA6">
          <w:rPr>
            <w:rStyle w:val="Hyperlink"/>
            <w:lang w:val="fr-CA"/>
          </w:rPr>
          <w:t>https://eur-lex.europa.eu/legal-content/FR/TXT/?uri=CELEX%3A32024R1689</w:t>
        </w:r>
      </w:hyperlink>
      <w:r w:rsidRPr="00C20DA6">
        <w:rPr>
          <w:lang w:val="fr-CA"/>
        </w:rPr>
        <w:t>. Le c</w:t>
      </w:r>
      <w:r w:rsidRPr="00C20DA6">
        <w:rPr>
          <w:rFonts w:eastAsia="Aptos" w:cstheme="minorHAnsi"/>
          <w:lang w:val="fr-CA"/>
        </w:rPr>
        <w:t xml:space="preserve">hapitre II, article 5 du </w:t>
      </w:r>
      <w:r w:rsidRPr="00C20DA6">
        <w:rPr>
          <w:lang w:val="fr-CA"/>
        </w:rPr>
        <w:t>règlement de l’UE sur l’IA</w:t>
      </w:r>
      <w:r w:rsidRPr="00C20DA6">
        <w:rPr>
          <w:rFonts w:eastAsia="Aptos" w:cstheme="minorHAnsi"/>
          <w:lang w:val="fr-CA"/>
        </w:rPr>
        <w:t xml:space="preserve"> énonce plusieurs « risques inacceptables » et interdictions relativement à certains systèmes d’IA. Ces systèmes sont réputés « inacceptables » parce qu’ils constituent une menace évidente pour les valeurs européennes et les droits fondamentaux. L’article 5 interdit deux systèmes d’IA qui portent directement sur la justice pénale :</w:t>
      </w:r>
    </w:p>
    <w:p w14:paraId="78B96390" w14:textId="41092730" w:rsidR="00A610A1" w:rsidRPr="00C20DA6" w:rsidRDefault="00A610A1" w:rsidP="00F16857">
      <w:pPr>
        <w:pStyle w:val="ListParagraph"/>
        <w:numPr>
          <w:ilvl w:val="0"/>
          <w:numId w:val="7"/>
        </w:numPr>
        <w:spacing w:after="0" w:line="256" w:lineRule="auto"/>
        <w:rPr>
          <w:rFonts w:eastAsia="Aptos" w:cstheme="minorHAnsi"/>
          <w:i/>
          <w:iCs/>
          <w:sz w:val="20"/>
          <w:szCs w:val="20"/>
          <w:lang w:val="fr-CA"/>
        </w:rPr>
      </w:pPr>
      <w:r w:rsidRPr="00C20DA6">
        <w:rPr>
          <w:rFonts w:cstheme="minorHAnsi"/>
          <w:i/>
          <w:iCs/>
          <w:sz w:val="20"/>
          <w:szCs w:val="20"/>
          <w:lang w:val="fr-CA"/>
        </w:rPr>
        <w:t>L’utilisation de systèmes d’identification biométrique à distance en temps réel dans des espaces accessibles au public</w:t>
      </w:r>
      <w:r w:rsidRPr="00C20DA6">
        <w:rPr>
          <w:lang w:val="fr-CA"/>
        </w:rPr>
        <w:t xml:space="preserve"> </w:t>
      </w:r>
      <w:r w:rsidRPr="00C20DA6">
        <w:rPr>
          <w:rFonts w:cstheme="minorHAnsi"/>
          <w:i/>
          <w:iCs/>
          <w:sz w:val="20"/>
          <w:szCs w:val="20"/>
          <w:lang w:val="fr-CA"/>
        </w:rPr>
        <w:t>à des fins autres que répressives.</w:t>
      </w:r>
    </w:p>
    <w:p w14:paraId="7B2D72C9" w14:textId="2961DE90" w:rsidR="00A610A1" w:rsidRPr="00C20DA6" w:rsidRDefault="00A610A1" w:rsidP="00F16857">
      <w:pPr>
        <w:pStyle w:val="ListParagraph"/>
        <w:numPr>
          <w:ilvl w:val="0"/>
          <w:numId w:val="7"/>
        </w:numPr>
        <w:spacing w:after="0" w:line="256" w:lineRule="auto"/>
        <w:rPr>
          <w:rFonts w:cstheme="minorHAnsi"/>
          <w:i/>
          <w:iCs/>
          <w:sz w:val="20"/>
          <w:szCs w:val="20"/>
          <w:lang w:val="fr-CA"/>
        </w:rPr>
      </w:pPr>
      <w:r w:rsidRPr="00C20DA6">
        <w:rPr>
          <w:rFonts w:cstheme="minorHAnsi"/>
          <w:i/>
          <w:iCs/>
          <w:sz w:val="20"/>
          <w:szCs w:val="20"/>
          <w:lang w:val="fr-CA"/>
        </w:rPr>
        <w:t xml:space="preserve">L’évaluation du risque qu’une personne commette des infractions pénales sur la seule base d’un profilage ou de traits de personnalité. </w:t>
      </w:r>
    </w:p>
    <w:p w14:paraId="1964F721" w14:textId="732F4C32" w:rsidR="00A610A1" w:rsidRPr="00C20DA6" w:rsidRDefault="00A610A1" w:rsidP="008D1EE2">
      <w:pPr>
        <w:pStyle w:val="EndnoteText"/>
        <w:rPr>
          <w:lang w:val="fr-CA"/>
        </w:rPr>
      </w:pPr>
      <w:r w:rsidRPr="00C20DA6">
        <w:rPr>
          <w:lang w:val="fr-CA"/>
        </w:rPr>
        <w:t xml:space="preserve">Ces deux interdictions font l’objet d’exceptions importantes. </w:t>
      </w:r>
    </w:p>
  </w:endnote>
  <w:endnote w:id="32">
    <w:p w14:paraId="57039946" w14:textId="18B0E5BB" w:rsidR="00A610A1" w:rsidRPr="00C20DA6" w:rsidRDefault="00A610A1" w:rsidP="008D1EE2">
      <w:pPr>
        <w:spacing w:after="0"/>
        <w:rPr>
          <w:sz w:val="20"/>
          <w:szCs w:val="20"/>
          <w:lang w:val="fr-CA"/>
        </w:rPr>
      </w:pPr>
      <w:r w:rsidRPr="00C20DA6">
        <w:rPr>
          <w:rStyle w:val="EndnoteReference"/>
          <w:lang w:val="fr-CA"/>
        </w:rPr>
        <w:endnoteRef/>
      </w:r>
      <w:r w:rsidRPr="00C20DA6">
        <w:rPr>
          <w:lang w:val="fr-CA"/>
        </w:rPr>
        <w:t xml:space="preserve"> </w:t>
      </w:r>
      <w:r w:rsidRPr="00C20DA6">
        <w:rPr>
          <w:sz w:val="20"/>
          <w:szCs w:val="20"/>
          <w:lang w:val="fr-CA"/>
        </w:rPr>
        <w:t>Dans le règlement de l’UE sur l’IA, le chapitre III, annexe III énumère des systèmes « à haut risque » comme :</w:t>
      </w:r>
    </w:p>
    <w:p w14:paraId="401BF077" w14:textId="509C7E0F" w:rsidR="00A610A1" w:rsidRPr="00C20DA6" w:rsidRDefault="00A610A1" w:rsidP="008D1EE2">
      <w:pPr>
        <w:spacing w:after="0"/>
        <w:rPr>
          <w:i/>
          <w:iCs/>
          <w:sz w:val="20"/>
          <w:szCs w:val="20"/>
          <w:lang w:val="fr-CA"/>
        </w:rPr>
      </w:pPr>
      <w:r w:rsidRPr="00C20DA6">
        <w:rPr>
          <w:rFonts w:eastAsia="Aptos" w:cstheme="minorHAnsi"/>
          <w:i/>
          <w:iCs/>
          <w:sz w:val="20"/>
          <w:szCs w:val="20"/>
          <w:lang w:val="fr-CA"/>
        </w:rPr>
        <w:t>Autorités répressives</w:t>
      </w:r>
    </w:p>
    <w:p w14:paraId="0AE4DD80" w14:textId="07A5662F" w:rsidR="00A610A1" w:rsidRPr="00C20DA6" w:rsidRDefault="00A610A1" w:rsidP="004D302D">
      <w:pPr>
        <w:pStyle w:val="ListParagraph"/>
        <w:numPr>
          <w:ilvl w:val="0"/>
          <w:numId w:val="8"/>
        </w:numPr>
        <w:spacing w:after="0"/>
        <w:rPr>
          <w:i/>
          <w:iCs/>
          <w:sz w:val="20"/>
          <w:szCs w:val="20"/>
          <w:lang w:val="fr-CA"/>
        </w:rPr>
      </w:pPr>
      <w:r w:rsidRPr="00C20DA6">
        <w:rPr>
          <w:i/>
          <w:iCs/>
          <w:sz w:val="20"/>
          <w:szCs w:val="20"/>
          <w:lang w:val="fr-CA"/>
        </w:rPr>
        <w:t xml:space="preserve">Utilisés pour évaluer le risque qu’une personne ne devienne victime d’infractions pénales. </w:t>
      </w:r>
    </w:p>
    <w:p w14:paraId="091229EE" w14:textId="335F8695" w:rsidR="00A610A1" w:rsidRPr="00C20DA6" w:rsidRDefault="00A610A1" w:rsidP="00965500">
      <w:pPr>
        <w:pStyle w:val="ListParagraph"/>
        <w:numPr>
          <w:ilvl w:val="0"/>
          <w:numId w:val="8"/>
        </w:numPr>
        <w:spacing w:after="0"/>
        <w:rPr>
          <w:i/>
          <w:iCs/>
          <w:sz w:val="20"/>
          <w:szCs w:val="20"/>
          <w:lang w:val="fr-CA"/>
        </w:rPr>
      </w:pPr>
      <w:r w:rsidRPr="00C20DA6">
        <w:rPr>
          <w:i/>
          <w:iCs/>
          <w:sz w:val="20"/>
          <w:szCs w:val="20"/>
          <w:lang w:val="fr-CA"/>
        </w:rPr>
        <w:t xml:space="preserve">Les polygraphes. </w:t>
      </w:r>
    </w:p>
    <w:p w14:paraId="18DF4C4E" w14:textId="58B418C9" w:rsidR="00A610A1" w:rsidRPr="00C20DA6" w:rsidRDefault="00A610A1" w:rsidP="004D302D">
      <w:pPr>
        <w:pStyle w:val="ListParagraph"/>
        <w:numPr>
          <w:ilvl w:val="0"/>
          <w:numId w:val="8"/>
        </w:numPr>
        <w:spacing w:after="0"/>
        <w:rPr>
          <w:i/>
          <w:iCs/>
          <w:sz w:val="20"/>
          <w:szCs w:val="20"/>
          <w:lang w:val="fr-CA"/>
        </w:rPr>
      </w:pPr>
      <w:r w:rsidRPr="00C20DA6">
        <w:rPr>
          <w:i/>
          <w:iCs/>
          <w:sz w:val="20"/>
          <w:szCs w:val="20"/>
          <w:lang w:val="fr-CA"/>
        </w:rPr>
        <w:t xml:space="preserve">Pour évaluer la fiabilité des preuves dans le cadre d’enquêtes ou de poursuites relatives à des infractions pénales. </w:t>
      </w:r>
    </w:p>
    <w:p w14:paraId="497F12B1" w14:textId="028EB297" w:rsidR="00A610A1" w:rsidRPr="00C20DA6" w:rsidRDefault="00A610A1" w:rsidP="003823DB">
      <w:pPr>
        <w:pStyle w:val="ListParagraph"/>
        <w:numPr>
          <w:ilvl w:val="0"/>
          <w:numId w:val="8"/>
        </w:numPr>
        <w:spacing w:after="0"/>
        <w:rPr>
          <w:i/>
          <w:iCs/>
          <w:sz w:val="20"/>
          <w:szCs w:val="20"/>
          <w:lang w:val="fr-CA"/>
        </w:rPr>
      </w:pPr>
      <w:r w:rsidRPr="00C20DA6">
        <w:rPr>
          <w:i/>
          <w:iCs/>
          <w:sz w:val="20"/>
          <w:szCs w:val="20"/>
          <w:lang w:val="fr-CA"/>
        </w:rPr>
        <w:t xml:space="preserve">Évaluer le risque d’infraction ou de récidive d’une personne physique non seulement sur la base du profilage ou sur la base de l’évaluation des traits de personnalité ou d’antécédents judiciaires. </w:t>
      </w:r>
    </w:p>
    <w:p w14:paraId="2AFCFFA5" w14:textId="5D77F33E" w:rsidR="00A610A1" w:rsidRPr="00C20DA6" w:rsidRDefault="00A610A1" w:rsidP="008D1EE2">
      <w:pPr>
        <w:spacing w:after="0"/>
        <w:rPr>
          <w:i/>
          <w:iCs/>
          <w:sz w:val="20"/>
          <w:szCs w:val="20"/>
          <w:lang w:val="fr-CA"/>
        </w:rPr>
      </w:pPr>
      <w:r w:rsidRPr="00C20DA6">
        <w:rPr>
          <w:i/>
          <w:iCs/>
          <w:sz w:val="20"/>
          <w:szCs w:val="20"/>
          <w:lang w:val="fr-CA"/>
        </w:rPr>
        <w:t xml:space="preserve">Administration de la justice </w:t>
      </w:r>
    </w:p>
    <w:p w14:paraId="243EB9A6" w14:textId="5D4305D5" w:rsidR="00A610A1" w:rsidRPr="00C20DA6" w:rsidRDefault="00A610A1" w:rsidP="003823DB">
      <w:pPr>
        <w:pStyle w:val="ListParagraph"/>
        <w:numPr>
          <w:ilvl w:val="0"/>
          <w:numId w:val="8"/>
        </w:numPr>
        <w:spacing w:after="0"/>
        <w:rPr>
          <w:i/>
          <w:iCs/>
          <w:sz w:val="20"/>
          <w:szCs w:val="20"/>
          <w:lang w:val="fr-CA"/>
        </w:rPr>
      </w:pPr>
      <w:r w:rsidRPr="00C20DA6">
        <w:rPr>
          <w:i/>
          <w:iCs/>
          <w:sz w:val="20"/>
          <w:szCs w:val="20"/>
          <w:lang w:val="fr-CA"/>
        </w:rPr>
        <w:t xml:space="preserve">Les systèmes d’IA destinés à être utilisés dans la recherche et l’interprétation des faits et à appliquer la loi à un ensemble concret de faits ou utilisés pour le règlement extrajudiciaire des litiges. </w:t>
      </w:r>
    </w:p>
  </w:endnote>
  <w:endnote w:id="33">
    <w:p w14:paraId="377AE055" w14:textId="55915A23" w:rsidR="00A610A1" w:rsidRPr="00C20DA6" w:rsidRDefault="00A610A1" w:rsidP="00CB1F2E">
      <w:pPr>
        <w:spacing w:after="0"/>
        <w:rPr>
          <w:sz w:val="20"/>
          <w:szCs w:val="20"/>
          <w:lang w:val="fr-CA"/>
        </w:rPr>
      </w:pPr>
      <w:r w:rsidRPr="00C20DA6">
        <w:rPr>
          <w:rStyle w:val="EndnoteReference"/>
          <w:sz w:val="20"/>
          <w:szCs w:val="20"/>
          <w:lang w:val="fr-CA"/>
        </w:rPr>
        <w:endnoteRef/>
      </w:r>
      <w:r w:rsidRPr="00C20DA6">
        <w:rPr>
          <w:sz w:val="20"/>
          <w:szCs w:val="20"/>
          <w:lang w:val="fr-CA"/>
        </w:rPr>
        <w:t xml:space="preserve"> Les initiatives américaines sont discutées en détail dans l’introduction au projet de la CDO sur l’IA dans le système de justice pénale.</w:t>
      </w:r>
      <w:r w:rsidRPr="00C20DA6">
        <w:rPr>
          <w:sz w:val="21"/>
          <w:szCs w:val="21"/>
          <w:lang w:val="fr-CA"/>
        </w:rPr>
        <w:t xml:space="preserve"> </w:t>
      </w:r>
      <w:r w:rsidRPr="00C20DA6">
        <w:rPr>
          <w:sz w:val="20"/>
          <w:szCs w:val="21"/>
          <w:lang w:val="fr-CA"/>
        </w:rPr>
        <w:t>Voir aussi de manière générale,</w:t>
      </w:r>
      <w:r w:rsidRPr="00C20DA6">
        <w:rPr>
          <w:sz w:val="18"/>
          <w:szCs w:val="20"/>
          <w:lang w:val="fr-CA"/>
        </w:rPr>
        <w:t xml:space="preserve"> </w:t>
      </w:r>
      <w:r w:rsidRPr="00C20DA6">
        <w:rPr>
          <w:sz w:val="20"/>
          <w:szCs w:val="20"/>
          <w:lang w:val="fr-CA"/>
        </w:rPr>
        <w:t xml:space="preserve">États-Unis, Bureau du président, décret présidentiel </w:t>
      </w:r>
      <w:r w:rsidRPr="00C20DA6">
        <w:rPr>
          <w:rFonts w:cstheme="minorHAnsi"/>
          <w:sz w:val="20"/>
          <w:szCs w:val="20"/>
          <w:lang w:val="fr-CA"/>
        </w:rPr>
        <w:t>14110 « </w:t>
      </w:r>
      <w:r w:rsidRPr="00F20F40">
        <w:rPr>
          <w:rFonts w:cstheme="minorHAnsi"/>
          <w:sz w:val="20"/>
          <w:szCs w:val="20"/>
        </w:rPr>
        <w:t>Safe, Secure, and Trustworthy Development and Use of Artificial Intelligence</w:t>
      </w:r>
      <w:r w:rsidRPr="00C20DA6">
        <w:rPr>
          <w:rFonts w:cstheme="minorHAnsi"/>
          <w:sz w:val="20"/>
          <w:szCs w:val="20"/>
          <w:lang w:val="fr-CA"/>
        </w:rPr>
        <w:t> » (1</w:t>
      </w:r>
      <w:r w:rsidRPr="00C20DA6">
        <w:rPr>
          <w:rFonts w:cstheme="minorHAnsi"/>
          <w:sz w:val="20"/>
          <w:szCs w:val="20"/>
          <w:vertAlign w:val="superscript"/>
          <w:lang w:val="fr-CA"/>
        </w:rPr>
        <w:t>er</w:t>
      </w:r>
      <w:r w:rsidRPr="00C20DA6">
        <w:rPr>
          <w:rFonts w:cstheme="minorHAnsi"/>
          <w:sz w:val="20"/>
          <w:szCs w:val="20"/>
          <w:lang w:val="fr-CA"/>
        </w:rPr>
        <w:t xml:space="preserve"> novembre 2023), </w:t>
      </w:r>
      <w:r w:rsidRPr="00C20DA6">
        <w:rPr>
          <w:sz w:val="20"/>
          <w:lang w:val="fr-CA"/>
        </w:rPr>
        <w:t>en ligne </w:t>
      </w:r>
      <w:r w:rsidRPr="00C20DA6">
        <w:rPr>
          <w:rFonts w:cstheme="minorHAnsi"/>
          <w:sz w:val="18"/>
          <w:szCs w:val="20"/>
          <w:lang w:val="fr-CA"/>
        </w:rPr>
        <w:t xml:space="preserve">: </w:t>
      </w:r>
      <w:hyperlink r:id="rId21" w:history="1">
        <w:r w:rsidRPr="00C20DA6">
          <w:rPr>
            <w:rStyle w:val="Hyperlink"/>
            <w:rFonts w:cstheme="minorHAnsi"/>
            <w:sz w:val="20"/>
            <w:szCs w:val="20"/>
            <w:lang w:val="fr-CA"/>
          </w:rPr>
          <w:t>https://www.federalregister.gov/documents/2023/11/01/2023-24283/safe-secure-and-trustworthy-development-and-use-of-artificial-intelligence</w:t>
        </w:r>
      </w:hyperlink>
      <w:r w:rsidRPr="00C20DA6">
        <w:rPr>
          <w:rStyle w:val="Hyperlink"/>
          <w:rFonts w:cstheme="minorHAnsi"/>
          <w:sz w:val="20"/>
          <w:szCs w:val="20"/>
          <w:lang w:val="fr-CA"/>
        </w:rPr>
        <w:t> </w:t>
      </w:r>
      <w:r w:rsidRPr="00C20DA6">
        <w:rPr>
          <w:rFonts w:cstheme="minorHAnsi"/>
          <w:sz w:val="20"/>
          <w:szCs w:val="20"/>
          <w:lang w:val="fr-CA"/>
        </w:rPr>
        <w:t xml:space="preserve">; </w:t>
      </w:r>
      <w:r w:rsidRPr="00C20DA6">
        <w:rPr>
          <w:sz w:val="20"/>
          <w:szCs w:val="20"/>
          <w:lang w:val="fr-CA"/>
        </w:rPr>
        <w:t xml:space="preserve">Bureau de la gestion et du budget, décret exécutif </w:t>
      </w:r>
      <w:r w:rsidRPr="00C20DA6">
        <w:rPr>
          <w:rFonts w:cstheme="minorHAnsi"/>
          <w:sz w:val="20"/>
          <w:szCs w:val="20"/>
          <w:lang w:val="fr-CA"/>
        </w:rPr>
        <w:t>M-24-10 « </w:t>
      </w:r>
      <w:r w:rsidRPr="00F20F40">
        <w:rPr>
          <w:rFonts w:cstheme="minorHAnsi"/>
          <w:sz w:val="20"/>
          <w:szCs w:val="20"/>
        </w:rPr>
        <w:t xml:space="preserve">Advancing Governance, Innovation, and Risk Management for Agency Use of Artificial Intelligence » (mars 2023) ; </w:t>
      </w:r>
      <w:r w:rsidRPr="00F20F40">
        <w:rPr>
          <w:sz w:val="20"/>
          <w:szCs w:val="20"/>
        </w:rPr>
        <w:t xml:space="preserve">AINow Institute, “A Taxonomy of Legislative Approaches to Face Recognition in the United States” in </w:t>
      </w:r>
      <w:r w:rsidRPr="00F20F40">
        <w:rPr>
          <w:i/>
          <w:iCs/>
          <w:sz w:val="20"/>
          <w:szCs w:val="20"/>
        </w:rPr>
        <w:t>Regulating Biometrics: Global Approaches and</w:t>
      </w:r>
      <w:r w:rsidRPr="00C20DA6">
        <w:rPr>
          <w:i/>
          <w:iCs/>
          <w:sz w:val="20"/>
          <w:szCs w:val="20"/>
          <w:lang w:val="fr-CA"/>
        </w:rPr>
        <w:t xml:space="preserve"> Open Questions</w:t>
      </w:r>
      <w:r w:rsidRPr="00C20DA6">
        <w:rPr>
          <w:sz w:val="20"/>
          <w:szCs w:val="20"/>
          <w:lang w:val="fr-CA"/>
        </w:rPr>
        <w:t xml:space="preserve"> (sept. 2020</w:t>
      </w:r>
      <w:r w:rsidRPr="00C20DA6">
        <w:rPr>
          <w:sz w:val="18"/>
          <w:szCs w:val="20"/>
          <w:lang w:val="fr-CA"/>
        </w:rPr>
        <w:t xml:space="preserve">), </w:t>
      </w:r>
      <w:r w:rsidRPr="00C20DA6">
        <w:rPr>
          <w:sz w:val="20"/>
          <w:lang w:val="fr-CA"/>
        </w:rPr>
        <w:t>en ligne</w:t>
      </w:r>
      <w:r w:rsidRPr="00C20DA6">
        <w:rPr>
          <w:sz w:val="20"/>
          <w:szCs w:val="20"/>
          <w:lang w:val="fr-CA"/>
        </w:rPr>
        <w:t>:</w:t>
      </w:r>
      <w:r w:rsidRPr="00C20DA6">
        <w:rPr>
          <w:i/>
          <w:iCs/>
          <w:sz w:val="20"/>
          <w:szCs w:val="20"/>
          <w:lang w:val="fr-CA"/>
        </w:rPr>
        <w:t xml:space="preserve"> </w:t>
      </w:r>
      <w:hyperlink r:id="rId22" w:history="1">
        <w:r w:rsidRPr="00C20DA6">
          <w:rPr>
            <w:rStyle w:val="Hyperlink"/>
            <w:sz w:val="20"/>
            <w:szCs w:val="20"/>
            <w:lang w:val="fr-CA"/>
          </w:rPr>
          <w:t>https://ainowinstitute.org/publication/regulating-biometrics-global-approaches-and-open-questions</w:t>
        </w:r>
      </w:hyperlink>
      <w:r w:rsidRPr="00C20DA6">
        <w:rPr>
          <w:rStyle w:val="Hyperlink"/>
          <w:sz w:val="20"/>
          <w:szCs w:val="20"/>
          <w:lang w:val="fr-CA"/>
        </w:rPr>
        <w:t> </w:t>
      </w:r>
      <w:r w:rsidRPr="00C20DA6">
        <w:rPr>
          <w:sz w:val="20"/>
          <w:szCs w:val="20"/>
          <w:lang w:val="fr-CA"/>
        </w:rPr>
        <w:t xml:space="preserve">; New York Police </w:t>
      </w:r>
      <w:r w:rsidRPr="00F20F40">
        <w:rPr>
          <w:sz w:val="20"/>
          <w:szCs w:val="20"/>
        </w:rPr>
        <w:t>Department, Facial Recognition Technology</w:t>
      </w:r>
      <w:r w:rsidRPr="00C20DA6">
        <w:rPr>
          <w:sz w:val="20"/>
          <w:szCs w:val="20"/>
          <w:lang w:val="fr-CA"/>
        </w:rPr>
        <w:t xml:space="preserve"> Policy, P.G. 212-129, (2020), </w:t>
      </w:r>
      <w:r w:rsidRPr="00C20DA6">
        <w:rPr>
          <w:sz w:val="20"/>
          <w:lang w:val="fr-CA"/>
        </w:rPr>
        <w:t>en ligne</w:t>
      </w:r>
      <w:r w:rsidRPr="00C20DA6">
        <w:rPr>
          <w:sz w:val="20"/>
          <w:szCs w:val="20"/>
          <w:lang w:val="fr-CA"/>
        </w:rPr>
        <w:t xml:space="preserve">: </w:t>
      </w:r>
      <w:hyperlink r:id="rId23" w:history="1">
        <w:r w:rsidRPr="00C20DA6">
          <w:rPr>
            <w:rStyle w:val="Hyperlink"/>
            <w:sz w:val="20"/>
            <w:szCs w:val="20"/>
            <w:lang w:val="fr-CA"/>
          </w:rPr>
          <w:t>https://www.nyc.gov/site/nypd/about/about-nypd/equipment-tech/facial-recognition.page</w:t>
        </w:r>
      </w:hyperlink>
      <w:r w:rsidRPr="00C20DA6">
        <w:rPr>
          <w:rStyle w:val="Hyperlink"/>
          <w:sz w:val="20"/>
          <w:szCs w:val="20"/>
          <w:lang w:val="fr-CA"/>
        </w:rPr>
        <w:t> </w:t>
      </w:r>
      <w:r w:rsidRPr="00C20DA6">
        <w:rPr>
          <w:sz w:val="20"/>
          <w:szCs w:val="20"/>
          <w:lang w:val="fr-CA"/>
        </w:rPr>
        <w:t xml:space="preserve">; et </w:t>
      </w:r>
      <w:r w:rsidRPr="00F20F40">
        <w:rPr>
          <w:sz w:val="20"/>
          <w:szCs w:val="20"/>
        </w:rPr>
        <w:t xml:space="preserve">Policing Project, New York University School of Law, </w:t>
      </w:r>
      <w:r w:rsidRPr="00F20F40">
        <w:rPr>
          <w:i/>
          <w:iCs/>
          <w:sz w:val="20"/>
          <w:szCs w:val="20"/>
        </w:rPr>
        <w:t>Regulating Police Use of Facial Recognition Technology – Resources for Legislators</w:t>
      </w:r>
      <w:r w:rsidRPr="00C20DA6">
        <w:rPr>
          <w:sz w:val="20"/>
          <w:szCs w:val="20"/>
          <w:lang w:val="fr-CA"/>
        </w:rPr>
        <w:t xml:space="preserve"> (consulté en mars 2025),</w:t>
      </w:r>
      <w:r w:rsidRPr="00C20DA6">
        <w:rPr>
          <w:sz w:val="20"/>
          <w:lang w:val="fr-CA"/>
        </w:rPr>
        <w:t xml:space="preserve"> en ligne</w:t>
      </w:r>
      <w:r w:rsidRPr="00C20DA6">
        <w:rPr>
          <w:sz w:val="20"/>
          <w:szCs w:val="20"/>
          <w:lang w:val="fr-CA"/>
        </w:rPr>
        <w:t xml:space="preserve">: </w:t>
      </w:r>
      <w:hyperlink r:id="rId24" w:history="1">
        <w:r w:rsidRPr="00C20DA6">
          <w:rPr>
            <w:rStyle w:val="Hyperlink"/>
            <w:sz w:val="20"/>
            <w:szCs w:val="20"/>
            <w:lang w:val="fr-CA"/>
          </w:rPr>
          <w:t>https://www.policingproject.org/regulating-police-use-of-face-recognition-technology</w:t>
        </w:r>
      </w:hyperlink>
      <w:r w:rsidRPr="00C20DA6">
        <w:rPr>
          <w:sz w:val="20"/>
          <w:szCs w:val="20"/>
          <w:lang w:val="fr-CA"/>
        </w:rPr>
        <w:t xml:space="preserve">. </w:t>
      </w:r>
    </w:p>
  </w:endnote>
  <w:endnote w:id="34">
    <w:p w14:paraId="67985CB5" w14:textId="2DE0177F"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w:t>
      </w:r>
      <w:r w:rsidRPr="00C20DA6">
        <w:rPr>
          <w:i/>
          <w:iCs/>
          <w:lang w:val="fr-CA"/>
        </w:rPr>
        <w:t>Loi sur la mise en œuvre de la Charte du numérique </w:t>
      </w:r>
      <w:r w:rsidRPr="00C20DA6">
        <w:rPr>
          <w:lang w:val="fr-CA"/>
        </w:rPr>
        <w:t>;</w:t>
      </w:r>
      <w:r w:rsidRPr="00C20DA6">
        <w:rPr>
          <w:i/>
          <w:iCs/>
          <w:lang w:val="fr-CA"/>
        </w:rPr>
        <w:t xml:space="preserve"> 1</w:t>
      </w:r>
      <w:r w:rsidRPr="00C20DA6">
        <w:rPr>
          <w:i/>
          <w:iCs/>
          <w:vertAlign w:val="superscript"/>
          <w:lang w:val="fr-CA"/>
        </w:rPr>
        <w:t>re</w:t>
      </w:r>
      <w:r w:rsidRPr="00C20DA6">
        <w:rPr>
          <w:i/>
          <w:iCs/>
          <w:lang w:val="fr-CA"/>
        </w:rPr>
        <w:t xml:space="preserve"> sess. 44</w:t>
      </w:r>
      <w:r w:rsidRPr="00C20DA6">
        <w:rPr>
          <w:i/>
          <w:iCs/>
          <w:vertAlign w:val="superscript"/>
          <w:lang w:val="fr-CA"/>
        </w:rPr>
        <w:t>e</w:t>
      </w:r>
      <w:r w:rsidRPr="00C20DA6">
        <w:rPr>
          <w:i/>
          <w:iCs/>
          <w:lang w:val="fr-CA"/>
        </w:rPr>
        <w:t xml:space="preserve"> législature, 2022, partie 3 « Loi sur l’intelligence artificielle et les données » </w:t>
      </w:r>
      <w:r w:rsidRPr="00C20DA6">
        <w:rPr>
          <w:lang w:val="fr-CA"/>
        </w:rPr>
        <w:t>[</w:t>
      </w:r>
      <w:r w:rsidRPr="00D02849">
        <w:rPr>
          <w:i/>
          <w:lang w:val="fr-CA"/>
        </w:rPr>
        <w:t>LIAD</w:t>
      </w:r>
      <w:r w:rsidRPr="00C20DA6">
        <w:rPr>
          <w:lang w:val="fr-CA"/>
        </w:rPr>
        <w:t>],</w:t>
      </w:r>
      <w:r w:rsidRPr="00C20DA6">
        <w:rPr>
          <w:i/>
          <w:iCs/>
          <w:lang w:val="fr-CA"/>
        </w:rPr>
        <w:t xml:space="preserve"> </w:t>
      </w:r>
      <w:r w:rsidRPr="00C20DA6">
        <w:rPr>
          <w:iCs/>
          <w:lang w:val="fr-CA"/>
        </w:rPr>
        <w:t>en ligne </w:t>
      </w:r>
      <w:r w:rsidRPr="00C20DA6">
        <w:rPr>
          <w:lang w:val="fr-CA"/>
        </w:rPr>
        <w:t>:</w:t>
      </w:r>
      <w:r w:rsidRPr="00C20DA6">
        <w:rPr>
          <w:i/>
          <w:iCs/>
          <w:lang w:val="fr-CA"/>
        </w:rPr>
        <w:t xml:space="preserve"> </w:t>
      </w:r>
      <w:r w:rsidRPr="00C20DA6">
        <w:rPr>
          <w:rStyle w:val="Hyperlink"/>
          <w:i/>
          <w:iCs/>
          <w:lang w:val="fr-CA"/>
        </w:rPr>
        <w:t>https://www.parl.ca/legisinfo/fr/projet-de-loi/44-1/c-27</w:t>
      </w:r>
      <w:r w:rsidRPr="00C20DA6">
        <w:rPr>
          <w:lang w:val="fr-CA"/>
        </w:rPr>
        <w:t xml:space="preserve">. </w:t>
      </w:r>
    </w:p>
  </w:endnote>
  <w:endnote w:id="35">
    <w:p w14:paraId="5B296C7C" w14:textId="59B6E704" w:rsidR="00A610A1" w:rsidRPr="00C20DA6" w:rsidRDefault="00A610A1" w:rsidP="009F0A62">
      <w:pPr>
        <w:pStyle w:val="EndnoteText"/>
        <w:contextualSpacing/>
        <w:jc w:val="both"/>
        <w:rPr>
          <w:rFonts w:cstheme="minorHAnsi"/>
          <w:lang w:val="fr-CA"/>
        </w:rPr>
      </w:pPr>
      <w:r w:rsidRPr="00C20DA6">
        <w:rPr>
          <w:rStyle w:val="EndnoteReference"/>
          <w:rFonts w:cstheme="minorHAnsi"/>
          <w:lang w:val="fr-CA"/>
        </w:rPr>
        <w:endnoteRef/>
      </w:r>
      <w:r w:rsidRPr="00C20DA6">
        <w:rPr>
          <w:rFonts w:cstheme="minorHAnsi"/>
          <w:lang w:val="fr-CA"/>
        </w:rPr>
        <w:t xml:space="preserve"> </w:t>
      </w:r>
      <w:r w:rsidRPr="00C20DA6">
        <w:rPr>
          <w:rFonts w:cstheme="minorHAnsi"/>
          <w:i/>
          <w:iCs/>
          <w:lang w:val="fr-CA"/>
        </w:rPr>
        <w:t>LIAD</w:t>
      </w:r>
      <w:r w:rsidRPr="00C20DA6">
        <w:rPr>
          <w:rFonts w:cstheme="minorHAnsi"/>
          <w:lang w:val="fr-CA"/>
        </w:rPr>
        <w:t xml:space="preserve">, art. 3. </w:t>
      </w:r>
    </w:p>
  </w:endnote>
  <w:endnote w:id="36">
    <w:p w14:paraId="35CC0BEF" w14:textId="138793EB" w:rsidR="00A610A1" w:rsidRPr="00C20DA6" w:rsidRDefault="00A610A1">
      <w:pPr>
        <w:pStyle w:val="EndnoteText"/>
        <w:rPr>
          <w:lang w:val="fr-CA"/>
        </w:rPr>
      </w:pPr>
      <w:r w:rsidRPr="00C20DA6">
        <w:rPr>
          <w:rStyle w:val="EndnoteReference"/>
          <w:lang w:val="fr-CA"/>
        </w:rPr>
        <w:endnoteRef/>
      </w:r>
      <w:r w:rsidRPr="00C20DA6">
        <w:rPr>
          <w:lang w:val="fr-CA"/>
        </w:rPr>
        <w:t xml:space="preserve"> Voir par exemple, une lettre ouverte conjointe de 45 organisations civiles, experts et universitaires critiquant la </w:t>
      </w:r>
      <w:r w:rsidRPr="00F20F40">
        <w:rPr>
          <w:i/>
          <w:lang w:val="fr-CA"/>
        </w:rPr>
        <w:t>LIAD</w:t>
      </w:r>
      <w:r w:rsidRPr="00C20DA6">
        <w:rPr>
          <w:lang w:val="fr-CA"/>
        </w:rPr>
        <w:t xml:space="preserve"> pour de nombreuses raisons, en ligne : </w:t>
      </w:r>
      <w:hyperlink r:id="rId25" w:history="1">
        <w:r w:rsidRPr="00C20DA6">
          <w:rPr>
            <w:rStyle w:val="Hyperlink"/>
            <w:lang w:val="fr-CA"/>
          </w:rPr>
          <w:t>https://bccla.org/policy-submission/joint-letter-of-concern-regarding-the-artificial-intelligence-and-data-act-aida/</w:t>
        </w:r>
      </w:hyperlink>
      <w:r w:rsidRPr="00C20DA6">
        <w:rPr>
          <w:lang w:val="fr-CA"/>
        </w:rPr>
        <w:t>.</w:t>
      </w:r>
    </w:p>
  </w:endnote>
  <w:endnote w:id="37">
    <w:p w14:paraId="64F33174" w14:textId="6C3ABF92" w:rsidR="00A610A1" w:rsidRPr="00C20DA6" w:rsidRDefault="00A610A1" w:rsidP="009D3DF0">
      <w:pPr>
        <w:spacing w:after="0"/>
        <w:rPr>
          <w:rFonts w:cstheme="minorHAnsi"/>
          <w:sz w:val="20"/>
          <w:szCs w:val="20"/>
          <w:lang w:val="fr-CA"/>
        </w:rPr>
      </w:pPr>
      <w:r w:rsidRPr="00C20DA6">
        <w:rPr>
          <w:rStyle w:val="EndnoteReference"/>
          <w:lang w:val="fr-CA"/>
        </w:rPr>
        <w:endnoteRef/>
      </w:r>
      <w:r w:rsidRPr="00C20DA6">
        <w:rPr>
          <w:lang w:val="fr-CA"/>
        </w:rPr>
        <w:t xml:space="preserve"> </w:t>
      </w:r>
      <w:r w:rsidRPr="00C20DA6">
        <w:rPr>
          <w:rFonts w:cstheme="minorHAnsi"/>
          <w:color w:val="333333"/>
          <w:sz w:val="20"/>
          <w:szCs w:val="20"/>
          <w:shd w:val="clear" w:color="auto" w:fill="FFFFFF"/>
          <w:lang w:val="fr-CA"/>
        </w:rPr>
        <w:t>Canada. Innovation, Sciences et Développement économique Canada, « </w:t>
      </w:r>
      <w:r w:rsidRPr="00C20DA6">
        <w:rPr>
          <w:rFonts w:cstheme="minorHAnsi"/>
          <w:sz w:val="20"/>
          <w:szCs w:val="20"/>
          <w:shd w:val="clear" w:color="auto" w:fill="FFFFFF"/>
          <w:lang w:val="fr-CA"/>
        </w:rPr>
        <w:t>Lettre au président du Comité permanent de l’industrie et de la technologie sur le projet de loi C-27 »</w:t>
      </w:r>
      <w:r w:rsidRPr="00C20DA6">
        <w:rPr>
          <w:rFonts w:cstheme="minorHAnsi"/>
          <w:color w:val="333333"/>
          <w:sz w:val="20"/>
          <w:szCs w:val="20"/>
          <w:shd w:val="clear" w:color="auto" w:fill="FFFFFF"/>
          <w:lang w:val="fr-CA"/>
        </w:rPr>
        <w:t xml:space="preserve"> (28 novembre 2023), en ligne : </w:t>
      </w:r>
      <w:r w:rsidRPr="00C20DA6">
        <w:rPr>
          <w:rStyle w:val="Hyperlink"/>
          <w:rFonts w:cstheme="minorHAnsi"/>
          <w:sz w:val="20"/>
          <w:szCs w:val="20"/>
          <w:shd w:val="clear" w:color="auto" w:fill="FFFFFF"/>
          <w:lang w:val="fr-CA"/>
        </w:rPr>
        <w:t>https://www.ourcommons.ca/content/Committee/441/INDU/WebDoc/WD12751351/12751351/MinisterOfInnovationScienceAndIndustry-2023-11-28-Combined-f.pdf</w:t>
      </w:r>
      <w:r w:rsidRPr="00C20DA6">
        <w:rPr>
          <w:rFonts w:cstheme="minorHAnsi"/>
          <w:color w:val="333333"/>
          <w:sz w:val="20"/>
          <w:szCs w:val="20"/>
          <w:shd w:val="clear" w:color="auto" w:fill="FFFFFF"/>
          <w:lang w:val="fr-CA"/>
        </w:rPr>
        <w:t xml:space="preserve">. Les classes de systèmes interdits concernées comprennent la classe 3 (« utilisation d’un système d’intelligence artificielle pour traiter des données biométriques…), la classe 6 (« utilisation d’un système d’intelligence artificielle par un tribunal ou un organisme administratif…) et la classe 7 (« utilisation d’un système d’intelligence artificielle pour assister un agent de la paix…). </w:t>
      </w:r>
    </w:p>
  </w:endnote>
  <w:endnote w:id="38">
    <w:p w14:paraId="010FCA3A" w14:textId="4FF70958"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Voir par exemple, Conseil du Canada de l’accès et la vie privée, « </w:t>
      </w:r>
      <w:r w:rsidRPr="00F20F40">
        <w:rPr>
          <w:lang w:val="fr-CA"/>
        </w:rPr>
        <w:t xml:space="preserve">Key </w:t>
      </w:r>
      <w:r w:rsidRPr="00F20F40">
        <w:t>stakeholders call for withdrawal of controversial AI legislation</w:t>
      </w:r>
      <w:r w:rsidRPr="00C20DA6">
        <w:rPr>
          <w:lang w:val="fr-CA"/>
        </w:rPr>
        <w:t xml:space="preserve"> » 24 avril 2024, en ligne : </w:t>
      </w:r>
      <w:hyperlink r:id="rId26" w:history="1">
        <w:r w:rsidRPr="00C20DA6">
          <w:rPr>
            <w:rStyle w:val="Hyperlink"/>
            <w:lang w:val="fr-CA"/>
          </w:rPr>
          <w:t>https://pacc-ccap.ca/aida-open-letter/</w:t>
        </w:r>
      </w:hyperlink>
      <w:r w:rsidRPr="00C20DA6">
        <w:rPr>
          <w:lang w:val="fr-CA"/>
        </w:rPr>
        <w:t xml:space="preserve">. </w:t>
      </w:r>
    </w:p>
  </w:endnote>
  <w:endnote w:id="39">
    <w:p w14:paraId="535AAE1E" w14:textId="5A3C0C62"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Canada, </w:t>
      </w:r>
      <w:r w:rsidRPr="00C20DA6">
        <w:rPr>
          <w:i/>
          <w:iCs/>
          <w:lang w:val="fr-CA"/>
        </w:rPr>
        <w:t xml:space="preserve">Directive sur la prise de décisions automatisée </w:t>
      </w:r>
      <w:r w:rsidRPr="00C20DA6">
        <w:rPr>
          <w:lang w:val="fr-CA"/>
        </w:rPr>
        <w:t xml:space="preserve">[Canada Directive sur la PDA] (2019), en ligne : </w:t>
      </w:r>
      <w:r w:rsidRPr="00C20DA6">
        <w:rPr>
          <w:rStyle w:val="Hyperlink"/>
          <w:lang w:val="fr-CA"/>
        </w:rPr>
        <w:t>https://www.tbs-sct.canada.ca/pol/doc-fra.aspx?id=32592 </w:t>
      </w:r>
      <w:r w:rsidRPr="00C20DA6">
        <w:rPr>
          <w:lang w:val="fr-CA"/>
        </w:rPr>
        <w:t xml:space="preserve">; et Outil d’évaluation de l’incidence algorithmique [Canada EIA], en ligne : </w:t>
      </w:r>
      <w:r w:rsidRPr="00C20DA6">
        <w:rPr>
          <w:rStyle w:val="Hyperlink"/>
          <w:lang w:val="fr-CA"/>
        </w:rPr>
        <w:t>https://www.canada.ca/fr/gouvernement/systeme/gouvernement-numerique/innovations-gouvernementales-numeriques/utilisation-responsable-ai/evaluation-incidence-algorithmique.html</w:t>
      </w:r>
      <w:r w:rsidRPr="00C20DA6">
        <w:rPr>
          <w:lang w:val="fr-CA"/>
        </w:rPr>
        <w:t xml:space="preserve">. </w:t>
      </w:r>
    </w:p>
  </w:endnote>
  <w:endnote w:id="40">
    <w:p w14:paraId="58D68DC3" w14:textId="0866A3BB" w:rsidR="00A610A1" w:rsidRPr="00C20DA6" w:rsidRDefault="00A610A1" w:rsidP="009F0A62">
      <w:pPr>
        <w:pStyle w:val="EndnoteText"/>
        <w:rPr>
          <w:lang w:val="fr-CA"/>
        </w:rPr>
      </w:pPr>
      <w:r w:rsidRPr="00C20DA6">
        <w:rPr>
          <w:rStyle w:val="None"/>
          <w:vertAlign w:val="superscript"/>
          <w:lang w:val="fr-CA"/>
        </w:rPr>
        <w:endnoteRef/>
      </w:r>
      <w:r w:rsidRPr="00C20DA6">
        <w:rPr>
          <w:lang w:val="fr-CA"/>
        </w:rPr>
        <w:t xml:space="preserve"> </w:t>
      </w:r>
      <w:r w:rsidRPr="00F20F40">
        <w:t>Accountable</w:t>
      </w:r>
      <w:r w:rsidRPr="00C20DA6">
        <w:rPr>
          <w:lang w:val="fr-CA"/>
        </w:rPr>
        <w:t xml:space="preserve"> AI.</w:t>
      </w:r>
    </w:p>
  </w:endnote>
  <w:endnote w:id="41">
    <w:p w14:paraId="3A095C04" w14:textId="35FFEAA9" w:rsidR="00A610A1" w:rsidRPr="00C20DA6" w:rsidRDefault="00A610A1" w:rsidP="009F0A62">
      <w:pPr>
        <w:pStyle w:val="EndnoteText"/>
        <w:rPr>
          <w:lang w:val="fr-CA"/>
        </w:rPr>
      </w:pPr>
      <w:r w:rsidRPr="00C20DA6">
        <w:rPr>
          <w:rStyle w:val="None"/>
          <w:vertAlign w:val="superscript"/>
          <w:lang w:val="fr-CA"/>
        </w:rPr>
        <w:endnoteRef/>
      </w:r>
      <w:r w:rsidRPr="00C20DA6">
        <w:rPr>
          <w:lang w:val="fr-CA"/>
        </w:rPr>
        <w:t xml:space="preserve"> Voir </w:t>
      </w:r>
      <w:r w:rsidRPr="00F20F40">
        <w:t>Accountable</w:t>
      </w:r>
      <w:r w:rsidRPr="00C20DA6">
        <w:rPr>
          <w:lang w:val="fr-CA"/>
        </w:rPr>
        <w:t xml:space="preserve"> AI p. 57-66.</w:t>
      </w:r>
    </w:p>
  </w:endnote>
  <w:endnote w:id="42">
    <w:p w14:paraId="141BC7B1" w14:textId="15BB99C3"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Canada Directive sur la PDA, art. 5.1. Il est à noter que la directive s’applique uniquement aux ministères fédéraux relevant du Secrétariat du Conseil du Trésor.</w:t>
      </w:r>
    </w:p>
  </w:endnote>
  <w:endnote w:id="43">
    <w:p w14:paraId="08C89AA9" w14:textId="3CC69C0E"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Cet examen devrait être achevé en 2025.</w:t>
      </w:r>
    </w:p>
  </w:endnote>
  <w:endnote w:id="44">
    <w:p w14:paraId="1F3CE849" w14:textId="049199A5" w:rsidR="00A610A1" w:rsidRPr="00C20DA6" w:rsidRDefault="00A610A1">
      <w:pPr>
        <w:pStyle w:val="EndnoteText"/>
        <w:rPr>
          <w:lang w:val="fr-CA"/>
        </w:rPr>
      </w:pPr>
      <w:r w:rsidRPr="00C20DA6">
        <w:rPr>
          <w:rStyle w:val="EndnoteReference"/>
          <w:lang w:val="fr-CA"/>
        </w:rPr>
        <w:endnoteRef/>
      </w:r>
      <w:r w:rsidRPr="00C20DA6">
        <w:rPr>
          <w:lang w:val="fr-CA"/>
        </w:rPr>
        <w:t xml:space="preserve"> La création du PNIT est abordée dans Gendarmerie royale du Canada, « La GRC publie le Plan de transparence : Aperçu des technologies opérationnelles » [Plan de transparence GRC] (septembre 2024), en ligne : https://grc.ca/fr/nouvelles/2024/09/grc-publie-plan-transparence-apercu-technologies-operationnelles</w:t>
      </w:r>
    </w:p>
  </w:endnote>
  <w:endnote w:id="45">
    <w:p w14:paraId="12E1F234" w14:textId="42E1368F" w:rsidR="00A610A1" w:rsidRPr="00C20DA6" w:rsidRDefault="00A610A1" w:rsidP="00B54C76">
      <w:pPr>
        <w:pStyle w:val="EndnoteText"/>
        <w:rPr>
          <w:lang w:val="fr-CA"/>
        </w:rPr>
      </w:pPr>
      <w:r w:rsidRPr="00C20DA6">
        <w:rPr>
          <w:rStyle w:val="EndnoteReference"/>
          <w:lang w:val="fr-CA"/>
        </w:rPr>
        <w:endnoteRef/>
      </w:r>
      <w:r w:rsidRPr="00C20DA6">
        <w:rPr>
          <w:lang w:val="fr-CA"/>
        </w:rPr>
        <w:t xml:space="preserve"> Communication de la GRC avec la CDO. </w:t>
      </w:r>
    </w:p>
  </w:endnote>
  <w:endnote w:id="46">
    <w:p w14:paraId="01158033" w14:textId="60BFEF02" w:rsidR="00A610A1" w:rsidRPr="00C20DA6" w:rsidRDefault="00A610A1" w:rsidP="00B54C76">
      <w:pPr>
        <w:spacing w:after="0"/>
        <w:rPr>
          <w:sz w:val="20"/>
          <w:szCs w:val="20"/>
          <w:lang w:val="fr-CA"/>
        </w:rPr>
      </w:pPr>
      <w:r w:rsidRPr="00C20DA6">
        <w:rPr>
          <w:rStyle w:val="EndnoteReference"/>
          <w:lang w:val="fr-CA"/>
        </w:rPr>
        <w:endnoteRef/>
      </w:r>
      <w:r w:rsidRPr="00C20DA6">
        <w:rPr>
          <w:lang w:val="fr-CA"/>
        </w:rPr>
        <w:t xml:space="preserve"> </w:t>
      </w:r>
      <w:r w:rsidRPr="00C20DA6">
        <w:rPr>
          <w:sz w:val="20"/>
          <w:szCs w:val="20"/>
          <w:lang w:val="fr-CA"/>
        </w:rPr>
        <w:t xml:space="preserve">Gendarmerie royale du Canada, Programme national d’intégration de la technologie de la GRC – Plan de transparence : Aperçu des technologies opérationnelles [Plan de transparence GRC] (2024), en ligne au </w:t>
      </w:r>
      <w:r w:rsidRPr="00C20DA6">
        <w:rPr>
          <w:rStyle w:val="Hyperlink"/>
          <w:sz w:val="20"/>
          <w:szCs w:val="20"/>
          <w:lang w:val="fr-CA"/>
        </w:rPr>
        <w:t>https://grc.ca/fr/renseignements-organisationnels/publications-et-guides/programme-national-dintegration-technologie-plan-de-transparence</w:t>
      </w:r>
      <w:r w:rsidRPr="00C20DA6">
        <w:rPr>
          <w:sz w:val="20"/>
          <w:szCs w:val="20"/>
          <w:lang w:val="fr-CA"/>
        </w:rPr>
        <w:t>.</w:t>
      </w:r>
    </w:p>
  </w:endnote>
  <w:endnote w:id="47">
    <w:p w14:paraId="30E3C6B2" w14:textId="3956F792"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Plan de transparence GRC p. 9.</w:t>
      </w:r>
    </w:p>
  </w:endnote>
  <w:endnote w:id="48">
    <w:p w14:paraId="2D4A6DE9" w14:textId="23ECD1C6"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w:t>
      </w:r>
      <w:r w:rsidRPr="00C20DA6">
        <w:rPr>
          <w:i/>
          <w:iCs/>
          <w:lang w:val="fr-CA"/>
        </w:rPr>
        <w:t>Loi de 2024 visant à renforcer la sécurité et la confiance en matière de numérique</w:t>
      </w:r>
      <w:r w:rsidRPr="00C20DA6">
        <w:rPr>
          <w:lang w:val="fr-CA"/>
        </w:rPr>
        <w:t xml:space="preserve">, L.O. 2024, chap. 24, en ligne : </w:t>
      </w:r>
      <w:r w:rsidRPr="00C20DA6">
        <w:rPr>
          <w:rStyle w:val="Hyperlink"/>
          <w:lang w:val="fr-CA"/>
        </w:rPr>
        <w:t>https://www.ontario.ca/lois/loi/24e24</w:t>
      </w:r>
      <w:r w:rsidRPr="00C20DA6">
        <w:rPr>
          <w:lang w:val="fr-CA"/>
        </w:rPr>
        <w:t xml:space="preserve">.  </w:t>
      </w:r>
    </w:p>
  </w:endnote>
  <w:endnote w:id="49">
    <w:p w14:paraId="6512ACA3" w14:textId="3E81D3BD" w:rsidR="00A610A1" w:rsidRPr="00C20DA6" w:rsidRDefault="00A610A1" w:rsidP="00B32A11">
      <w:pPr>
        <w:pStyle w:val="Heading3"/>
        <w:shd w:val="clear" w:color="auto" w:fill="FFFFFF"/>
        <w:spacing w:before="0" w:line="240" w:lineRule="auto"/>
        <w:ind w:right="120"/>
        <w:rPr>
          <w:rFonts w:cstheme="minorHAnsi"/>
          <w:color w:val="690707"/>
          <w:lang w:val="fr-CA"/>
        </w:rPr>
      </w:pPr>
      <w:r w:rsidRPr="00C20DA6">
        <w:rPr>
          <w:rStyle w:val="EndnoteReference"/>
          <w:rFonts w:asciiTheme="minorHAnsi" w:hAnsiTheme="minorHAnsi" w:cstheme="minorHAnsi"/>
          <w:color w:val="auto"/>
          <w:sz w:val="20"/>
          <w:szCs w:val="20"/>
          <w:lang w:val="fr-CA"/>
        </w:rPr>
        <w:endnoteRef/>
      </w:r>
      <w:r w:rsidRPr="00C20DA6">
        <w:rPr>
          <w:rFonts w:asciiTheme="minorHAnsi" w:hAnsiTheme="minorHAnsi" w:cstheme="minorHAnsi"/>
          <w:color w:val="auto"/>
          <w:sz w:val="20"/>
          <w:szCs w:val="20"/>
          <w:lang w:val="fr-CA"/>
        </w:rPr>
        <w:t xml:space="preserve"> Gouvernement de l’Ontario, </w:t>
      </w:r>
      <w:r w:rsidRPr="00C20DA6">
        <w:rPr>
          <w:rFonts w:asciiTheme="minorHAnsi" w:hAnsiTheme="minorHAnsi" w:cstheme="minorHAnsi"/>
          <w:i/>
          <w:iCs/>
          <w:color w:val="auto"/>
          <w:sz w:val="20"/>
          <w:szCs w:val="20"/>
          <w:lang w:val="fr-CA"/>
        </w:rPr>
        <w:t xml:space="preserve">Consultation sur les projets de loi : Loi de 2024 visant à renforcer la cybersécurité et la confiance dans le secteur public (2024), </w:t>
      </w:r>
      <w:r w:rsidRPr="00C20DA6">
        <w:rPr>
          <w:rFonts w:asciiTheme="minorHAnsi" w:hAnsiTheme="minorHAnsi" w:cstheme="minorHAnsi"/>
          <w:sz w:val="20"/>
          <w:szCs w:val="20"/>
          <w:lang w:val="fr-CA"/>
        </w:rPr>
        <w:t>en ligne</w:t>
      </w:r>
      <w:r w:rsidRPr="00C20DA6">
        <w:rPr>
          <w:lang w:val="fr-CA"/>
        </w:rPr>
        <w:t> </w:t>
      </w:r>
      <w:r w:rsidRPr="00C20DA6">
        <w:rPr>
          <w:rFonts w:asciiTheme="minorHAnsi" w:hAnsiTheme="minorHAnsi" w:cstheme="minorHAnsi"/>
          <w:color w:val="auto"/>
          <w:sz w:val="20"/>
          <w:szCs w:val="20"/>
          <w:lang w:val="fr-CA"/>
        </w:rPr>
        <w:t>:</w:t>
      </w:r>
      <w:r w:rsidRPr="00C20DA6">
        <w:rPr>
          <w:rFonts w:asciiTheme="minorHAnsi" w:hAnsiTheme="minorHAnsi" w:cstheme="minorHAnsi"/>
          <w:i/>
          <w:iCs/>
          <w:color w:val="auto"/>
          <w:sz w:val="20"/>
          <w:szCs w:val="20"/>
          <w:lang w:val="fr-CA"/>
        </w:rPr>
        <w:t xml:space="preserve"> </w:t>
      </w:r>
      <w:r w:rsidRPr="00C20DA6">
        <w:rPr>
          <w:rStyle w:val="Hyperlink"/>
          <w:rFonts w:asciiTheme="minorHAnsi" w:hAnsiTheme="minorHAnsi" w:cstheme="minorHAnsi"/>
          <w:sz w:val="20"/>
          <w:szCs w:val="20"/>
          <w:lang w:val="fr-CA"/>
        </w:rPr>
        <w:t>https://www.ontariocanada.com/registry/view.do?language=fr&amp;postingId=47433</w:t>
      </w:r>
      <w:r w:rsidRPr="00C20DA6">
        <w:rPr>
          <w:rFonts w:asciiTheme="minorHAnsi" w:hAnsiTheme="minorHAnsi" w:cstheme="minorHAnsi"/>
          <w:sz w:val="20"/>
          <w:szCs w:val="20"/>
          <w:lang w:val="fr-CA"/>
        </w:rPr>
        <w:t xml:space="preserve">. </w:t>
      </w:r>
    </w:p>
  </w:endnote>
  <w:endnote w:id="50">
    <w:p w14:paraId="38BC2033" w14:textId="3A559AA6" w:rsidR="00A610A1" w:rsidRPr="00C20DA6" w:rsidRDefault="00A610A1">
      <w:pPr>
        <w:pStyle w:val="EndnoteText"/>
        <w:rPr>
          <w:lang w:val="fr-CA"/>
        </w:rPr>
      </w:pPr>
      <w:r w:rsidRPr="00C20DA6">
        <w:rPr>
          <w:rStyle w:val="EndnoteReference"/>
          <w:lang w:val="fr-CA"/>
        </w:rPr>
        <w:endnoteRef/>
      </w:r>
      <w:r w:rsidRPr="00C20DA6">
        <w:rPr>
          <w:lang w:val="fr-CA"/>
        </w:rPr>
        <w:t xml:space="preserve"> Commission du droit de l’Ontario, </w:t>
      </w:r>
      <w:r w:rsidRPr="00C20DA6">
        <w:rPr>
          <w:i/>
          <w:iCs/>
          <w:lang w:val="fr-CA"/>
        </w:rPr>
        <w:t>Projet de loi 194, mémoire de la</w:t>
      </w:r>
      <w:r w:rsidRPr="00C20DA6">
        <w:rPr>
          <w:lang w:val="fr-CA"/>
        </w:rPr>
        <w:t xml:space="preserve"> </w:t>
      </w:r>
      <w:r w:rsidRPr="00C20DA6">
        <w:rPr>
          <w:i/>
          <w:iCs/>
          <w:lang w:val="fr-CA"/>
        </w:rPr>
        <w:t>Commission du droit de l’Ontario</w:t>
      </w:r>
      <w:r w:rsidRPr="00C20DA6">
        <w:rPr>
          <w:lang w:val="fr-CA"/>
        </w:rPr>
        <w:t xml:space="preserve"> [mémoire de la CDO sur le projet de loi 194] (2024), en ligne : </w:t>
      </w:r>
      <w:hyperlink r:id="rId27" w:history="1">
        <w:r w:rsidRPr="00C20DA6">
          <w:rPr>
            <w:rStyle w:val="Hyperlink"/>
            <w:lang w:val="fr-CA"/>
          </w:rPr>
          <w:t>https://www.lco-cdo.org/en/lco-releases-bill-194-submission/</w:t>
        </w:r>
      </w:hyperlink>
      <w:r w:rsidRPr="00C20DA6">
        <w:rPr>
          <w:lang w:val="fr-CA"/>
        </w:rPr>
        <w:t>.</w:t>
      </w:r>
    </w:p>
  </w:endnote>
  <w:endnote w:id="51">
    <w:p w14:paraId="7C61728B" w14:textId="2B73AAB1" w:rsidR="00A610A1" w:rsidRPr="00C20DA6" w:rsidRDefault="00A610A1" w:rsidP="009F0A62">
      <w:pPr>
        <w:spacing w:after="0"/>
        <w:rPr>
          <w:rFonts w:eastAsia="Times New Roman" w:cstheme="minorHAnsi"/>
          <w:color w:val="1A1A1A"/>
          <w:sz w:val="20"/>
          <w:szCs w:val="20"/>
          <w:lang w:val="fr-CA"/>
        </w:rPr>
      </w:pPr>
      <w:r w:rsidRPr="00C20DA6">
        <w:rPr>
          <w:rStyle w:val="EndnoteReference"/>
          <w:sz w:val="20"/>
          <w:szCs w:val="20"/>
          <w:lang w:val="fr-CA"/>
        </w:rPr>
        <w:endnoteRef/>
      </w:r>
      <w:r w:rsidRPr="00C20DA6">
        <w:rPr>
          <w:sz w:val="20"/>
          <w:szCs w:val="20"/>
          <w:lang w:val="fr-CA"/>
        </w:rPr>
        <w:t xml:space="preserve"> Le paragraphe 5 (1) de la </w:t>
      </w:r>
      <w:r w:rsidRPr="00C20DA6">
        <w:rPr>
          <w:i/>
          <w:sz w:val="20"/>
          <w:szCs w:val="20"/>
          <w:lang w:val="fr-CA"/>
        </w:rPr>
        <w:t>Loi visant à renforcer la sécurité et la confiance en matière de numérique</w:t>
      </w:r>
      <w:r w:rsidRPr="00C20DA6">
        <w:rPr>
          <w:sz w:val="20"/>
          <w:szCs w:val="20"/>
          <w:lang w:val="fr-CA"/>
        </w:rPr>
        <w:t xml:space="preserve"> </w:t>
      </w:r>
      <w:r w:rsidRPr="00C20DA6">
        <w:rPr>
          <w:rFonts w:eastAsia="Times New Roman" w:cstheme="minorHAnsi"/>
          <w:color w:val="1A1A1A"/>
          <w:sz w:val="20"/>
          <w:szCs w:val="20"/>
          <w:lang w:val="fr-CA"/>
        </w:rPr>
        <w:t>prévoit que ses dispositions concernant les systèmes d’IA « s’applique</w:t>
      </w:r>
      <w:r>
        <w:rPr>
          <w:rFonts w:eastAsia="Times New Roman" w:cstheme="minorHAnsi"/>
          <w:color w:val="1A1A1A"/>
          <w:sz w:val="20"/>
          <w:szCs w:val="20"/>
          <w:lang w:val="fr-CA"/>
        </w:rPr>
        <w:t>nt</w:t>
      </w:r>
      <w:r w:rsidRPr="00C20DA6">
        <w:rPr>
          <w:rFonts w:eastAsia="Times New Roman" w:cstheme="minorHAnsi"/>
          <w:color w:val="1A1A1A"/>
          <w:sz w:val="20"/>
          <w:szCs w:val="20"/>
          <w:lang w:val="fr-CA"/>
        </w:rPr>
        <w:t xml:space="preserve"> aux entités du secteur public prescrites si elles utilisent ou prévoient utiliser un système d’intelligence artificielle dans des circonstances prescrites ». Cet article inclut deux limites importantes. </w:t>
      </w:r>
    </w:p>
    <w:p w14:paraId="72F6367E" w14:textId="6478522A" w:rsidR="00A610A1" w:rsidRPr="00C20DA6" w:rsidRDefault="00A610A1" w:rsidP="009F0A62">
      <w:pPr>
        <w:spacing w:after="0"/>
        <w:rPr>
          <w:rFonts w:eastAsia="Times New Roman" w:cstheme="minorHAnsi"/>
          <w:color w:val="1A1A1A"/>
          <w:sz w:val="20"/>
          <w:szCs w:val="20"/>
          <w:lang w:val="fr-CA"/>
        </w:rPr>
      </w:pPr>
      <w:r w:rsidRPr="00C20DA6">
        <w:rPr>
          <w:rFonts w:eastAsia="Times New Roman" w:cstheme="minorHAnsi"/>
          <w:color w:val="1A1A1A"/>
          <w:sz w:val="20"/>
          <w:szCs w:val="20"/>
          <w:lang w:val="fr-CA"/>
        </w:rPr>
        <w:t xml:space="preserve">D’abord, le paragraphe 1 (1) définit les « entités du secteur public » qui seront assujetties à la </w:t>
      </w:r>
      <w:r w:rsidRPr="00C20DA6">
        <w:rPr>
          <w:rFonts w:eastAsia="Times New Roman" w:cstheme="minorHAnsi"/>
          <w:i/>
          <w:color w:val="1A1A1A"/>
          <w:sz w:val="20"/>
          <w:szCs w:val="20"/>
          <w:lang w:val="fr-CA"/>
        </w:rPr>
        <w:t>Loi</w:t>
      </w:r>
      <w:r w:rsidRPr="00C20DA6">
        <w:rPr>
          <w:rFonts w:eastAsia="Times New Roman" w:cstheme="minorHAnsi"/>
          <w:color w:val="1A1A1A"/>
          <w:sz w:val="20"/>
          <w:szCs w:val="20"/>
          <w:lang w:val="fr-CA"/>
        </w:rPr>
        <w:t>, y compris :</w:t>
      </w:r>
    </w:p>
    <w:p w14:paraId="6A9561B4" w14:textId="4CB3F57A" w:rsidR="00A610A1" w:rsidRPr="00C20DA6" w:rsidRDefault="00A610A1" w:rsidP="009F0A62">
      <w:pPr>
        <w:spacing w:after="0"/>
        <w:ind w:left="720"/>
        <w:rPr>
          <w:i/>
          <w:iCs/>
          <w:sz w:val="20"/>
          <w:szCs w:val="20"/>
          <w:lang w:val="fr-CA"/>
        </w:rPr>
      </w:pPr>
      <w:r w:rsidRPr="00C20DA6">
        <w:rPr>
          <w:i/>
          <w:iCs/>
          <w:sz w:val="20"/>
          <w:szCs w:val="20"/>
          <w:lang w:val="fr-CA"/>
        </w:rPr>
        <w:t>a) une institution, autre que l’Assemblée, au sens du paragraphe 2 (1) de la Loi sur l’accès à l’information et la protection de la vie privée ;</w:t>
      </w:r>
    </w:p>
    <w:p w14:paraId="7FD21FD0" w14:textId="25DEF430" w:rsidR="00A610A1" w:rsidRPr="00C20DA6" w:rsidRDefault="00A610A1" w:rsidP="009F0A62">
      <w:pPr>
        <w:spacing w:after="0"/>
        <w:ind w:left="720"/>
        <w:rPr>
          <w:rFonts w:cstheme="minorHAnsi"/>
          <w:sz w:val="20"/>
          <w:szCs w:val="20"/>
          <w:lang w:val="fr-CA"/>
        </w:rPr>
      </w:pPr>
      <w:r w:rsidRPr="00C20DA6">
        <w:rPr>
          <w:rFonts w:cstheme="minorHAnsi"/>
          <w:i/>
          <w:iCs/>
          <w:sz w:val="20"/>
          <w:szCs w:val="20"/>
          <w:lang w:val="fr-CA"/>
        </w:rPr>
        <w:t>b) une institution au sens du paragraphe 2</w:t>
      </w:r>
      <w:r>
        <w:rPr>
          <w:rFonts w:cstheme="minorHAnsi"/>
          <w:i/>
          <w:iCs/>
          <w:sz w:val="20"/>
          <w:szCs w:val="20"/>
          <w:lang w:val="fr-CA"/>
        </w:rPr>
        <w:t> </w:t>
      </w:r>
      <w:r w:rsidRPr="00C20DA6">
        <w:rPr>
          <w:rFonts w:cstheme="minorHAnsi"/>
          <w:i/>
          <w:iCs/>
          <w:sz w:val="20"/>
          <w:szCs w:val="20"/>
          <w:lang w:val="fr-CA"/>
        </w:rPr>
        <w:t>(1) de la Loi sur l’accès à l’information municipale et la protection de la vie privée ;</w:t>
      </w:r>
      <w:r w:rsidRPr="00C20DA6">
        <w:rPr>
          <w:rFonts w:cstheme="minorHAnsi"/>
          <w:sz w:val="20"/>
          <w:szCs w:val="20"/>
          <w:lang w:val="fr-CA"/>
        </w:rPr>
        <w:t xml:space="preserve"> </w:t>
      </w:r>
    </w:p>
    <w:p w14:paraId="3B1B5E35" w14:textId="72A3A432" w:rsidR="00A610A1" w:rsidRPr="00C20DA6" w:rsidRDefault="00A610A1" w:rsidP="009F0A62">
      <w:pPr>
        <w:spacing w:after="0"/>
        <w:ind w:left="720"/>
        <w:rPr>
          <w:rFonts w:cstheme="minorHAnsi"/>
          <w:i/>
          <w:iCs/>
          <w:sz w:val="20"/>
          <w:szCs w:val="20"/>
          <w:lang w:val="fr-CA"/>
        </w:rPr>
      </w:pPr>
      <w:r w:rsidRPr="00C20DA6">
        <w:rPr>
          <w:rFonts w:cstheme="minorHAnsi"/>
          <w:i/>
          <w:iCs/>
          <w:sz w:val="20"/>
          <w:szCs w:val="20"/>
          <w:lang w:val="fr-CA"/>
        </w:rPr>
        <w:t>c) une société d’aide à l’enfance ;</w:t>
      </w:r>
    </w:p>
    <w:p w14:paraId="23F9E375" w14:textId="215103F1" w:rsidR="00A610A1" w:rsidRPr="00C20DA6" w:rsidRDefault="00A610A1" w:rsidP="009F0A62">
      <w:pPr>
        <w:spacing w:after="0"/>
        <w:ind w:left="720"/>
        <w:rPr>
          <w:rFonts w:cstheme="minorHAnsi"/>
          <w:sz w:val="20"/>
          <w:szCs w:val="20"/>
          <w:lang w:val="fr-CA"/>
        </w:rPr>
      </w:pPr>
      <w:r w:rsidRPr="00C20DA6">
        <w:rPr>
          <w:rFonts w:cstheme="minorHAnsi"/>
          <w:i/>
          <w:iCs/>
          <w:sz w:val="20"/>
          <w:szCs w:val="20"/>
          <w:lang w:val="fr-CA"/>
        </w:rPr>
        <w:t>d) un conseil scolaire. (« </w:t>
      </w:r>
      <w:r w:rsidRPr="00F20F40">
        <w:rPr>
          <w:rFonts w:cstheme="minorHAnsi"/>
          <w:i/>
          <w:iCs/>
          <w:sz w:val="20"/>
          <w:szCs w:val="20"/>
        </w:rPr>
        <w:t>public sector entity</w:t>
      </w:r>
      <w:r w:rsidRPr="00C20DA6">
        <w:rPr>
          <w:rFonts w:cstheme="minorHAnsi"/>
          <w:i/>
          <w:iCs/>
          <w:sz w:val="20"/>
          <w:szCs w:val="20"/>
          <w:lang w:val="fr-CA"/>
        </w:rPr>
        <w:t> »).</w:t>
      </w:r>
    </w:p>
    <w:p w14:paraId="2190C20E" w14:textId="4F2CEC44" w:rsidR="00A610A1" w:rsidRPr="00C20DA6" w:rsidRDefault="00A610A1" w:rsidP="009F0A62">
      <w:pPr>
        <w:spacing w:after="0"/>
        <w:rPr>
          <w:rStyle w:val="Emphasis"/>
          <w:rFonts w:cstheme="minorHAnsi"/>
          <w:i w:val="0"/>
          <w:iCs w:val="0"/>
          <w:sz w:val="20"/>
          <w:szCs w:val="20"/>
          <w:lang w:val="fr-CA"/>
        </w:rPr>
      </w:pPr>
      <w:r w:rsidRPr="00C20DA6">
        <w:rPr>
          <w:rFonts w:eastAsia="Times New Roman" w:cstheme="minorHAnsi"/>
          <w:color w:val="1A1A1A"/>
          <w:sz w:val="20"/>
          <w:szCs w:val="20"/>
          <w:lang w:val="fr-CA"/>
        </w:rPr>
        <w:t>[Italique ajouté.] à noter que ni le paragraphe 2</w:t>
      </w:r>
      <w:r>
        <w:rPr>
          <w:rFonts w:eastAsia="Times New Roman" w:cstheme="minorHAnsi"/>
          <w:color w:val="1A1A1A"/>
          <w:sz w:val="20"/>
          <w:szCs w:val="20"/>
          <w:lang w:val="fr-CA"/>
        </w:rPr>
        <w:t> </w:t>
      </w:r>
      <w:r w:rsidRPr="00C20DA6">
        <w:rPr>
          <w:rFonts w:eastAsia="Times New Roman" w:cstheme="minorHAnsi"/>
          <w:color w:val="1A1A1A"/>
          <w:sz w:val="20"/>
          <w:szCs w:val="20"/>
          <w:lang w:val="fr-CA"/>
        </w:rPr>
        <w:t xml:space="preserve">(1) de la </w:t>
      </w:r>
      <w:r w:rsidRPr="00C20DA6">
        <w:rPr>
          <w:rFonts w:eastAsia="Times New Roman" w:cstheme="minorHAnsi"/>
          <w:i/>
          <w:color w:val="1A1A1A"/>
          <w:sz w:val="20"/>
          <w:szCs w:val="20"/>
          <w:lang w:val="fr-CA"/>
        </w:rPr>
        <w:t>Loi sur l’accès à l’information et la protection de la vie privée</w:t>
      </w:r>
      <w:r w:rsidRPr="00C20DA6">
        <w:rPr>
          <w:rFonts w:eastAsia="Times New Roman" w:cstheme="minorHAnsi"/>
          <w:color w:val="1A1A1A"/>
          <w:sz w:val="20"/>
          <w:szCs w:val="20"/>
          <w:lang w:val="fr-CA"/>
        </w:rPr>
        <w:t xml:space="preserve"> ni le paragraphe 2 (1) de la </w:t>
      </w:r>
      <w:r w:rsidRPr="00C20DA6">
        <w:rPr>
          <w:rFonts w:eastAsia="Times New Roman" w:cstheme="minorHAnsi"/>
          <w:i/>
          <w:color w:val="1A1A1A"/>
          <w:sz w:val="20"/>
          <w:szCs w:val="20"/>
          <w:lang w:val="fr-CA"/>
        </w:rPr>
        <w:t>Loi sur l’accès à l’information municipale et la protection de la vie privée</w:t>
      </w:r>
      <w:r w:rsidRPr="00C20DA6">
        <w:rPr>
          <w:rStyle w:val="Emphasis"/>
          <w:rFonts w:cstheme="minorHAnsi"/>
          <w:sz w:val="20"/>
          <w:szCs w:val="20"/>
          <w:lang w:val="fr-CA"/>
        </w:rPr>
        <w:t xml:space="preserve"> </w:t>
      </w:r>
      <w:r w:rsidRPr="00C20DA6">
        <w:rPr>
          <w:rStyle w:val="Emphasis"/>
          <w:rFonts w:cstheme="minorHAnsi"/>
          <w:i w:val="0"/>
          <w:iCs w:val="0"/>
          <w:sz w:val="20"/>
          <w:szCs w:val="20"/>
          <w:lang w:val="fr-CA"/>
        </w:rPr>
        <w:t>n’inclut les services policiers, les cours ou les tribunaux administratifs. En conséquence, ces institutions ne sont pas soumises à la gouvernance ni aux exigences de la</w:t>
      </w:r>
      <w:r w:rsidRPr="00BB78A3">
        <w:rPr>
          <w:lang w:val="fr-CA"/>
        </w:rPr>
        <w:t xml:space="preserve"> </w:t>
      </w:r>
      <w:r w:rsidRPr="00BB78A3">
        <w:rPr>
          <w:rStyle w:val="Emphasis"/>
          <w:rFonts w:cstheme="minorHAnsi"/>
          <w:iCs w:val="0"/>
          <w:sz w:val="20"/>
          <w:szCs w:val="20"/>
          <w:lang w:val="fr-CA"/>
        </w:rPr>
        <w:t>LRSCN</w:t>
      </w:r>
      <w:r w:rsidRPr="00C20DA6">
        <w:rPr>
          <w:rStyle w:val="Emphasis"/>
          <w:rFonts w:cstheme="minorHAnsi"/>
          <w:i w:val="0"/>
          <w:iCs w:val="0"/>
          <w:sz w:val="20"/>
          <w:szCs w:val="20"/>
          <w:lang w:val="fr-CA"/>
        </w:rPr>
        <w:t xml:space="preserve">. </w:t>
      </w:r>
    </w:p>
    <w:p w14:paraId="4497CEEE" w14:textId="3A9524C8" w:rsidR="00A610A1" w:rsidRPr="00C20DA6" w:rsidRDefault="00A610A1" w:rsidP="009F0A62">
      <w:pPr>
        <w:spacing w:after="0"/>
        <w:rPr>
          <w:rFonts w:eastAsia="Times New Roman" w:cstheme="minorHAnsi"/>
          <w:i/>
          <w:iCs/>
          <w:color w:val="1A1A1A"/>
          <w:sz w:val="20"/>
          <w:szCs w:val="20"/>
          <w:lang w:val="fr-CA"/>
        </w:rPr>
      </w:pPr>
      <w:r w:rsidRPr="00C20DA6">
        <w:rPr>
          <w:rFonts w:eastAsia="Times New Roman" w:cstheme="minorHAnsi"/>
          <w:color w:val="1A1A1A"/>
          <w:sz w:val="20"/>
          <w:szCs w:val="20"/>
          <w:lang w:val="fr-CA"/>
        </w:rPr>
        <w:t xml:space="preserve">Ensuite, le par. 5 (1) permet à la province de prescrire les « utilisations » ou les « circonstances » de l’IA qui sont assujetties à la législation. Ni le terme « utilisation » ni le terme « circonstances » ne sont définis dans la </w:t>
      </w:r>
      <w:r w:rsidRPr="00BB78A3">
        <w:rPr>
          <w:rFonts w:eastAsia="Times New Roman" w:cstheme="minorHAnsi"/>
          <w:i/>
          <w:color w:val="1A1A1A"/>
          <w:sz w:val="20"/>
          <w:szCs w:val="20"/>
          <w:lang w:val="fr-CA"/>
        </w:rPr>
        <w:t>LRSCN</w:t>
      </w:r>
      <w:r w:rsidRPr="00C20DA6">
        <w:rPr>
          <w:rFonts w:eastAsia="Times New Roman" w:cstheme="minorHAnsi"/>
          <w:color w:val="1A1A1A"/>
          <w:sz w:val="20"/>
          <w:szCs w:val="20"/>
          <w:lang w:val="fr-CA"/>
        </w:rPr>
        <w:t xml:space="preserve">. </w:t>
      </w:r>
    </w:p>
  </w:endnote>
  <w:endnote w:id="52">
    <w:p w14:paraId="0EEA489F" w14:textId="4C22A0D3"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Gouvernement de l’Ontario, ministère des Services au public et aux entreprises et de l’Approvisionnement, </w:t>
      </w:r>
      <w:r w:rsidRPr="00C20DA6">
        <w:rPr>
          <w:i/>
          <w:iCs/>
          <w:lang w:val="fr-CA"/>
        </w:rPr>
        <w:t>Directive sur l’utilisation responsable de l’intelligence artificielle</w:t>
      </w:r>
      <w:r w:rsidRPr="00C20DA6">
        <w:rPr>
          <w:lang w:val="fr-CA"/>
        </w:rPr>
        <w:t>, 1</w:t>
      </w:r>
      <w:r w:rsidRPr="00C20DA6">
        <w:rPr>
          <w:vertAlign w:val="superscript"/>
          <w:lang w:val="fr-CA"/>
        </w:rPr>
        <w:t>er</w:t>
      </w:r>
      <w:r>
        <w:rPr>
          <w:lang w:val="fr-CA"/>
        </w:rPr>
        <w:t> </w:t>
      </w:r>
      <w:r w:rsidRPr="00C20DA6">
        <w:rPr>
          <w:lang w:val="fr-CA"/>
        </w:rPr>
        <w:t xml:space="preserve">décembre 2024 [Directive de l’Ontario sur l’IA]. </w:t>
      </w:r>
    </w:p>
  </w:endnote>
  <w:endnote w:id="53">
    <w:p w14:paraId="0D5E49BE" w14:textId="46115DC1" w:rsidR="00A610A1" w:rsidRPr="00C20DA6" w:rsidRDefault="00A610A1" w:rsidP="00881D50">
      <w:pPr>
        <w:pStyle w:val="EndnoteText"/>
        <w:rPr>
          <w:lang w:val="fr-CA"/>
        </w:rPr>
      </w:pPr>
      <w:r w:rsidRPr="00C20DA6">
        <w:rPr>
          <w:rStyle w:val="EndnoteReference"/>
          <w:lang w:val="fr-CA"/>
        </w:rPr>
        <w:endnoteRef/>
      </w:r>
      <w:r w:rsidRPr="00C20DA6">
        <w:rPr>
          <w:lang w:val="fr-CA"/>
        </w:rPr>
        <w:t xml:space="preserve"> La Directive de l’Ontario sur l’IA est abordée en détail dans Introduction au projet de la CDO sur l’IA dans le système de justice pénale. </w:t>
      </w:r>
    </w:p>
  </w:endnote>
  <w:endnote w:id="54">
    <w:p w14:paraId="18D4CC32" w14:textId="0ADF0A34" w:rsidR="00A610A1" w:rsidRPr="00C20DA6" w:rsidRDefault="00A610A1" w:rsidP="00CB1F2E">
      <w:pPr>
        <w:pStyle w:val="EndnoteText"/>
        <w:rPr>
          <w:lang w:val="fr-CA"/>
        </w:rPr>
      </w:pPr>
      <w:r w:rsidRPr="00C20DA6">
        <w:rPr>
          <w:rStyle w:val="EndnoteReference"/>
          <w:lang w:val="fr-CA"/>
        </w:rPr>
        <w:endnoteRef/>
      </w:r>
      <w:r w:rsidRPr="00C20DA6">
        <w:rPr>
          <w:lang w:val="fr-CA"/>
        </w:rPr>
        <w:t xml:space="preserve"> </w:t>
      </w:r>
      <w:r w:rsidRPr="00C20DA6">
        <w:rPr>
          <w:rFonts w:cstheme="minorHAnsi"/>
          <w:lang w:val="fr-CA"/>
        </w:rPr>
        <w:t xml:space="preserve">Commission de services policiers de Toronto, </w:t>
      </w:r>
      <w:r w:rsidRPr="00F20F40">
        <w:rPr>
          <w:rFonts w:cstheme="minorHAnsi"/>
          <w:i/>
          <w:iCs/>
        </w:rPr>
        <w:t>Use of Artificial Intelligence Technology</w:t>
      </w:r>
      <w:r w:rsidRPr="00C20DA6">
        <w:rPr>
          <w:rFonts w:cstheme="minorHAnsi"/>
          <w:lang w:val="fr-CA"/>
        </w:rPr>
        <w:t xml:space="preserve"> [Politique de la CSPT sur l’IA] (28 février 2022 ; mis à jour le 11 janvier 2024), </w:t>
      </w:r>
      <w:r w:rsidRPr="00C20DA6">
        <w:rPr>
          <w:lang w:val="fr-CA"/>
        </w:rPr>
        <w:t>en ligne </w:t>
      </w:r>
      <w:r w:rsidRPr="00C20DA6">
        <w:rPr>
          <w:rFonts w:cstheme="minorHAnsi"/>
          <w:lang w:val="fr-CA"/>
        </w:rPr>
        <w:t xml:space="preserve">: </w:t>
      </w:r>
      <w:hyperlink r:id="rId28" w:history="1">
        <w:r w:rsidRPr="00C20DA6">
          <w:rPr>
            <w:rStyle w:val="Hyperlink"/>
            <w:rFonts w:cstheme="minorHAnsi"/>
            <w:lang w:val="fr-CA"/>
          </w:rPr>
          <w:t>https://tpsb.ca/policies-by-laws/board-policies/195-use-of-artificial-intelligence-technology</w:t>
        </w:r>
      </w:hyperlink>
      <w:r w:rsidRPr="00C20DA6">
        <w:rPr>
          <w:rFonts w:cstheme="minorHAnsi"/>
          <w:lang w:val="fr-CA"/>
        </w:rPr>
        <w:t>.</w:t>
      </w:r>
    </w:p>
  </w:endnote>
  <w:endnote w:id="55">
    <w:p w14:paraId="36AA6505" w14:textId="761D74F8"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w:t>
      </w:r>
      <w:r w:rsidRPr="00C20DA6">
        <w:rPr>
          <w:rFonts w:cstheme="minorHAnsi"/>
          <w:lang w:val="fr-CA"/>
        </w:rPr>
        <w:t>Politique de la CSPT sur l’IA</w:t>
      </w:r>
      <w:r w:rsidRPr="00C20DA6">
        <w:rPr>
          <w:lang w:val="fr-CA"/>
        </w:rPr>
        <w:t>, « </w:t>
      </w:r>
      <w:r w:rsidRPr="00F20F40">
        <w:t>Guiding Principles</w:t>
      </w:r>
      <w:r w:rsidRPr="00C20DA6">
        <w:rPr>
          <w:lang w:val="fr-CA"/>
        </w:rPr>
        <w:t> ».</w:t>
      </w:r>
    </w:p>
  </w:endnote>
  <w:endnote w:id="56">
    <w:p w14:paraId="41F235E7" w14:textId="07090964" w:rsidR="00A610A1" w:rsidRPr="00A610A1" w:rsidRDefault="00A610A1" w:rsidP="009F0A62">
      <w:pPr>
        <w:pStyle w:val="EndnoteText"/>
        <w:rPr>
          <w:lang w:val="en-US"/>
        </w:rPr>
      </w:pPr>
      <w:r w:rsidRPr="00C20DA6">
        <w:rPr>
          <w:rStyle w:val="EndnoteReference"/>
          <w:lang w:val="fr-CA"/>
        </w:rPr>
        <w:endnoteRef/>
      </w:r>
      <w:r w:rsidRPr="00A610A1">
        <w:rPr>
          <w:lang w:val="en-US"/>
        </w:rPr>
        <w:t xml:space="preserve"> Idem.</w:t>
      </w:r>
    </w:p>
  </w:endnote>
  <w:endnote w:id="57">
    <w:p w14:paraId="5B5E9FE9" w14:textId="7135316D" w:rsidR="00A610A1" w:rsidRPr="00A610A1" w:rsidRDefault="00A610A1" w:rsidP="000607D4">
      <w:pPr>
        <w:pStyle w:val="EndnoteText"/>
        <w:rPr>
          <w:lang w:val="en-US"/>
        </w:rPr>
      </w:pPr>
      <w:r w:rsidRPr="00C20DA6">
        <w:rPr>
          <w:rStyle w:val="EndnoteReference"/>
          <w:lang w:val="fr-CA"/>
        </w:rPr>
        <w:endnoteRef/>
      </w:r>
      <w:r w:rsidRPr="00A610A1">
        <w:rPr>
          <w:lang w:val="en-US"/>
        </w:rPr>
        <w:t xml:space="preserve"> </w:t>
      </w:r>
      <w:r w:rsidRPr="00F20F40">
        <w:rPr>
          <w:rFonts w:cstheme="minorHAnsi"/>
          <w:lang w:val="fr-CA"/>
        </w:rPr>
        <w:t>Politique de la CSPT sur l’IA</w:t>
      </w:r>
      <w:r w:rsidRPr="00A610A1">
        <w:rPr>
          <w:lang w:val="en-US"/>
        </w:rPr>
        <w:t>, « Policy of the Board ».</w:t>
      </w:r>
    </w:p>
  </w:endnote>
  <w:endnote w:id="58">
    <w:p w14:paraId="27569F11" w14:textId="069AC037" w:rsidR="00A610A1" w:rsidRPr="00A610A1" w:rsidRDefault="00A610A1" w:rsidP="009F0A62">
      <w:pPr>
        <w:pStyle w:val="EndnoteText"/>
        <w:rPr>
          <w:rFonts w:cstheme="minorHAnsi"/>
          <w:lang w:val="en-US"/>
        </w:rPr>
      </w:pPr>
      <w:r w:rsidRPr="00C20DA6">
        <w:rPr>
          <w:rStyle w:val="EndnoteReference"/>
          <w:rFonts w:cstheme="minorHAnsi"/>
          <w:lang w:val="fr-CA"/>
        </w:rPr>
        <w:endnoteRef/>
      </w:r>
      <w:r w:rsidRPr="00A610A1">
        <w:rPr>
          <w:rFonts w:cstheme="minorHAnsi"/>
          <w:lang w:val="en-US"/>
        </w:rPr>
        <w:t xml:space="preserve"> </w:t>
      </w:r>
      <w:r w:rsidRPr="00F20F40">
        <w:rPr>
          <w:rFonts w:cstheme="minorHAnsi"/>
          <w:lang w:val="fr-CA"/>
        </w:rPr>
        <w:t>Services policiers</w:t>
      </w:r>
      <w:r w:rsidRPr="00A610A1">
        <w:rPr>
          <w:rFonts w:cstheme="minorHAnsi"/>
          <w:lang w:val="en-US"/>
        </w:rPr>
        <w:t xml:space="preserve"> de Toronto, </w:t>
      </w:r>
      <w:r w:rsidRPr="00A610A1">
        <w:rPr>
          <w:rFonts w:cstheme="minorHAnsi"/>
          <w:i/>
          <w:iCs/>
          <w:lang w:val="en-US"/>
        </w:rPr>
        <w:t>Update on the Implementation of the Board’s Policy on the Use of AI Technology</w:t>
      </w:r>
      <w:r w:rsidRPr="00A610A1">
        <w:rPr>
          <w:rFonts w:cstheme="minorHAnsi"/>
          <w:lang w:val="en-US"/>
        </w:rPr>
        <w:t xml:space="preserve"> (11 </w:t>
      </w:r>
      <w:r w:rsidRPr="00F20F40">
        <w:rPr>
          <w:rFonts w:cstheme="minorHAnsi"/>
          <w:lang w:val="fr-CA"/>
        </w:rPr>
        <w:t xml:space="preserve">janvier 2024), </w:t>
      </w:r>
      <w:r w:rsidRPr="00F20F40">
        <w:rPr>
          <w:lang w:val="fr-CA"/>
        </w:rPr>
        <w:t>en ligne</w:t>
      </w:r>
      <w:r w:rsidRPr="00A610A1">
        <w:rPr>
          <w:lang w:val="en-US"/>
        </w:rPr>
        <w:t> </w:t>
      </w:r>
      <w:r w:rsidRPr="00A610A1">
        <w:rPr>
          <w:rFonts w:cstheme="minorHAnsi"/>
          <w:lang w:val="en-US"/>
        </w:rPr>
        <w:t xml:space="preserve">: </w:t>
      </w:r>
      <w:hyperlink r:id="rId29" w:history="1">
        <w:r w:rsidRPr="00A610A1">
          <w:rPr>
            <w:rStyle w:val="Hyperlink"/>
            <w:rFonts w:cstheme="minorHAnsi"/>
            <w:lang w:val="en-US"/>
          </w:rPr>
          <w:t>https://tpsb.ca/jdownloads-categories?task=download.send&amp;id=813:january-11-2024-public-agenda&amp;catid=32</w:t>
        </w:r>
      </w:hyperlink>
      <w:r w:rsidRPr="00A610A1">
        <w:rPr>
          <w:lang w:val="en-US"/>
        </w:rPr>
        <w:t>.</w:t>
      </w:r>
    </w:p>
  </w:endnote>
  <w:endnote w:id="59">
    <w:p w14:paraId="412128B7" w14:textId="33CE5063"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Conseil des services de la police régionale de Durham, </w:t>
      </w:r>
      <w:r w:rsidRPr="00C20DA6">
        <w:rPr>
          <w:i/>
          <w:iCs/>
          <w:lang w:val="fr-CA"/>
        </w:rPr>
        <w:t xml:space="preserve">Use of </w:t>
      </w:r>
      <w:r w:rsidRPr="00F20F40">
        <w:rPr>
          <w:i/>
          <w:iCs/>
        </w:rPr>
        <w:t>Artificial</w:t>
      </w:r>
      <w:r w:rsidRPr="00C20DA6">
        <w:rPr>
          <w:i/>
          <w:iCs/>
          <w:lang w:val="fr-CA"/>
        </w:rPr>
        <w:t xml:space="preserve"> Intelligence Policy, </w:t>
      </w:r>
      <w:r w:rsidRPr="00C20DA6">
        <w:rPr>
          <w:lang w:val="fr-CA"/>
        </w:rPr>
        <w:t xml:space="preserve">octobre 2024, en ligne au </w:t>
      </w:r>
      <w:hyperlink r:id="rId30" w:history="1">
        <w:r w:rsidRPr="00C20DA6">
          <w:rPr>
            <w:rStyle w:val="Hyperlink"/>
            <w:lang w:val="fr-CA"/>
          </w:rPr>
          <w:t>https://durhampoliceboard.ca/policies-and-bylaws/</w:t>
        </w:r>
      </w:hyperlink>
      <w:r w:rsidRPr="00C20DA6">
        <w:rPr>
          <w:lang w:val="fr-CA"/>
        </w:rPr>
        <w:t xml:space="preserve">. </w:t>
      </w:r>
    </w:p>
  </w:endnote>
  <w:endnote w:id="60">
    <w:p w14:paraId="3023D0A5" w14:textId="66568F9B"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w:t>
      </w:r>
      <w:r w:rsidRPr="00C20DA6">
        <w:rPr>
          <w:rFonts w:cstheme="minorHAnsi"/>
          <w:lang w:val="fr-CA"/>
        </w:rPr>
        <w:t>La Commission ontarienne des droits de la personne et la Commissaire à l’information et à la protection de la vie privée de l’Ontario ont récemment critiqué la CSPT pour avoir classé leur utilisation de certaines technologies d’IA – y compris les lecteurs automatiques de plaques d’immatriculation et l’identification par empreintes digitales – comme des « technologies à faible risque » soumises à moins d’exigences en matière d’évaluation et de surveillance. Commissaire à l’information et à la protection de la vie privée de l’Ontario, « </w:t>
      </w:r>
      <w:r w:rsidRPr="00F20F40">
        <w:rPr>
          <w:rFonts w:cstheme="minorHAnsi"/>
        </w:rPr>
        <w:t>Letter to the Toronto Police Services re AI Policy and Risk</w:t>
      </w:r>
      <w:r w:rsidRPr="00C20DA6">
        <w:rPr>
          <w:rFonts w:cstheme="minorHAnsi"/>
          <w:lang w:val="fr-CA"/>
        </w:rPr>
        <w:t xml:space="preserve"> Classification Report » (10 janvier 2024), </w:t>
      </w:r>
      <w:r w:rsidRPr="00C20DA6">
        <w:rPr>
          <w:lang w:val="fr-CA"/>
        </w:rPr>
        <w:t>en ligne </w:t>
      </w:r>
      <w:r w:rsidRPr="00C20DA6">
        <w:rPr>
          <w:rFonts w:cstheme="minorHAnsi"/>
          <w:lang w:val="fr-CA"/>
        </w:rPr>
        <w:t xml:space="preserve">: </w:t>
      </w:r>
      <w:hyperlink r:id="rId31" w:history="1">
        <w:r w:rsidRPr="00C20DA6">
          <w:rPr>
            <w:rStyle w:val="Hyperlink"/>
            <w:rFonts w:cstheme="minorHAnsi"/>
            <w:lang w:val="fr-CA"/>
          </w:rPr>
          <w:t>https://www.ipc.on.ca/resource/letter-to-the-toronto-police-services-board-about-facial-recognition-mugshot-database-program/</w:t>
        </w:r>
      </w:hyperlink>
      <w:r w:rsidRPr="00C20DA6">
        <w:rPr>
          <w:rStyle w:val="Hyperlink"/>
          <w:rFonts w:cstheme="minorHAnsi"/>
          <w:lang w:val="fr-CA"/>
        </w:rPr>
        <w:t> </w:t>
      </w:r>
      <w:r w:rsidRPr="00C20DA6">
        <w:rPr>
          <w:rFonts w:cstheme="minorHAnsi"/>
          <w:lang w:val="fr-CA"/>
        </w:rPr>
        <w:t xml:space="preserve">; et Commission ontarienne des droits de la personne, « Approbation des technologies à haut risque dans le cadre de la politique de la Commission des services policiers de Toronto sur l’utilisation des technologies d’intelligence artificielle » (10 janvier 2024) </w:t>
      </w:r>
      <w:r w:rsidRPr="00C20DA6">
        <w:rPr>
          <w:lang w:val="fr-CA"/>
        </w:rPr>
        <w:t>en ligne </w:t>
      </w:r>
      <w:r w:rsidRPr="00C20DA6">
        <w:rPr>
          <w:rFonts w:cstheme="minorHAnsi"/>
          <w:lang w:val="fr-CA"/>
        </w:rPr>
        <w:t xml:space="preserve">: </w:t>
      </w:r>
      <w:r w:rsidRPr="00C20DA6">
        <w:rPr>
          <w:rStyle w:val="Hyperlink"/>
          <w:rFonts w:cstheme="minorHAnsi"/>
          <w:lang w:val="fr-CA"/>
        </w:rPr>
        <w:t>https://www.ohrc.on.ca/fr/centre-des-nouvelles/approbation-des-technologies-haut-risque-dans-le-cadre-de-la-politique-de-la</w:t>
      </w:r>
      <w:r w:rsidRPr="00C20DA6">
        <w:rPr>
          <w:rFonts w:cstheme="minorHAnsi"/>
          <w:lang w:val="fr-CA"/>
        </w:rPr>
        <w:t xml:space="preserve">. </w:t>
      </w:r>
    </w:p>
  </w:endnote>
  <w:endnote w:id="61">
    <w:p w14:paraId="130133C7" w14:textId="52F82FF7" w:rsidR="00A610A1" w:rsidRPr="00C20DA6" w:rsidRDefault="00A610A1" w:rsidP="004548AC">
      <w:pPr>
        <w:rPr>
          <w:rFonts w:cs="Times New Roman"/>
          <w:sz w:val="20"/>
          <w:szCs w:val="20"/>
          <w:lang w:val="fr-CA"/>
        </w:rPr>
      </w:pPr>
      <w:r w:rsidRPr="00C20DA6">
        <w:rPr>
          <w:rStyle w:val="EndnoteReference"/>
          <w:sz w:val="20"/>
          <w:szCs w:val="20"/>
          <w:lang w:val="fr-CA"/>
        </w:rPr>
        <w:endnoteRef/>
      </w:r>
      <w:r w:rsidRPr="00C20DA6">
        <w:rPr>
          <w:sz w:val="20"/>
          <w:szCs w:val="20"/>
          <w:lang w:val="fr-CA"/>
        </w:rPr>
        <w:t xml:space="preserve"> Ces rapports comprennent : Commissariat à la protection de la vie privée du Canada, </w:t>
      </w:r>
      <w:r w:rsidRPr="00C20DA6">
        <w:rPr>
          <w:i/>
          <w:iCs/>
          <w:sz w:val="20"/>
          <w:szCs w:val="20"/>
          <w:lang w:val="fr-CA"/>
        </w:rPr>
        <w:t>Technologie de reconnaissance faciale : utilisation par les services de police au Canada et approche proposée</w:t>
      </w:r>
      <w:r w:rsidRPr="00C20DA6">
        <w:rPr>
          <w:sz w:val="20"/>
          <w:szCs w:val="20"/>
          <w:lang w:val="fr-CA"/>
        </w:rPr>
        <w:t xml:space="preserve"> (10 juin 2021), </w:t>
      </w:r>
      <w:r w:rsidRPr="00C20DA6">
        <w:rPr>
          <w:sz w:val="20"/>
          <w:lang w:val="fr-CA"/>
        </w:rPr>
        <w:t>en ligne </w:t>
      </w:r>
      <w:r w:rsidRPr="00C20DA6">
        <w:rPr>
          <w:sz w:val="20"/>
          <w:szCs w:val="20"/>
          <w:lang w:val="fr-CA"/>
        </w:rPr>
        <w:t>:</w:t>
      </w:r>
      <w:r w:rsidRPr="00C20DA6">
        <w:rPr>
          <w:lang w:val="fr-CA"/>
        </w:rPr>
        <w:t xml:space="preserve"> </w:t>
      </w:r>
      <w:hyperlink r:id="rId32" w:history="1">
        <w:r w:rsidRPr="00C20DA6">
          <w:rPr>
            <w:rStyle w:val="Hyperlink"/>
            <w:sz w:val="20"/>
            <w:szCs w:val="20"/>
            <w:lang w:val="fr-CA"/>
          </w:rPr>
          <w:t>https://www.priv.gc.ca/fr/mesures-et-decisions-prises-par-le-commissariat/ar_index/202021/sr_grc/</w:t>
        </w:r>
      </w:hyperlink>
      <w:r w:rsidRPr="00C20DA6">
        <w:rPr>
          <w:sz w:val="20"/>
          <w:szCs w:val="20"/>
          <w:lang w:val="fr-CA"/>
        </w:rPr>
        <w:t> ;</w:t>
      </w:r>
      <w:r w:rsidRPr="00C20DA6">
        <w:rPr>
          <w:lang w:val="fr-CA"/>
        </w:rPr>
        <w:t xml:space="preserve"> </w:t>
      </w:r>
      <w:r w:rsidRPr="00C20DA6">
        <w:rPr>
          <w:sz w:val="20"/>
          <w:szCs w:val="20"/>
          <w:lang w:val="fr-CA"/>
        </w:rPr>
        <w:t xml:space="preserve">Enquête conjointe sur Clearview AI, Inc. par le Commissariat à la protection de la vie privée du Canada, déclaration conjointe, </w:t>
      </w:r>
      <w:r w:rsidRPr="00C20DA6">
        <w:rPr>
          <w:i/>
          <w:iCs/>
          <w:sz w:val="20"/>
          <w:szCs w:val="20"/>
          <w:lang w:val="fr-CA"/>
        </w:rPr>
        <w:t xml:space="preserve">Document d’orientation sur la protection de la vie privée à l’intention des services de police relativement au recours à la reconnaissance faciale </w:t>
      </w:r>
      <w:r w:rsidRPr="00C20DA6">
        <w:rPr>
          <w:sz w:val="20"/>
          <w:szCs w:val="20"/>
          <w:lang w:val="fr-CA"/>
        </w:rPr>
        <w:t xml:space="preserve">(mai 2022), </w:t>
      </w:r>
      <w:r w:rsidRPr="00C20DA6">
        <w:rPr>
          <w:sz w:val="20"/>
          <w:lang w:val="fr-CA"/>
        </w:rPr>
        <w:t>en ligne </w:t>
      </w:r>
      <w:r w:rsidRPr="00C20DA6">
        <w:rPr>
          <w:sz w:val="20"/>
          <w:szCs w:val="20"/>
          <w:lang w:val="fr-CA"/>
        </w:rPr>
        <w:t xml:space="preserve">: </w:t>
      </w:r>
      <w:r w:rsidRPr="00C20DA6">
        <w:rPr>
          <w:rStyle w:val="Hyperlink"/>
          <w:sz w:val="20"/>
          <w:szCs w:val="20"/>
          <w:lang w:val="fr-CA"/>
        </w:rPr>
        <w:t>https://www.priv.gc.ca/fr/sujets-lies-a-la-protection-de-la-vie-privee/surveillance/police-et-securite-publique/gd_rf_202205/ </w:t>
      </w:r>
      <w:r w:rsidRPr="00C20DA6">
        <w:rPr>
          <w:sz w:val="20"/>
          <w:szCs w:val="20"/>
          <w:lang w:val="fr-CA"/>
        </w:rPr>
        <w:t xml:space="preserve">; OPC Police FRT Guidance (2022) ; IPC </w:t>
      </w:r>
      <w:r w:rsidRPr="00F20F40">
        <w:rPr>
          <w:sz w:val="20"/>
          <w:szCs w:val="20"/>
        </w:rPr>
        <w:t>Mugshot</w:t>
      </w:r>
      <w:r w:rsidRPr="00C20DA6">
        <w:rPr>
          <w:sz w:val="20"/>
          <w:szCs w:val="20"/>
          <w:lang w:val="fr-CA"/>
        </w:rPr>
        <w:t xml:space="preserve"> Guidance (2024) ; et Commissaire à l’information et à la protection de la vie privée de l’Ontario, </w:t>
      </w:r>
      <w:r w:rsidRPr="00C20DA6">
        <w:rPr>
          <w:i/>
          <w:iCs/>
          <w:sz w:val="20"/>
          <w:szCs w:val="20"/>
          <w:lang w:val="fr-CA"/>
        </w:rPr>
        <w:t xml:space="preserve">Document d’orientation sur l’utilisation de systèmes de reconnaissance des plaques d’immatriculation par les services de police </w:t>
      </w:r>
      <w:r w:rsidRPr="00C20DA6">
        <w:rPr>
          <w:sz w:val="20"/>
          <w:szCs w:val="20"/>
          <w:lang w:val="fr-CA"/>
        </w:rPr>
        <w:t xml:space="preserve">[IPC ALPR Guidance] (mis à jour en décembre 2024), </w:t>
      </w:r>
      <w:r w:rsidRPr="00C20DA6">
        <w:rPr>
          <w:sz w:val="20"/>
          <w:lang w:val="fr-CA"/>
        </w:rPr>
        <w:t>en ligne </w:t>
      </w:r>
      <w:r w:rsidRPr="00C20DA6">
        <w:rPr>
          <w:sz w:val="20"/>
          <w:szCs w:val="20"/>
          <w:lang w:val="fr-CA"/>
        </w:rPr>
        <w:t xml:space="preserve">: </w:t>
      </w:r>
      <w:r w:rsidRPr="00C20DA6">
        <w:rPr>
          <w:rStyle w:val="Hyperlink"/>
          <w:sz w:val="20"/>
          <w:szCs w:val="20"/>
          <w:lang w:val="fr-CA"/>
        </w:rPr>
        <w:t>https://www.ipc.on.ca/fr/ressources/document-dorientation-sur-lutilisation-de-systemes-de-reconnaissance-des-plaques-dimmatriculation</w:t>
      </w:r>
      <w:r w:rsidRPr="00C20DA6">
        <w:rPr>
          <w:sz w:val="20"/>
          <w:szCs w:val="20"/>
          <w:lang w:val="fr-CA"/>
        </w:rPr>
        <w:t xml:space="preserve">. </w:t>
      </w:r>
    </w:p>
  </w:endnote>
  <w:endnote w:id="62">
    <w:p w14:paraId="0C2728E4" w14:textId="1654E868"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w:t>
      </w:r>
      <w:r w:rsidRPr="00C20DA6">
        <w:rPr>
          <w:rFonts w:cstheme="minorHAnsi"/>
          <w:lang w:val="fr-CA"/>
        </w:rPr>
        <w:t xml:space="preserve">Cour fédérale du Canada, « Principes et lignes directrices intérimaires de la Cour sur son utilisation de l’intelligence artificielle » (20 décembre 2023) </w:t>
      </w:r>
      <w:r w:rsidRPr="00C20DA6">
        <w:rPr>
          <w:lang w:val="fr-CA"/>
        </w:rPr>
        <w:t>[Directive de pratique de la Cour fédérale],</w:t>
      </w:r>
      <w:r w:rsidRPr="00C20DA6">
        <w:rPr>
          <w:rFonts w:cstheme="minorHAnsi"/>
          <w:lang w:val="fr-CA"/>
        </w:rPr>
        <w:t xml:space="preserve"> </w:t>
      </w:r>
      <w:r w:rsidRPr="00C20DA6">
        <w:rPr>
          <w:lang w:val="fr-CA"/>
        </w:rPr>
        <w:t>en ligne </w:t>
      </w:r>
      <w:r w:rsidRPr="00C20DA6">
        <w:rPr>
          <w:rFonts w:cstheme="minorHAnsi"/>
          <w:lang w:val="fr-CA"/>
        </w:rPr>
        <w:t xml:space="preserve">: </w:t>
      </w:r>
      <w:r w:rsidRPr="00C20DA6">
        <w:rPr>
          <w:rStyle w:val="Hyperlink"/>
          <w:rFonts w:cstheme="minorHAnsi"/>
          <w:lang w:val="fr-CA"/>
        </w:rPr>
        <w:t>https://www.fct-cf.ca/fr/pages/droit-et-trousse-doutils/intelligence-artificielle </w:t>
      </w:r>
      <w:r w:rsidRPr="00C20DA6">
        <w:rPr>
          <w:rFonts w:cstheme="minorHAnsi"/>
          <w:lang w:val="fr-CA"/>
        </w:rPr>
        <w:t xml:space="preserve">; et Cour fédérale du Canada, « Avis aux parties et à la communauté juridique : L’utilisation de l’intelligence artificielle dans les procédures judiciaires » (20 décembre 2023), </w:t>
      </w:r>
      <w:r w:rsidRPr="00C20DA6">
        <w:rPr>
          <w:lang w:val="fr-CA"/>
        </w:rPr>
        <w:t>en ligne </w:t>
      </w:r>
      <w:r w:rsidRPr="00C20DA6">
        <w:rPr>
          <w:rFonts w:cstheme="minorHAnsi"/>
          <w:lang w:val="fr-CA"/>
        </w:rPr>
        <w:t xml:space="preserve">: </w:t>
      </w:r>
      <w:hyperlink r:id="rId33" w:history="1">
        <w:r w:rsidRPr="00C20DA6">
          <w:rPr>
            <w:rStyle w:val="Hyperlink"/>
            <w:rFonts w:cstheme="minorHAnsi"/>
            <w:lang w:val="fr-CA"/>
          </w:rPr>
          <w:t>https://www.fct-cf.ca/Content/assets/pdf/base/2023-12-20-avis-utilisation-ia-procedures-judiciairess.pdf</w:t>
        </w:r>
      </w:hyperlink>
    </w:p>
  </w:endnote>
  <w:endnote w:id="63">
    <w:p w14:paraId="0D07611A" w14:textId="526490CE"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Alberta, « Notice to the Profession &amp; Public - </w:t>
      </w:r>
      <w:r w:rsidRPr="00F20F40">
        <w:t>Ensuring the integrity of court submissions when using Large Language Models</w:t>
      </w:r>
      <w:r w:rsidRPr="00C20DA6">
        <w:rPr>
          <w:lang w:val="fr-CA"/>
        </w:rPr>
        <w:t xml:space="preserve"> » (octobre 2023), en ligne : </w:t>
      </w:r>
      <w:hyperlink r:id="rId34" w:history="1">
        <w:r w:rsidRPr="00C20DA6">
          <w:rPr>
            <w:rStyle w:val="Hyperlink"/>
            <w:lang w:val="fr-CA"/>
          </w:rPr>
          <w:t>https://www.albertacourts.ca/kb/resources/announcements/notice-to-the-profession-public---use-of-ai-in-citations-submissions</w:t>
        </w:r>
      </w:hyperlink>
      <w:r w:rsidRPr="00C20DA6">
        <w:rPr>
          <w:lang w:val="fr-CA"/>
        </w:rPr>
        <w:t>; Manitoba, « </w:t>
      </w:r>
      <w:r w:rsidRPr="00F20F40">
        <w:t>Re : Use Of Artificial Intelligence In Court Submissions</w:t>
      </w:r>
      <w:r w:rsidRPr="00C20DA6">
        <w:rPr>
          <w:lang w:val="fr-CA"/>
        </w:rPr>
        <w:t xml:space="preserve"> (juin 2023), en ligne : </w:t>
      </w:r>
      <w:hyperlink r:id="rId35" w:history="1">
        <w:r w:rsidRPr="00C20DA6">
          <w:rPr>
            <w:rStyle w:val="Hyperlink"/>
            <w:lang w:val="fr-CA"/>
          </w:rPr>
          <w:t>https://www.manitobacourts.mb.ca/site/assets/files/2045/practice_direction_-_use_of_artificial_intelligence_in_court_submissions.pdf</w:t>
        </w:r>
      </w:hyperlink>
      <w:r w:rsidRPr="00C20DA6">
        <w:rPr>
          <w:rStyle w:val="Hyperlink"/>
          <w:lang w:val="fr-CA"/>
        </w:rPr>
        <w:t> </w:t>
      </w:r>
      <w:r w:rsidRPr="00C20DA6">
        <w:rPr>
          <w:lang w:val="fr-CA"/>
        </w:rPr>
        <w:t xml:space="preserve">; Québec, « L’intégrité des observations présentées aux tribunaux en cas d’utilisation des grands modèles de langage » (octobre 2023) en ligne : </w:t>
      </w:r>
      <w:r w:rsidRPr="00C20DA6">
        <w:rPr>
          <w:rStyle w:val="Hyperlink"/>
          <w:lang w:val="fr-CA"/>
        </w:rPr>
        <w:t>https://coursuperieureduquebec.ca/fileadmin/cour-superieure/Districts_judiciaires/Division_Montreal/Communiques/Avis_a_la_communaute_juridique-Utilisation_intelligence_artificielle_FR_-_24_octobre_2023.pdf</w:t>
      </w:r>
      <w:r w:rsidRPr="00C20DA6">
        <w:rPr>
          <w:lang w:val="fr-CA"/>
        </w:rPr>
        <w:t>.</w:t>
      </w:r>
    </w:p>
  </w:endnote>
  <w:endnote w:id="64">
    <w:p w14:paraId="6F24C85B" w14:textId="2360AC7B" w:rsidR="00A610A1" w:rsidRPr="00C20DA6" w:rsidRDefault="00A610A1" w:rsidP="009F0A62">
      <w:pPr>
        <w:pStyle w:val="EndnoteText"/>
        <w:rPr>
          <w:lang w:val="fr-CA"/>
        </w:rPr>
      </w:pPr>
      <w:r w:rsidRPr="00C20DA6">
        <w:rPr>
          <w:rStyle w:val="EndnoteReference"/>
          <w:lang w:val="fr-CA"/>
        </w:rPr>
        <w:endnoteRef/>
      </w:r>
      <w:r w:rsidRPr="00C20DA6">
        <w:rPr>
          <w:lang w:val="fr-CA"/>
        </w:rPr>
        <w:t xml:space="preserve"> Conseil canadien de la magistrature, </w:t>
      </w:r>
      <w:r w:rsidRPr="00C20DA6">
        <w:rPr>
          <w:i/>
          <w:iCs/>
          <w:lang w:val="fr-CA"/>
        </w:rPr>
        <w:t xml:space="preserve">Lignes directrices sur l’utilisation de l’intelligence artificielle dans les tribunaux canadiens </w:t>
      </w:r>
      <w:r w:rsidRPr="00C20DA6">
        <w:rPr>
          <w:lang w:val="fr-CA"/>
        </w:rPr>
        <w:t>(</w:t>
      </w:r>
      <w:r>
        <w:rPr>
          <w:lang w:val="fr-CA"/>
        </w:rPr>
        <w:t>s</w:t>
      </w:r>
      <w:r w:rsidRPr="00C20DA6">
        <w:rPr>
          <w:lang w:val="fr-CA"/>
        </w:rPr>
        <w:t xml:space="preserve">ept. 2024) [Lignes directrices du CCM], en ligne au </w:t>
      </w:r>
      <w:r w:rsidRPr="00C20DA6">
        <w:rPr>
          <w:rStyle w:val="Hyperlink"/>
          <w:lang w:val="fr-CA"/>
        </w:rPr>
        <w:t>https://cjc-ccm.ca/fr/nouvelles/le-conseil-canadien-de-la-magistrature-publie-des-lignes-directrices-sur-lutilisation-de</w:t>
      </w:r>
      <w:r w:rsidRPr="00C20DA6">
        <w:rPr>
          <w:lang w:val="fr-CA"/>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altName w:val="Arial"/>
    <w:charset w:val="00"/>
    <w:family w:val="swiss"/>
    <w:pitch w:val="variable"/>
    <w:sig w:usb0="00000001"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04270"/>
      <w:docPartObj>
        <w:docPartGallery w:val="Page Numbers (Bottom of Page)"/>
        <w:docPartUnique/>
      </w:docPartObj>
    </w:sdtPr>
    <w:sdtEndPr>
      <w:rPr>
        <w:noProof/>
      </w:rPr>
    </w:sdtEndPr>
    <w:sdtContent>
      <w:p w14:paraId="17BF6070" w14:textId="74692781" w:rsidR="00A610A1" w:rsidRDefault="00A610A1">
        <w:pPr>
          <w:pStyle w:val="Footer"/>
          <w:jc w:val="center"/>
        </w:pPr>
        <w:r>
          <w:fldChar w:fldCharType="begin"/>
        </w:r>
        <w:r>
          <w:instrText xml:space="preserve"> PAGE   \* MERGEFORMAT </w:instrText>
        </w:r>
        <w:r>
          <w:fldChar w:fldCharType="separate"/>
        </w:r>
        <w:r w:rsidR="00240E9F">
          <w:rPr>
            <w:noProof/>
          </w:rPr>
          <w:t>21</w:t>
        </w:r>
        <w:r>
          <w:rPr>
            <w:noProof/>
          </w:rPr>
          <w:fldChar w:fldCharType="end"/>
        </w:r>
      </w:p>
    </w:sdtContent>
  </w:sdt>
  <w:p w14:paraId="72527056" w14:textId="77777777" w:rsidR="00A610A1" w:rsidRDefault="00A610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17F9D" w14:textId="77777777" w:rsidR="00ED779B" w:rsidRDefault="00ED779B" w:rsidP="0060645D">
      <w:pPr>
        <w:spacing w:after="0" w:line="240" w:lineRule="auto"/>
      </w:pPr>
      <w:r>
        <w:separator/>
      </w:r>
    </w:p>
  </w:footnote>
  <w:footnote w:type="continuationSeparator" w:id="0">
    <w:p w14:paraId="40DA077F" w14:textId="77777777" w:rsidR="00ED779B" w:rsidRDefault="00ED779B" w:rsidP="00606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6D918" w14:textId="31A8D6C6" w:rsidR="00A610A1" w:rsidRPr="00D11D44" w:rsidRDefault="00A610A1" w:rsidP="00477AC8">
    <w:pPr>
      <w:pStyle w:val="Heading1"/>
      <w:spacing w:before="0"/>
      <w:rPr>
        <w:rFonts w:asciiTheme="minorHAnsi" w:eastAsia="Calibri" w:hAnsiTheme="minorHAnsi" w:cstheme="minorHAnsi"/>
        <w:sz w:val="24"/>
        <w:szCs w:val="24"/>
        <w:lang w:eastAsia="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DC6"/>
    <w:multiLevelType w:val="hybridMultilevel"/>
    <w:tmpl w:val="3DBC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3828"/>
    <w:multiLevelType w:val="hybridMultilevel"/>
    <w:tmpl w:val="475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71EC7"/>
    <w:multiLevelType w:val="multilevel"/>
    <w:tmpl w:val="7BB41B1A"/>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74699"/>
    <w:multiLevelType w:val="hybridMultilevel"/>
    <w:tmpl w:val="FC2A82BC"/>
    <w:lvl w:ilvl="0" w:tplc="0409000F">
      <w:start w:val="1"/>
      <w:numFmt w:val="decimal"/>
      <w:lvlText w:val="%1."/>
      <w:lvlJc w:val="left"/>
      <w:pPr>
        <w:ind w:left="720" w:hanging="360"/>
      </w:pPr>
      <w:rPr>
        <w:rFonts w:hint="default"/>
        <w:b w:val="0"/>
        <w:bCs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982B32"/>
    <w:multiLevelType w:val="hybridMultilevel"/>
    <w:tmpl w:val="977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E3573"/>
    <w:multiLevelType w:val="hybridMultilevel"/>
    <w:tmpl w:val="F098AB38"/>
    <w:lvl w:ilvl="0" w:tplc="FFFFFFFF">
      <w:start w:val="1"/>
      <w:numFmt w:val="decimal"/>
      <w:lvlText w:val="%1."/>
      <w:lvlJc w:val="left"/>
      <w:pPr>
        <w:ind w:left="397" w:hanging="397"/>
      </w:pPr>
      <w:rPr>
        <w:rFonts w:hint="default"/>
        <w:b w:val="0"/>
        <w:bCs w:val="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 w15:restartNumberingAfterBreak="0">
    <w:nsid w:val="12C4121F"/>
    <w:multiLevelType w:val="hybridMultilevel"/>
    <w:tmpl w:val="367CA3CE"/>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E6A0EEA"/>
    <w:multiLevelType w:val="multilevel"/>
    <w:tmpl w:val="99B4F4B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EE01F11"/>
    <w:multiLevelType w:val="hybridMultilevel"/>
    <w:tmpl w:val="ED4864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F4374CD"/>
    <w:multiLevelType w:val="hybridMultilevel"/>
    <w:tmpl w:val="57D60106"/>
    <w:lvl w:ilvl="0" w:tplc="FFFFFFF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A050F"/>
    <w:multiLevelType w:val="hybridMultilevel"/>
    <w:tmpl w:val="0B9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35410"/>
    <w:multiLevelType w:val="hybridMultilevel"/>
    <w:tmpl w:val="F5426E00"/>
    <w:lvl w:ilvl="0" w:tplc="FFFFFFFF">
      <w:start w:val="1"/>
      <w:numFmt w:val="decimal"/>
      <w:lvlText w:val="%1."/>
      <w:lvlJc w:val="left"/>
      <w:pPr>
        <w:ind w:left="737" w:hanging="397"/>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54177CF"/>
    <w:multiLevelType w:val="hybridMultilevel"/>
    <w:tmpl w:val="49EC34C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15:restartNumberingAfterBreak="0">
    <w:nsid w:val="27B4580B"/>
    <w:multiLevelType w:val="hybridMultilevel"/>
    <w:tmpl w:val="A7C0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A52B8"/>
    <w:multiLevelType w:val="hybridMultilevel"/>
    <w:tmpl w:val="2E2A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0058C"/>
    <w:multiLevelType w:val="hybridMultilevel"/>
    <w:tmpl w:val="E304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D66F9"/>
    <w:multiLevelType w:val="hybridMultilevel"/>
    <w:tmpl w:val="5DF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6265AD"/>
    <w:multiLevelType w:val="hybridMultilevel"/>
    <w:tmpl w:val="9B94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820"/>
    <w:multiLevelType w:val="hybridMultilevel"/>
    <w:tmpl w:val="A282055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328D779C"/>
    <w:multiLevelType w:val="hybridMultilevel"/>
    <w:tmpl w:val="C0EA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EE6D6E"/>
    <w:multiLevelType w:val="hybridMultilevel"/>
    <w:tmpl w:val="DABA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17931"/>
    <w:multiLevelType w:val="hybridMultilevel"/>
    <w:tmpl w:val="4136407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317478"/>
    <w:multiLevelType w:val="hybridMultilevel"/>
    <w:tmpl w:val="C234F484"/>
    <w:lvl w:ilvl="0" w:tplc="76062D82">
      <w:start w:val="1"/>
      <w:numFmt w:val="decimal"/>
      <w:lvlText w:val="%1."/>
      <w:lvlJc w:val="left"/>
      <w:pPr>
        <w:ind w:left="737" w:hanging="737"/>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84608A1"/>
    <w:multiLevelType w:val="hybridMultilevel"/>
    <w:tmpl w:val="7124E696"/>
    <w:lvl w:ilvl="0" w:tplc="FFFFFFFF">
      <w:start w:val="1"/>
      <w:numFmt w:val="decimal"/>
      <w:lvlText w:val="%1."/>
      <w:lvlJc w:val="left"/>
      <w:pPr>
        <w:ind w:left="1077" w:hanging="397"/>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15:restartNumberingAfterBreak="0">
    <w:nsid w:val="3C070941"/>
    <w:multiLevelType w:val="multilevel"/>
    <w:tmpl w:val="40C8AAD4"/>
    <w:styleLink w:val="CurrentList2"/>
    <w:lvl w:ilvl="0">
      <w:start w:val="1"/>
      <w:numFmt w:val="decimal"/>
      <w:lvlText w:val="%1."/>
      <w:lvlJc w:val="left"/>
      <w:pPr>
        <w:ind w:left="737" w:hanging="397"/>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C780690"/>
    <w:multiLevelType w:val="hybridMultilevel"/>
    <w:tmpl w:val="E246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5941A0"/>
    <w:multiLevelType w:val="hybridMultilevel"/>
    <w:tmpl w:val="D5B05C74"/>
    <w:lvl w:ilvl="0" w:tplc="FFFFFFFF">
      <w:start w:val="1"/>
      <w:numFmt w:val="decimal"/>
      <w:lvlText w:val="%1."/>
      <w:lvlJc w:val="left"/>
      <w:pPr>
        <w:ind w:left="720" w:hanging="360"/>
      </w:pPr>
      <w:rPr>
        <w:rFonts w:hint="default"/>
        <w:b w:val="0"/>
        <w:bCs w:val="0"/>
      </w:rPr>
    </w:lvl>
    <w:lvl w:ilvl="1" w:tplc="FFFFFFFF">
      <w:start w:val="1"/>
      <w:numFmt w:val="decimal"/>
      <w:lvlText w:val="%2."/>
      <w:lvlJc w:val="left"/>
      <w:pPr>
        <w:ind w:left="1477" w:hanging="397"/>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7F3265"/>
    <w:multiLevelType w:val="hybridMultilevel"/>
    <w:tmpl w:val="371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F13CC"/>
    <w:multiLevelType w:val="hybridMultilevel"/>
    <w:tmpl w:val="6846D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F554839"/>
    <w:multiLevelType w:val="hybridMultilevel"/>
    <w:tmpl w:val="3294E5FA"/>
    <w:lvl w:ilvl="0" w:tplc="FFFFFFFF">
      <w:start w:val="1"/>
      <w:numFmt w:val="decimal"/>
      <w:lvlText w:val="%1."/>
      <w:lvlJc w:val="left"/>
      <w:pPr>
        <w:ind w:left="1117" w:hanging="397"/>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509A5C64"/>
    <w:multiLevelType w:val="hybridMultilevel"/>
    <w:tmpl w:val="77F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F4ABF"/>
    <w:multiLevelType w:val="multilevel"/>
    <w:tmpl w:val="324C117C"/>
    <w:styleLink w:val="CurrentList3"/>
    <w:lvl w:ilvl="0">
      <w:start w:val="1"/>
      <w:numFmt w:val="decimal"/>
      <w:lvlText w:val="%1."/>
      <w:lvlJc w:val="left"/>
      <w:pPr>
        <w:ind w:left="737" w:hanging="397"/>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22470A3"/>
    <w:multiLevelType w:val="hybridMultilevel"/>
    <w:tmpl w:val="3EDE1C56"/>
    <w:lvl w:ilvl="0" w:tplc="0409000F">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A05CFC"/>
    <w:multiLevelType w:val="hybridMultilevel"/>
    <w:tmpl w:val="AACCD1FC"/>
    <w:lvl w:ilvl="0" w:tplc="04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9526509"/>
    <w:multiLevelType w:val="hybridMultilevel"/>
    <w:tmpl w:val="C22C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566A5"/>
    <w:multiLevelType w:val="hybridMultilevel"/>
    <w:tmpl w:val="FC2A82BC"/>
    <w:lvl w:ilvl="0" w:tplc="FFFFFFFF">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FE41B0"/>
    <w:multiLevelType w:val="hybridMultilevel"/>
    <w:tmpl w:val="312AA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AC56B7"/>
    <w:multiLevelType w:val="multilevel"/>
    <w:tmpl w:val="B198A136"/>
    <w:lvl w:ilvl="0">
      <w:start w:val="1"/>
      <w:numFmt w:val="decimal"/>
      <w:lvlText w:val="%1."/>
      <w:lvlJc w:val="left"/>
      <w:pPr>
        <w:ind w:left="360" w:hanging="360"/>
      </w:pPr>
      <w:rPr>
        <w:lang w:val="fr-C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080522"/>
    <w:multiLevelType w:val="hybridMultilevel"/>
    <w:tmpl w:val="52C4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B7F50"/>
    <w:multiLevelType w:val="hybridMultilevel"/>
    <w:tmpl w:val="3EDE1C56"/>
    <w:lvl w:ilvl="0" w:tplc="FFFFFFFF">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DF45A24"/>
    <w:multiLevelType w:val="hybridMultilevel"/>
    <w:tmpl w:val="E264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A6A94"/>
    <w:multiLevelType w:val="hybridMultilevel"/>
    <w:tmpl w:val="028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15"/>
  </w:num>
  <w:num w:numId="4">
    <w:abstractNumId w:val="17"/>
  </w:num>
  <w:num w:numId="5">
    <w:abstractNumId w:val="21"/>
  </w:num>
  <w:num w:numId="6">
    <w:abstractNumId w:val="22"/>
  </w:num>
  <w:num w:numId="7">
    <w:abstractNumId w:val="38"/>
  </w:num>
  <w:num w:numId="8">
    <w:abstractNumId w:val="42"/>
  </w:num>
  <w:num w:numId="9">
    <w:abstractNumId w:val="20"/>
  </w:num>
  <w:num w:numId="10">
    <w:abstractNumId w:val="4"/>
  </w:num>
  <w:num w:numId="11">
    <w:abstractNumId w:val="19"/>
  </w:num>
  <w:num w:numId="12">
    <w:abstractNumId w:val="28"/>
  </w:num>
  <w:num w:numId="13">
    <w:abstractNumId w:val="11"/>
  </w:num>
  <w:num w:numId="14">
    <w:abstractNumId w:val="0"/>
  </w:num>
  <w:num w:numId="15">
    <w:abstractNumId w:val="1"/>
  </w:num>
  <w:num w:numId="16">
    <w:abstractNumId w:val="41"/>
  </w:num>
  <w:num w:numId="17">
    <w:abstractNumId w:val="33"/>
  </w:num>
  <w:num w:numId="18">
    <w:abstractNumId w:val="39"/>
  </w:num>
  <w:num w:numId="19">
    <w:abstractNumId w:val="37"/>
  </w:num>
  <w:num w:numId="20">
    <w:abstractNumId w:val="14"/>
  </w:num>
  <w:num w:numId="21">
    <w:abstractNumId w:val="8"/>
  </w:num>
  <w:num w:numId="22">
    <w:abstractNumId w:val="18"/>
  </w:num>
  <w:num w:numId="23">
    <w:abstractNumId w:val="16"/>
  </w:num>
  <w:num w:numId="24">
    <w:abstractNumId w:val="30"/>
  </w:num>
  <w:num w:numId="25">
    <w:abstractNumId w:val="23"/>
  </w:num>
  <w:num w:numId="26">
    <w:abstractNumId w:val="2"/>
  </w:num>
  <w:num w:numId="27">
    <w:abstractNumId w:val="9"/>
  </w:num>
  <w:num w:numId="28">
    <w:abstractNumId w:val="27"/>
  </w:num>
  <w:num w:numId="29">
    <w:abstractNumId w:val="36"/>
  </w:num>
  <w:num w:numId="30">
    <w:abstractNumId w:val="12"/>
  </w:num>
  <w:num w:numId="31">
    <w:abstractNumId w:val="24"/>
  </w:num>
  <w:num w:numId="32">
    <w:abstractNumId w:val="5"/>
  </w:num>
  <w:num w:numId="33">
    <w:abstractNumId w:val="6"/>
  </w:num>
  <w:num w:numId="34">
    <w:abstractNumId w:val="35"/>
  </w:num>
  <w:num w:numId="35">
    <w:abstractNumId w:val="7"/>
  </w:num>
  <w:num w:numId="36">
    <w:abstractNumId w:val="40"/>
  </w:num>
  <w:num w:numId="37">
    <w:abstractNumId w:val="34"/>
  </w:num>
  <w:num w:numId="38">
    <w:abstractNumId w:val="13"/>
  </w:num>
  <w:num w:numId="39">
    <w:abstractNumId w:val="25"/>
  </w:num>
  <w:num w:numId="40">
    <w:abstractNumId w:val="26"/>
  </w:num>
  <w:num w:numId="41">
    <w:abstractNumId w:val="32"/>
  </w:num>
  <w:num w:numId="42">
    <w:abstractNumId w:val="10"/>
  </w:num>
  <w:num w:numId="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9C7"/>
    <w:rsid w:val="00000FC8"/>
    <w:rsid w:val="000011DB"/>
    <w:rsid w:val="00001339"/>
    <w:rsid w:val="00001483"/>
    <w:rsid w:val="000030BB"/>
    <w:rsid w:val="00003257"/>
    <w:rsid w:val="00003CC9"/>
    <w:rsid w:val="00004D05"/>
    <w:rsid w:val="00004E5E"/>
    <w:rsid w:val="00005671"/>
    <w:rsid w:val="00005ECF"/>
    <w:rsid w:val="0000612A"/>
    <w:rsid w:val="00006E38"/>
    <w:rsid w:val="00010D80"/>
    <w:rsid w:val="00010E5A"/>
    <w:rsid w:val="00012E88"/>
    <w:rsid w:val="00020073"/>
    <w:rsid w:val="0002225D"/>
    <w:rsid w:val="000225F7"/>
    <w:rsid w:val="00023781"/>
    <w:rsid w:val="0002442D"/>
    <w:rsid w:val="000246B0"/>
    <w:rsid w:val="00024AFF"/>
    <w:rsid w:val="00025550"/>
    <w:rsid w:val="00025868"/>
    <w:rsid w:val="00025B74"/>
    <w:rsid w:val="0002605E"/>
    <w:rsid w:val="000268ED"/>
    <w:rsid w:val="00026DD7"/>
    <w:rsid w:val="00027787"/>
    <w:rsid w:val="0003041E"/>
    <w:rsid w:val="000305B2"/>
    <w:rsid w:val="00031666"/>
    <w:rsid w:val="00031B83"/>
    <w:rsid w:val="00032E57"/>
    <w:rsid w:val="000331C7"/>
    <w:rsid w:val="00033349"/>
    <w:rsid w:val="00033475"/>
    <w:rsid w:val="00034118"/>
    <w:rsid w:val="00035371"/>
    <w:rsid w:val="000358BE"/>
    <w:rsid w:val="000365AD"/>
    <w:rsid w:val="00036AAE"/>
    <w:rsid w:val="000371C5"/>
    <w:rsid w:val="00040070"/>
    <w:rsid w:val="00040ABF"/>
    <w:rsid w:val="00040DE9"/>
    <w:rsid w:val="00041C96"/>
    <w:rsid w:val="00041F87"/>
    <w:rsid w:val="000420A7"/>
    <w:rsid w:val="00042FF0"/>
    <w:rsid w:val="00045136"/>
    <w:rsid w:val="00045733"/>
    <w:rsid w:val="00045A45"/>
    <w:rsid w:val="00045D63"/>
    <w:rsid w:val="000464A6"/>
    <w:rsid w:val="00046F1E"/>
    <w:rsid w:val="000473A8"/>
    <w:rsid w:val="00047DC2"/>
    <w:rsid w:val="00050C6A"/>
    <w:rsid w:val="00051D13"/>
    <w:rsid w:val="000524F4"/>
    <w:rsid w:val="00052790"/>
    <w:rsid w:val="00052974"/>
    <w:rsid w:val="00052D21"/>
    <w:rsid w:val="00052D6E"/>
    <w:rsid w:val="00053647"/>
    <w:rsid w:val="000540CB"/>
    <w:rsid w:val="000548A3"/>
    <w:rsid w:val="0005530A"/>
    <w:rsid w:val="00056061"/>
    <w:rsid w:val="00056570"/>
    <w:rsid w:val="00056FF5"/>
    <w:rsid w:val="00057408"/>
    <w:rsid w:val="0006058F"/>
    <w:rsid w:val="0006072E"/>
    <w:rsid w:val="000607D4"/>
    <w:rsid w:val="000607FB"/>
    <w:rsid w:val="00060C67"/>
    <w:rsid w:val="00060E64"/>
    <w:rsid w:val="0006207B"/>
    <w:rsid w:val="000624A2"/>
    <w:rsid w:val="00062883"/>
    <w:rsid w:val="000629BD"/>
    <w:rsid w:val="00062F38"/>
    <w:rsid w:val="00064588"/>
    <w:rsid w:val="000666F1"/>
    <w:rsid w:val="00067E64"/>
    <w:rsid w:val="00067F51"/>
    <w:rsid w:val="00070169"/>
    <w:rsid w:val="000708E1"/>
    <w:rsid w:val="00070C9E"/>
    <w:rsid w:val="00070E45"/>
    <w:rsid w:val="000745D5"/>
    <w:rsid w:val="00075F17"/>
    <w:rsid w:val="00076117"/>
    <w:rsid w:val="0007695D"/>
    <w:rsid w:val="00076D39"/>
    <w:rsid w:val="00076FE0"/>
    <w:rsid w:val="00077000"/>
    <w:rsid w:val="00077C68"/>
    <w:rsid w:val="00080382"/>
    <w:rsid w:val="00080907"/>
    <w:rsid w:val="00080A7F"/>
    <w:rsid w:val="000824BE"/>
    <w:rsid w:val="00082B0A"/>
    <w:rsid w:val="00082DF9"/>
    <w:rsid w:val="000831C0"/>
    <w:rsid w:val="00083979"/>
    <w:rsid w:val="000852FA"/>
    <w:rsid w:val="00087227"/>
    <w:rsid w:val="00087809"/>
    <w:rsid w:val="00087878"/>
    <w:rsid w:val="00087AC5"/>
    <w:rsid w:val="00087E7A"/>
    <w:rsid w:val="000900CE"/>
    <w:rsid w:val="0009028B"/>
    <w:rsid w:val="000906F8"/>
    <w:rsid w:val="00090A46"/>
    <w:rsid w:val="0009111A"/>
    <w:rsid w:val="00091856"/>
    <w:rsid w:val="000918CE"/>
    <w:rsid w:val="0009236F"/>
    <w:rsid w:val="000933B4"/>
    <w:rsid w:val="00093642"/>
    <w:rsid w:val="00094253"/>
    <w:rsid w:val="00094BC1"/>
    <w:rsid w:val="00094CB0"/>
    <w:rsid w:val="000952D2"/>
    <w:rsid w:val="000959DF"/>
    <w:rsid w:val="00095D38"/>
    <w:rsid w:val="00095E40"/>
    <w:rsid w:val="0009680A"/>
    <w:rsid w:val="0009781E"/>
    <w:rsid w:val="000A076C"/>
    <w:rsid w:val="000A115E"/>
    <w:rsid w:val="000A1996"/>
    <w:rsid w:val="000A28D8"/>
    <w:rsid w:val="000A3063"/>
    <w:rsid w:val="000A3BB7"/>
    <w:rsid w:val="000A40DC"/>
    <w:rsid w:val="000A49AF"/>
    <w:rsid w:val="000A5202"/>
    <w:rsid w:val="000A56AF"/>
    <w:rsid w:val="000A5825"/>
    <w:rsid w:val="000A76CD"/>
    <w:rsid w:val="000B18A3"/>
    <w:rsid w:val="000B1AA4"/>
    <w:rsid w:val="000B1AB7"/>
    <w:rsid w:val="000B200F"/>
    <w:rsid w:val="000B2910"/>
    <w:rsid w:val="000B2B15"/>
    <w:rsid w:val="000B405F"/>
    <w:rsid w:val="000B40D0"/>
    <w:rsid w:val="000B4C58"/>
    <w:rsid w:val="000C0811"/>
    <w:rsid w:val="000C12FF"/>
    <w:rsid w:val="000C2EA1"/>
    <w:rsid w:val="000C33FE"/>
    <w:rsid w:val="000C39A3"/>
    <w:rsid w:val="000C3F81"/>
    <w:rsid w:val="000C3F89"/>
    <w:rsid w:val="000C479A"/>
    <w:rsid w:val="000C47FD"/>
    <w:rsid w:val="000C541D"/>
    <w:rsid w:val="000C5438"/>
    <w:rsid w:val="000C6CB7"/>
    <w:rsid w:val="000C6D4E"/>
    <w:rsid w:val="000D08AB"/>
    <w:rsid w:val="000D0A37"/>
    <w:rsid w:val="000D15C4"/>
    <w:rsid w:val="000D1683"/>
    <w:rsid w:val="000D19BF"/>
    <w:rsid w:val="000D1C26"/>
    <w:rsid w:val="000D225A"/>
    <w:rsid w:val="000D299B"/>
    <w:rsid w:val="000D2D2E"/>
    <w:rsid w:val="000D3070"/>
    <w:rsid w:val="000D3EFE"/>
    <w:rsid w:val="000D3F8A"/>
    <w:rsid w:val="000D4385"/>
    <w:rsid w:val="000D44A3"/>
    <w:rsid w:val="000D4B21"/>
    <w:rsid w:val="000D578C"/>
    <w:rsid w:val="000D5B30"/>
    <w:rsid w:val="000D649D"/>
    <w:rsid w:val="000D664D"/>
    <w:rsid w:val="000D66BE"/>
    <w:rsid w:val="000D6BB4"/>
    <w:rsid w:val="000D771A"/>
    <w:rsid w:val="000D77A3"/>
    <w:rsid w:val="000D77B0"/>
    <w:rsid w:val="000D7B65"/>
    <w:rsid w:val="000D7D71"/>
    <w:rsid w:val="000E025D"/>
    <w:rsid w:val="000E0894"/>
    <w:rsid w:val="000E0B3D"/>
    <w:rsid w:val="000E195D"/>
    <w:rsid w:val="000E19F3"/>
    <w:rsid w:val="000E31E2"/>
    <w:rsid w:val="000E4240"/>
    <w:rsid w:val="000E4346"/>
    <w:rsid w:val="000E46F0"/>
    <w:rsid w:val="000E475F"/>
    <w:rsid w:val="000E4CC9"/>
    <w:rsid w:val="000E58C2"/>
    <w:rsid w:val="000E6BCC"/>
    <w:rsid w:val="000E6D1B"/>
    <w:rsid w:val="000E777B"/>
    <w:rsid w:val="000F2CC6"/>
    <w:rsid w:val="000F3E6B"/>
    <w:rsid w:val="000F442F"/>
    <w:rsid w:val="000F4691"/>
    <w:rsid w:val="000F46DB"/>
    <w:rsid w:val="000F49BD"/>
    <w:rsid w:val="000F4C40"/>
    <w:rsid w:val="000F4F43"/>
    <w:rsid w:val="00100C0C"/>
    <w:rsid w:val="00101577"/>
    <w:rsid w:val="00101BC2"/>
    <w:rsid w:val="00102612"/>
    <w:rsid w:val="001033AC"/>
    <w:rsid w:val="001036F0"/>
    <w:rsid w:val="001045CD"/>
    <w:rsid w:val="0010472C"/>
    <w:rsid w:val="00105482"/>
    <w:rsid w:val="00105722"/>
    <w:rsid w:val="00105D48"/>
    <w:rsid w:val="0010606E"/>
    <w:rsid w:val="00106275"/>
    <w:rsid w:val="0010665E"/>
    <w:rsid w:val="00106894"/>
    <w:rsid w:val="00106E56"/>
    <w:rsid w:val="001072CA"/>
    <w:rsid w:val="00110198"/>
    <w:rsid w:val="00110393"/>
    <w:rsid w:val="00111401"/>
    <w:rsid w:val="00112579"/>
    <w:rsid w:val="001128A4"/>
    <w:rsid w:val="00112E1D"/>
    <w:rsid w:val="00113042"/>
    <w:rsid w:val="0011435D"/>
    <w:rsid w:val="00114920"/>
    <w:rsid w:val="00114C91"/>
    <w:rsid w:val="00114CC4"/>
    <w:rsid w:val="00114D58"/>
    <w:rsid w:val="0011547F"/>
    <w:rsid w:val="00115529"/>
    <w:rsid w:val="00117055"/>
    <w:rsid w:val="001176A0"/>
    <w:rsid w:val="00117993"/>
    <w:rsid w:val="00117F74"/>
    <w:rsid w:val="00120171"/>
    <w:rsid w:val="00120885"/>
    <w:rsid w:val="00122884"/>
    <w:rsid w:val="001228B7"/>
    <w:rsid w:val="00122FDA"/>
    <w:rsid w:val="001230D0"/>
    <w:rsid w:val="001233CC"/>
    <w:rsid w:val="001235A2"/>
    <w:rsid w:val="001239D0"/>
    <w:rsid w:val="00124058"/>
    <w:rsid w:val="0012443E"/>
    <w:rsid w:val="00124640"/>
    <w:rsid w:val="00124A54"/>
    <w:rsid w:val="001250D9"/>
    <w:rsid w:val="001253E8"/>
    <w:rsid w:val="0012570B"/>
    <w:rsid w:val="00125DB2"/>
    <w:rsid w:val="0012611D"/>
    <w:rsid w:val="0012630E"/>
    <w:rsid w:val="001279B0"/>
    <w:rsid w:val="00130312"/>
    <w:rsid w:val="00130D22"/>
    <w:rsid w:val="00131387"/>
    <w:rsid w:val="0013143B"/>
    <w:rsid w:val="00131BCE"/>
    <w:rsid w:val="001321AD"/>
    <w:rsid w:val="00132E84"/>
    <w:rsid w:val="001330B6"/>
    <w:rsid w:val="0013364B"/>
    <w:rsid w:val="00133F9F"/>
    <w:rsid w:val="001340AF"/>
    <w:rsid w:val="0013411C"/>
    <w:rsid w:val="001349ED"/>
    <w:rsid w:val="001350C3"/>
    <w:rsid w:val="00135E60"/>
    <w:rsid w:val="00137291"/>
    <w:rsid w:val="00140849"/>
    <w:rsid w:val="001409DA"/>
    <w:rsid w:val="001422DA"/>
    <w:rsid w:val="0014254E"/>
    <w:rsid w:val="001427F3"/>
    <w:rsid w:val="00143A3B"/>
    <w:rsid w:val="00144885"/>
    <w:rsid w:val="00144BF3"/>
    <w:rsid w:val="00145616"/>
    <w:rsid w:val="00145F39"/>
    <w:rsid w:val="001473D5"/>
    <w:rsid w:val="0014748D"/>
    <w:rsid w:val="0014794C"/>
    <w:rsid w:val="00147EB2"/>
    <w:rsid w:val="00150309"/>
    <w:rsid w:val="00152A6B"/>
    <w:rsid w:val="00153176"/>
    <w:rsid w:val="001558B4"/>
    <w:rsid w:val="00155F3A"/>
    <w:rsid w:val="001572B6"/>
    <w:rsid w:val="001579AD"/>
    <w:rsid w:val="00157AFB"/>
    <w:rsid w:val="00157F50"/>
    <w:rsid w:val="00160D73"/>
    <w:rsid w:val="001629C0"/>
    <w:rsid w:val="00163816"/>
    <w:rsid w:val="00163AB4"/>
    <w:rsid w:val="00163B67"/>
    <w:rsid w:val="00164CB8"/>
    <w:rsid w:val="00165338"/>
    <w:rsid w:val="00165A39"/>
    <w:rsid w:val="0016610F"/>
    <w:rsid w:val="00166845"/>
    <w:rsid w:val="001670EE"/>
    <w:rsid w:val="001676F8"/>
    <w:rsid w:val="001678B8"/>
    <w:rsid w:val="001679FF"/>
    <w:rsid w:val="00167DE7"/>
    <w:rsid w:val="0017040B"/>
    <w:rsid w:val="00170AAD"/>
    <w:rsid w:val="00171280"/>
    <w:rsid w:val="00171423"/>
    <w:rsid w:val="001714DD"/>
    <w:rsid w:val="0017152A"/>
    <w:rsid w:val="0017156F"/>
    <w:rsid w:val="00171D30"/>
    <w:rsid w:val="00171DAA"/>
    <w:rsid w:val="001721A6"/>
    <w:rsid w:val="001724EB"/>
    <w:rsid w:val="00172A17"/>
    <w:rsid w:val="00172D58"/>
    <w:rsid w:val="0017582C"/>
    <w:rsid w:val="00175F05"/>
    <w:rsid w:val="00176236"/>
    <w:rsid w:val="001765A6"/>
    <w:rsid w:val="001772E5"/>
    <w:rsid w:val="00180387"/>
    <w:rsid w:val="00180817"/>
    <w:rsid w:val="001811E8"/>
    <w:rsid w:val="00181321"/>
    <w:rsid w:val="00182144"/>
    <w:rsid w:val="00182FE0"/>
    <w:rsid w:val="00183ACC"/>
    <w:rsid w:val="001842CB"/>
    <w:rsid w:val="00184933"/>
    <w:rsid w:val="0018508E"/>
    <w:rsid w:val="0018541D"/>
    <w:rsid w:val="00185DA4"/>
    <w:rsid w:val="00185F0D"/>
    <w:rsid w:val="001866BE"/>
    <w:rsid w:val="00186A4B"/>
    <w:rsid w:val="00186B22"/>
    <w:rsid w:val="0018784A"/>
    <w:rsid w:val="001879E6"/>
    <w:rsid w:val="00187C0D"/>
    <w:rsid w:val="00190070"/>
    <w:rsid w:val="00190272"/>
    <w:rsid w:val="0019210F"/>
    <w:rsid w:val="00192A35"/>
    <w:rsid w:val="001934CA"/>
    <w:rsid w:val="00193A97"/>
    <w:rsid w:val="00194103"/>
    <w:rsid w:val="00194D76"/>
    <w:rsid w:val="00194D91"/>
    <w:rsid w:val="00194EBA"/>
    <w:rsid w:val="001952B8"/>
    <w:rsid w:val="00195365"/>
    <w:rsid w:val="00195BC8"/>
    <w:rsid w:val="0019678C"/>
    <w:rsid w:val="00196B2E"/>
    <w:rsid w:val="001974AD"/>
    <w:rsid w:val="00197955"/>
    <w:rsid w:val="00197962"/>
    <w:rsid w:val="001A000B"/>
    <w:rsid w:val="001A0EA4"/>
    <w:rsid w:val="001A1243"/>
    <w:rsid w:val="001A1B8D"/>
    <w:rsid w:val="001A368C"/>
    <w:rsid w:val="001A4AF7"/>
    <w:rsid w:val="001A4B34"/>
    <w:rsid w:val="001A4BB8"/>
    <w:rsid w:val="001A520A"/>
    <w:rsid w:val="001A5985"/>
    <w:rsid w:val="001A6B31"/>
    <w:rsid w:val="001B0138"/>
    <w:rsid w:val="001B02BE"/>
    <w:rsid w:val="001B1027"/>
    <w:rsid w:val="001B172C"/>
    <w:rsid w:val="001B28F9"/>
    <w:rsid w:val="001B2B3C"/>
    <w:rsid w:val="001B2B6D"/>
    <w:rsid w:val="001B3B04"/>
    <w:rsid w:val="001B4683"/>
    <w:rsid w:val="001B4EA9"/>
    <w:rsid w:val="001B4EDF"/>
    <w:rsid w:val="001B6797"/>
    <w:rsid w:val="001B773E"/>
    <w:rsid w:val="001B779F"/>
    <w:rsid w:val="001B79A8"/>
    <w:rsid w:val="001B7AC2"/>
    <w:rsid w:val="001B7CD2"/>
    <w:rsid w:val="001B7EFB"/>
    <w:rsid w:val="001C1AAC"/>
    <w:rsid w:val="001C28C2"/>
    <w:rsid w:val="001C2A19"/>
    <w:rsid w:val="001C3332"/>
    <w:rsid w:val="001C4147"/>
    <w:rsid w:val="001C49BD"/>
    <w:rsid w:val="001C5AC9"/>
    <w:rsid w:val="001C5AF5"/>
    <w:rsid w:val="001C644B"/>
    <w:rsid w:val="001C6641"/>
    <w:rsid w:val="001C677C"/>
    <w:rsid w:val="001C6CBD"/>
    <w:rsid w:val="001C73BC"/>
    <w:rsid w:val="001C79F9"/>
    <w:rsid w:val="001D0762"/>
    <w:rsid w:val="001D0D0A"/>
    <w:rsid w:val="001D1CB5"/>
    <w:rsid w:val="001D1E47"/>
    <w:rsid w:val="001D29DA"/>
    <w:rsid w:val="001D2BE7"/>
    <w:rsid w:val="001D2BFD"/>
    <w:rsid w:val="001D2E37"/>
    <w:rsid w:val="001D3771"/>
    <w:rsid w:val="001D3A4D"/>
    <w:rsid w:val="001D3A92"/>
    <w:rsid w:val="001D4BE1"/>
    <w:rsid w:val="001D4F65"/>
    <w:rsid w:val="001D5594"/>
    <w:rsid w:val="001D55CA"/>
    <w:rsid w:val="001D7ECA"/>
    <w:rsid w:val="001E0081"/>
    <w:rsid w:val="001E0562"/>
    <w:rsid w:val="001E065B"/>
    <w:rsid w:val="001E0669"/>
    <w:rsid w:val="001E1126"/>
    <w:rsid w:val="001E193E"/>
    <w:rsid w:val="001E21B6"/>
    <w:rsid w:val="001E27AC"/>
    <w:rsid w:val="001E2897"/>
    <w:rsid w:val="001E3730"/>
    <w:rsid w:val="001E3875"/>
    <w:rsid w:val="001E3BC2"/>
    <w:rsid w:val="001E484A"/>
    <w:rsid w:val="001E53CB"/>
    <w:rsid w:val="001E5E50"/>
    <w:rsid w:val="001E62C0"/>
    <w:rsid w:val="001E6B2D"/>
    <w:rsid w:val="001E7450"/>
    <w:rsid w:val="001E7D2A"/>
    <w:rsid w:val="001E7EB0"/>
    <w:rsid w:val="001F0D5D"/>
    <w:rsid w:val="001F0F59"/>
    <w:rsid w:val="001F1D60"/>
    <w:rsid w:val="001F20B1"/>
    <w:rsid w:val="001F2B5B"/>
    <w:rsid w:val="001F2C41"/>
    <w:rsid w:val="001F2EF2"/>
    <w:rsid w:val="001F3836"/>
    <w:rsid w:val="001F39CE"/>
    <w:rsid w:val="001F3A8A"/>
    <w:rsid w:val="001F4638"/>
    <w:rsid w:val="001F4B15"/>
    <w:rsid w:val="001F5424"/>
    <w:rsid w:val="001F55CD"/>
    <w:rsid w:val="001F6CD6"/>
    <w:rsid w:val="001F6E72"/>
    <w:rsid w:val="001F6EE3"/>
    <w:rsid w:val="001F7287"/>
    <w:rsid w:val="001F77B6"/>
    <w:rsid w:val="002016D2"/>
    <w:rsid w:val="00201E60"/>
    <w:rsid w:val="00201F0E"/>
    <w:rsid w:val="0020207A"/>
    <w:rsid w:val="00202A36"/>
    <w:rsid w:val="00202F89"/>
    <w:rsid w:val="00202FEE"/>
    <w:rsid w:val="00203118"/>
    <w:rsid w:val="00203B69"/>
    <w:rsid w:val="00203E24"/>
    <w:rsid w:val="002045CD"/>
    <w:rsid w:val="00205091"/>
    <w:rsid w:val="00205A7B"/>
    <w:rsid w:val="002062E8"/>
    <w:rsid w:val="00206B76"/>
    <w:rsid w:val="00206C13"/>
    <w:rsid w:val="0020747E"/>
    <w:rsid w:val="002074B0"/>
    <w:rsid w:val="002101B9"/>
    <w:rsid w:val="00210594"/>
    <w:rsid w:val="002113BF"/>
    <w:rsid w:val="00211868"/>
    <w:rsid w:val="00211E6F"/>
    <w:rsid w:val="00212112"/>
    <w:rsid w:val="00213228"/>
    <w:rsid w:val="00213901"/>
    <w:rsid w:val="00214FA4"/>
    <w:rsid w:val="002159D3"/>
    <w:rsid w:val="00216A8C"/>
    <w:rsid w:val="00217CF3"/>
    <w:rsid w:val="00220616"/>
    <w:rsid w:val="002206D4"/>
    <w:rsid w:val="0022083A"/>
    <w:rsid w:val="00221298"/>
    <w:rsid w:val="00221490"/>
    <w:rsid w:val="00221EC5"/>
    <w:rsid w:val="0022296B"/>
    <w:rsid w:val="00222D05"/>
    <w:rsid w:val="0022331C"/>
    <w:rsid w:val="00223AE0"/>
    <w:rsid w:val="00223DBA"/>
    <w:rsid w:val="00224C44"/>
    <w:rsid w:val="0022538F"/>
    <w:rsid w:val="0022561A"/>
    <w:rsid w:val="00225A92"/>
    <w:rsid w:val="00226C9E"/>
    <w:rsid w:val="002272C1"/>
    <w:rsid w:val="00227E45"/>
    <w:rsid w:val="00230481"/>
    <w:rsid w:val="0023151B"/>
    <w:rsid w:val="00231574"/>
    <w:rsid w:val="0023173D"/>
    <w:rsid w:val="00231BA1"/>
    <w:rsid w:val="00231D8C"/>
    <w:rsid w:val="002320ED"/>
    <w:rsid w:val="00232D2F"/>
    <w:rsid w:val="002334C8"/>
    <w:rsid w:val="00233D98"/>
    <w:rsid w:val="00234048"/>
    <w:rsid w:val="00234174"/>
    <w:rsid w:val="00234516"/>
    <w:rsid w:val="0023507F"/>
    <w:rsid w:val="00235C23"/>
    <w:rsid w:val="002360D1"/>
    <w:rsid w:val="00240E9F"/>
    <w:rsid w:val="00241CF2"/>
    <w:rsid w:val="00242937"/>
    <w:rsid w:val="0024540E"/>
    <w:rsid w:val="00245A82"/>
    <w:rsid w:val="00245B6B"/>
    <w:rsid w:val="00245E22"/>
    <w:rsid w:val="002465D7"/>
    <w:rsid w:val="002476B2"/>
    <w:rsid w:val="002505B0"/>
    <w:rsid w:val="002505DC"/>
    <w:rsid w:val="002517F7"/>
    <w:rsid w:val="0025317F"/>
    <w:rsid w:val="0025496E"/>
    <w:rsid w:val="002551B8"/>
    <w:rsid w:val="002560A5"/>
    <w:rsid w:val="00256539"/>
    <w:rsid w:val="00256822"/>
    <w:rsid w:val="0025743C"/>
    <w:rsid w:val="00257F9D"/>
    <w:rsid w:val="0026005A"/>
    <w:rsid w:val="00260294"/>
    <w:rsid w:val="002616D2"/>
    <w:rsid w:val="00261A72"/>
    <w:rsid w:val="00262467"/>
    <w:rsid w:val="00262830"/>
    <w:rsid w:val="00262DE3"/>
    <w:rsid w:val="00263F3E"/>
    <w:rsid w:val="002648FF"/>
    <w:rsid w:val="00264B18"/>
    <w:rsid w:val="00265029"/>
    <w:rsid w:val="00265599"/>
    <w:rsid w:val="00265662"/>
    <w:rsid w:val="00265E36"/>
    <w:rsid w:val="002661D8"/>
    <w:rsid w:val="00266399"/>
    <w:rsid w:val="00266CBF"/>
    <w:rsid w:val="0026706A"/>
    <w:rsid w:val="002678E1"/>
    <w:rsid w:val="00267A0A"/>
    <w:rsid w:val="00267F2C"/>
    <w:rsid w:val="002705AE"/>
    <w:rsid w:val="002709FB"/>
    <w:rsid w:val="00270F4B"/>
    <w:rsid w:val="002716F0"/>
    <w:rsid w:val="00272009"/>
    <w:rsid w:val="002720E9"/>
    <w:rsid w:val="002722ED"/>
    <w:rsid w:val="00272CE5"/>
    <w:rsid w:val="00272E16"/>
    <w:rsid w:val="002734E8"/>
    <w:rsid w:val="00273A65"/>
    <w:rsid w:val="002746A2"/>
    <w:rsid w:val="0027493D"/>
    <w:rsid w:val="0027596F"/>
    <w:rsid w:val="00275D4E"/>
    <w:rsid w:val="0027636A"/>
    <w:rsid w:val="00276667"/>
    <w:rsid w:val="00276DD0"/>
    <w:rsid w:val="00277720"/>
    <w:rsid w:val="00277C72"/>
    <w:rsid w:val="002806CB"/>
    <w:rsid w:val="002809E3"/>
    <w:rsid w:val="00280A0E"/>
    <w:rsid w:val="00280D4A"/>
    <w:rsid w:val="00280FF1"/>
    <w:rsid w:val="00281086"/>
    <w:rsid w:val="0028117C"/>
    <w:rsid w:val="00282BA8"/>
    <w:rsid w:val="00282EEB"/>
    <w:rsid w:val="00283347"/>
    <w:rsid w:val="0028337D"/>
    <w:rsid w:val="0028345D"/>
    <w:rsid w:val="00284386"/>
    <w:rsid w:val="00285CDA"/>
    <w:rsid w:val="00286F83"/>
    <w:rsid w:val="002870EA"/>
    <w:rsid w:val="0029001E"/>
    <w:rsid w:val="0029065F"/>
    <w:rsid w:val="00290865"/>
    <w:rsid w:val="00290A7C"/>
    <w:rsid w:val="00291C08"/>
    <w:rsid w:val="00291C2E"/>
    <w:rsid w:val="002926D3"/>
    <w:rsid w:val="002935D4"/>
    <w:rsid w:val="00294B36"/>
    <w:rsid w:val="0029657A"/>
    <w:rsid w:val="00296831"/>
    <w:rsid w:val="00297213"/>
    <w:rsid w:val="0029724F"/>
    <w:rsid w:val="00297254"/>
    <w:rsid w:val="00297FE6"/>
    <w:rsid w:val="002A1504"/>
    <w:rsid w:val="002A295E"/>
    <w:rsid w:val="002A460E"/>
    <w:rsid w:val="002A5217"/>
    <w:rsid w:val="002A5657"/>
    <w:rsid w:val="002A5A17"/>
    <w:rsid w:val="002A5F96"/>
    <w:rsid w:val="002A7728"/>
    <w:rsid w:val="002A7F82"/>
    <w:rsid w:val="002B137C"/>
    <w:rsid w:val="002B146E"/>
    <w:rsid w:val="002B1497"/>
    <w:rsid w:val="002B17F8"/>
    <w:rsid w:val="002B1A80"/>
    <w:rsid w:val="002B1E9A"/>
    <w:rsid w:val="002B33B0"/>
    <w:rsid w:val="002B3DB8"/>
    <w:rsid w:val="002B475E"/>
    <w:rsid w:val="002B47BD"/>
    <w:rsid w:val="002B5110"/>
    <w:rsid w:val="002B57F7"/>
    <w:rsid w:val="002B5D01"/>
    <w:rsid w:val="002B5D34"/>
    <w:rsid w:val="002B5ED0"/>
    <w:rsid w:val="002B5FDF"/>
    <w:rsid w:val="002B70FD"/>
    <w:rsid w:val="002B710D"/>
    <w:rsid w:val="002B7F9A"/>
    <w:rsid w:val="002C068F"/>
    <w:rsid w:val="002C0DC8"/>
    <w:rsid w:val="002C1073"/>
    <w:rsid w:val="002C1A88"/>
    <w:rsid w:val="002C1F96"/>
    <w:rsid w:val="002C3C26"/>
    <w:rsid w:val="002C3DA5"/>
    <w:rsid w:val="002C3EDA"/>
    <w:rsid w:val="002C40D3"/>
    <w:rsid w:val="002C5212"/>
    <w:rsid w:val="002C53BF"/>
    <w:rsid w:val="002C5C00"/>
    <w:rsid w:val="002C5F05"/>
    <w:rsid w:val="002C6A00"/>
    <w:rsid w:val="002C6E4C"/>
    <w:rsid w:val="002C74D7"/>
    <w:rsid w:val="002D01DF"/>
    <w:rsid w:val="002D08EF"/>
    <w:rsid w:val="002D094E"/>
    <w:rsid w:val="002D200B"/>
    <w:rsid w:val="002D2432"/>
    <w:rsid w:val="002D2D20"/>
    <w:rsid w:val="002D2F75"/>
    <w:rsid w:val="002D3E37"/>
    <w:rsid w:val="002D4776"/>
    <w:rsid w:val="002D5C18"/>
    <w:rsid w:val="002D6A0D"/>
    <w:rsid w:val="002D6C2F"/>
    <w:rsid w:val="002D6CF7"/>
    <w:rsid w:val="002D7170"/>
    <w:rsid w:val="002D7A41"/>
    <w:rsid w:val="002D7AE5"/>
    <w:rsid w:val="002E1718"/>
    <w:rsid w:val="002E1DE6"/>
    <w:rsid w:val="002E2C6A"/>
    <w:rsid w:val="002E3B19"/>
    <w:rsid w:val="002E3CFE"/>
    <w:rsid w:val="002E44FD"/>
    <w:rsid w:val="002E4F43"/>
    <w:rsid w:val="002E5CBD"/>
    <w:rsid w:val="002E68D3"/>
    <w:rsid w:val="002E716E"/>
    <w:rsid w:val="002E7620"/>
    <w:rsid w:val="002E7748"/>
    <w:rsid w:val="002F134C"/>
    <w:rsid w:val="002F1814"/>
    <w:rsid w:val="002F1C51"/>
    <w:rsid w:val="002F207A"/>
    <w:rsid w:val="002F2247"/>
    <w:rsid w:val="002F29FA"/>
    <w:rsid w:val="002F2B4A"/>
    <w:rsid w:val="002F34D5"/>
    <w:rsid w:val="002F38F0"/>
    <w:rsid w:val="002F39F6"/>
    <w:rsid w:val="002F454B"/>
    <w:rsid w:val="002F4E30"/>
    <w:rsid w:val="002F51F1"/>
    <w:rsid w:val="002F5CDF"/>
    <w:rsid w:val="002F607C"/>
    <w:rsid w:val="002F76BF"/>
    <w:rsid w:val="002F79A6"/>
    <w:rsid w:val="002F7FBB"/>
    <w:rsid w:val="00301292"/>
    <w:rsid w:val="003012E0"/>
    <w:rsid w:val="0030195B"/>
    <w:rsid w:val="00301A61"/>
    <w:rsid w:val="00301AC6"/>
    <w:rsid w:val="00301EA7"/>
    <w:rsid w:val="003020BB"/>
    <w:rsid w:val="003024D2"/>
    <w:rsid w:val="0030253A"/>
    <w:rsid w:val="00302779"/>
    <w:rsid w:val="00302833"/>
    <w:rsid w:val="0030295F"/>
    <w:rsid w:val="00302A20"/>
    <w:rsid w:val="00302EEF"/>
    <w:rsid w:val="003031AF"/>
    <w:rsid w:val="00304238"/>
    <w:rsid w:val="00304460"/>
    <w:rsid w:val="003054C0"/>
    <w:rsid w:val="00305C53"/>
    <w:rsid w:val="00306DD9"/>
    <w:rsid w:val="0030774E"/>
    <w:rsid w:val="00310045"/>
    <w:rsid w:val="003102D7"/>
    <w:rsid w:val="00310EC5"/>
    <w:rsid w:val="0031111B"/>
    <w:rsid w:val="00311540"/>
    <w:rsid w:val="00311ADF"/>
    <w:rsid w:val="00311BD1"/>
    <w:rsid w:val="00311DC6"/>
    <w:rsid w:val="00312059"/>
    <w:rsid w:val="0031216F"/>
    <w:rsid w:val="00313053"/>
    <w:rsid w:val="003140EC"/>
    <w:rsid w:val="0031549C"/>
    <w:rsid w:val="00315766"/>
    <w:rsid w:val="00315896"/>
    <w:rsid w:val="00317276"/>
    <w:rsid w:val="003176C3"/>
    <w:rsid w:val="00317D85"/>
    <w:rsid w:val="00320A5A"/>
    <w:rsid w:val="0032199A"/>
    <w:rsid w:val="00324294"/>
    <w:rsid w:val="00324569"/>
    <w:rsid w:val="00324D99"/>
    <w:rsid w:val="00324EA4"/>
    <w:rsid w:val="00326E32"/>
    <w:rsid w:val="00326FFC"/>
    <w:rsid w:val="00327C5F"/>
    <w:rsid w:val="003301EA"/>
    <w:rsid w:val="003303C6"/>
    <w:rsid w:val="0033111A"/>
    <w:rsid w:val="003315DA"/>
    <w:rsid w:val="00331AAB"/>
    <w:rsid w:val="00331F67"/>
    <w:rsid w:val="003333F5"/>
    <w:rsid w:val="003338A6"/>
    <w:rsid w:val="00333A0D"/>
    <w:rsid w:val="003346B0"/>
    <w:rsid w:val="00334935"/>
    <w:rsid w:val="0033564B"/>
    <w:rsid w:val="00335D42"/>
    <w:rsid w:val="00336A99"/>
    <w:rsid w:val="00337DA7"/>
    <w:rsid w:val="00337FA1"/>
    <w:rsid w:val="00340072"/>
    <w:rsid w:val="00340B16"/>
    <w:rsid w:val="00341943"/>
    <w:rsid w:val="00341A89"/>
    <w:rsid w:val="00341AC8"/>
    <w:rsid w:val="00342013"/>
    <w:rsid w:val="003423EB"/>
    <w:rsid w:val="003426E3"/>
    <w:rsid w:val="00342CAB"/>
    <w:rsid w:val="0034328A"/>
    <w:rsid w:val="003438B6"/>
    <w:rsid w:val="00343CFD"/>
    <w:rsid w:val="003449F5"/>
    <w:rsid w:val="00344B4E"/>
    <w:rsid w:val="00345455"/>
    <w:rsid w:val="003459E5"/>
    <w:rsid w:val="00345C0E"/>
    <w:rsid w:val="00346043"/>
    <w:rsid w:val="003461B6"/>
    <w:rsid w:val="00347A09"/>
    <w:rsid w:val="00347E3D"/>
    <w:rsid w:val="00350588"/>
    <w:rsid w:val="0035273D"/>
    <w:rsid w:val="00352932"/>
    <w:rsid w:val="00352C67"/>
    <w:rsid w:val="00353491"/>
    <w:rsid w:val="00354896"/>
    <w:rsid w:val="00354B3D"/>
    <w:rsid w:val="00354C43"/>
    <w:rsid w:val="00355263"/>
    <w:rsid w:val="00356678"/>
    <w:rsid w:val="00356926"/>
    <w:rsid w:val="00356BBE"/>
    <w:rsid w:val="00356EBA"/>
    <w:rsid w:val="0035720B"/>
    <w:rsid w:val="00357A5D"/>
    <w:rsid w:val="00357E01"/>
    <w:rsid w:val="00357F53"/>
    <w:rsid w:val="00360004"/>
    <w:rsid w:val="0036104E"/>
    <w:rsid w:val="003612DA"/>
    <w:rsid w:val="003616B5"/>
    <w:rsid w:val="0036177C"/>
    <w:rsid w:val="003630E5"/>
    <w:rsid w:val="0036325A"/>
    <w:rsid w:val="003632D5"/>
    <w:rsid w:val="003635BD"/>
    <w:rsid w:val="00363BFA"/>
    <w:rsid w:val="0036418B"/>
    <w:rsid w:val="00364898"/>
    <w:rsid w:val="003649AD"/>
    <w:rsid w:val="0036571D"/>
    <w:rsid w:val="003659B8"/>
    <w:rsid w:val="003666A2"/>
    <w:rsid w:val="00367145"/>
    <w:rsid w:val="003671D6"/>
    <w:rsid w:val="00370AB3"/>
    <w:rsid w:val="003722E1"/>
    <w:rsid w:val="00373DCE"/>
    <w:rsid w:val="003742DC"/>
    <w:rsid w:val="003748E1"/>
    <w:rsid w:val="00374F31"/>
    <w:rsid w:val="00375291"/>
    <w:rsid w:val="003754F6"/>
    <w:rsid w:val="0037558E"/>
    <w:rsid w:val="00375F67"/>
    <w:rsid w:val="003767F5"/>
    <w:rsid w:val="003779F2"/>
    <w:rsid w:val="00377D26"/>
    <w:rsid w:val="00381C30"/>
    <w:rsid w:val="00382020"/>
    <w:rsid w:val="003823DB"/>
    <w:rsid w:val="003831FF"/>
    <w:rsid w:val="0038333A"/>
    <w:rsid w:val="00383CA4"/>
    <w:rsid w:val="00384CDE"/>
    <w:rsid w:val="003851D1"/>
    <w:rsid w:val="0038585B"/>
    <w:rsid w:val="00385CF9"/>
    <w:rsid w:val="00385F2F"/>
    <w:rsid w:val="00385F9E"/>
    <w:rsid w:val="00386B61"/>
    <w:rsid w:val="00386E7F"/>
    <w:rsid w:val="00387374"/>
    <w:rsid w:val="003900B1"/>
    <w:rsid w:val="00391D2E"/>
    <w:rsid w:val="00393190"/>
    <w:rsid w:val="0039338B"/>
    <w:rsid w:val="00393540"/>
    <w:rsid w:val="00393BA4"/>
    <w:rsid w:val="00393D19"/>
    <w:rsid w:val="00394970"/>
    <w:rsid w:val="003949DF"/>
    <w:rsid w:val="00394BDF"/>
    <w:rsid w:val="00394D45"/>
    <w:rsid w:val="0039514A"/>
    <w:rsid w:val="003958F4"/>
    <w:rsid w:val="00396552"/>
    <w:rsid w:val="0039656A"/>
    <w:rsid w:val="00397030"/>
    <w:rsid w:val="003970E1"/>
    <w:rsid w:val="003978B1"/>
    <w:rsid w:val="003A0956"/>
    <w:rsid w:val="003A0CA4"/>
    <w:rsid w:val="003A19AE"/>
    <w:rsid w:val="003A1CA8"/>
    <w:rsid w:val="003A1FAD"/>
    <w:rsid w:val="003A3D62"/>
    <w:rsid w:val="003A451D"/>
    <w:rsid w:val="003A47EF"/>
    <w:rsid w:val="003A6013"/>
    <w:rsid w:val="003A6485"/>
    <w:rsid w:val="003A7361"/>
    <w:rsid w:val="003A7533"/>
    <w:rsid w:val="003B0A0F"/>
    <w:rsid w:val="003B159E"/>
    <w:rsid w:val="003B2362"/>
    <w:rsid w:val="003B3018"/>
    <w:rsid w:val="003B3186"/>
    <w:rsid w:val="003B3A71"/>
    <w:rsid w:val="003B3B99"/>
    <w:rsid w:val="003B43A1"/>
    <w:rsid w:val="003B4A56"/>
    <w:rsid w:val="003B63E3"/>
    <w:rsid w:val="003B641C"/>
    <w:rsid w:val="003B653D"/>
    <w:rsid w:val="003B69B5"/>
    <w:rsid w:val="003B6FD1"/>
    <w:rsid w:val="003B700E"/>
    <w:rsid w:val="003B744F"/>
    <w:rsid w:val="003B7CDE"/>
    <w:rsid w:val="003C0221"/>
    <w:rsid w:val="003C03E7"/>
    <w:rsid w:val="003C0C42"/>
    <w:rsid w:val="003C1020"/>
    <w:rsid w:val="003C14B3"/>
    <w:rsid w:val="003C247D"/>
    <w:rsid w:val="003C33C8"/>
    <w:rsid w:val="003C36A6"/>
    <w:rsid w:val="003C396D"/>
    <w:rsid w:val="003C3A9E"/>
    <w:rsid w:val="003C4DFD"/>
    <w:rsid w:val="003C57D7"/>
    <w:rsid w:val="003C5F67"/>
    <w:rsid w:val="003D0224"/>
    <w:rsid w:val="003D1816"/>
    <w:rsid w:val="003D1F67"/>
    <w:rsid w:val="003D1FB0"/>
    <w:rsid w:val="003D2C26"/>
    <w:rsid w:val="003D2D81"/>
    <w:rsid w:val="003D2E03"/>
    <w:rsid w:val="003D334D"/>
    <w:rsid w:val="003D34D9"/>
    <w:rsid w:val="003D352A"/>
    <w:rsid w:val="003D36F8"/>
    <w:rsid w:val="003D3887"/>
    <w:rsid w:val="003D4CF0"/>
    <w:rsid w:val="003D5441"/>
    <w:rsid w:val="003D567A"/>
    <w:rsid w:val="003D5C41"/>
    <w:rsid w:val="003D60B5"/>
    <w:rsid w:val="003D63EF"/>
    <w:rsid w:val="003D6946"/>
    <w:rsid w:val="003D6CC8"/>
    <w:rsid w:val="003D7284"/>
    <w:rsid w:val="003D74D3"/>
    <w:rsid w:val="003D7C9B"/>
    <w:rsid w:val="003E0063"/>
    <w:rsid w:val="003E09C3"/>
    <w:rsid w:val="003E1692"/>
    <w:rsid w:val="003E1F59"/>
    <w:rsid w:val="003E2307"/>
    <w:rsid w:val="003E2666"/>
    <w:rsid w:val="003E2EF9"/>
    <w:rsid w:val="003E3C29"/>
    <w:rsid w:val="003E4A04"/>
    <w:rsid w:val="003E4B46"/>
    <w:rsid w:val="003E5393"/>
    <w:rsid w:val="003E67E2"/>
    <w:rsid w:val="003E7018"/>
    <w:rsid w:val="003E7B7C"/>
    <w:rsid w:val="003E7C6C"/>
    <w:rsid w:val="003F01D9"/>
    <w:rsid w:val="003F0501"/>
    <w:rsid w:val="003F0C8B"/>
    <w:rsid w:val="003F1BF2"/>
    <w:rsid w:val="003F1C78"/>
    <w:rsid w:val="003F212C"/>
    <w:rsid w:val="003F3BF2"/>
    <w:rsid w:val="003F6498"/>
    <w:rsid w:val="003F6EDF"/>
    <w:rsid w:val="003F7895"/>
    <w:rsid w:val="003F7947"/>
    <w:rsid w:val="003F79DB"/>
    <w:rsid w:val="00400472"/>
    <w:rsid w:val="00401205"/>
    <w:rsid w:val="0040140A"/>
    <w:rsid w:val="00401475"/>
    <w:rsid w:val="00401820"/>
    <w:rsid w:val="00401F30"/>
    <w:rsid w:val="00401FBE"/>
    <w:rsid w:val="004039A7"/>
    <w:rsid w:val="00403BBD"/>
    <w:rsid w:val="00403C10"/>
    <w:rsid w:val="00403F40"/>
    <w:rsid w:val="004041A7"/>
    <w:rsid w:val="00404294"/>
    <w:rsid w:val="0040479E"/>
    <w:rsid w:val="004051F3"/>
    <w:rsid w:val="004069B5"/>
    <w:rsid w:val="00406B6B"/>
    <w:rsid w:val="0040746F"/>
    <w:rsid w:val="00407D07"/>
    <w:rsid w:val="00407F17"/>
    <w:rsid w:val="00407F3B"/>
    <w:rsid w:val="00407FE8"/>
    <w:rsid w:val="004106D8"/>
    <w:rsid w:val="00410C94"/>
    <w:rsid w:val="00411280"/>
    <w:rsid w:val="00411CC4"/>
    <w:rsid w:val="0041208B"/>
    <w:rsid w:val="004123F7"/>
    <w:rsid w:val="004127AE"/>
    <w:rsid w:val="004128DC"/>
    <w:rsid w:val="00412B4E"/>
    <w:rsid w:val="00413D40"/>
    <w:rsid w:val="0041403B"/>
    <w:rsid w:val="00414169"/>
    <w:rsid w:val="004142CB"/>
    <w:rsid w:val="0041430F"/>
    <w:rsid w:val="004143D9"/>
    <w:rsid w:val="004147C7"/>
    <w:rsid w:val="00414865"/>
    <w:rsid w:val="00414E25"/>
    <w:rsid w:val="00414F45"/>
    <w:rsid w:val="0041738A"/>
    <w:rsid w:val="00420BD8"/>
    <w:rsid w:val="00421F8A"/>
    <w:rsid w:val="004220AF"/>
    <w:rsid w:val="00423265"/>
    <w:rsid w:val="00423E50"/>
    <w:rsid w:val="004247CA"/>
    <w:rsid w:val="00424C6C"/>
    <w:rsid w:val="00424CF2"/>
    <w:rsid w:val="00424D98"/>
    <w:rsid w:val="00426ACE"/>
    <w:rsid w:val="004275CA"/>
    <w:rsid w:val="004276F0"/>
    <w:rsid w:val="00430199"/>
    <w:rsid w:val="004301F8"/>
    <w:rsid w:val="0043084D"/>
    <w:rsid w:val="00430B18"/>
    <w:rsid w:val="0043117A"/>
    <w:rsid w:val="00433721"/>
    <w:rsid w:val="004339E9"/>
    <w:rsid w:val="00433A8A"/>
    <w:rsid w:val="0043435D"/>
    <w:rsid w:val="004346F4"/>
    <w:rsid w:val="00435216"/>
    <w:rsid w:val="004353EB"/>
    <w:rsid w:val="004356C2"/>
    <w:rsid w:val="00435CF4"/>
    <w:rsid w:val="004362A8"/>
    <w:rsid w:val="00436A12"/>
    <w:rsid w:val="00436E53"/>
    <w:rsid w:val="00436F97"/>
    <w:rsid w:val="004378E4"/>
    <w:rsid w:val="00440228"/>
    <w:rsid w:val="00440B6A"/>
    <w:rsid w:val="004418EA"/>
    <w:rsid w:val="00441E90"/>
    <w:rsid w:val="00442842"/>
    <w:rsid w:val="00442A4B"/>
    <w:rsid w:val="00442E7B"/>
    <w:rsid w:val="004436ED"/>
    <w:rsid w:val="00443DF3"/>
    <w:rsid w:val="0044479F"/>
    <w:rsid w:val="00444FD5"/>
    <w:rsid w:val="00445471"/>
    <w:rsid w:val="00445699"/>
    <w:rsid w:val="004457E1"/>
    <w:rsid w:val="0044604E"/>
    <w:rsid w:val="004463B7"/>
    <w:rsid w:val="00446B9F"/>
    <w:rsid w:val="004479DC"/>
    <w:rsid w:val="00450D2A"/>
    <w:rsid w:val="00452514"/>
    <w:rsid w:val="0045361E"/>
    <w:rsid w:val="00453ACF"/>
    <w:rsid w:val="00453C62"/>
    <w:rsid w:val="00453F46"/>
    <w:rsid w:val="004543C1"/>
    <w:rsid w:val="004548AC"/>
    <w:rsid w:val="00454EB6"/>
    <w:rsid w:val="00455964"/>
    <w:rsid w:val="004564AF"/>
    <w:rsid w:val="00456E54"/>
    <w:rsid w:val="004614E9"/>
    <w:rsid w:val="00461C12"/>
    <w:rsid w:val="00461E65"/>
    <w:rsid w:val="00462A67"/>
    <w:rsid w:val="00465EE2"/>
    <w:rsid w:val="004674C8"/>
    <w:rsid w:val="0046769C"/>
    <w:rsid w:val="00467C71"/>
    <w:rsid w:val="0047041C"/>
    <w:rsid w:val="00470CA9"/>
    <w:rsid w:val="004711D1"/>
    <w:rsid w:val="004716C3"/>
    <w:rsid w:val="00471C16"/>
    <w:rsid w:val="00472478"/>
    <w:rsid w:val="00472C32"/>
    <w:rsid w:val="00473035"/>
    <w:rsid w:val="004735FA"/>
    <w:rsid w:val="00473AA5"/>
    <w:rsid w:val="0047416F"/>
    <w:rsid w:val="0047423D"/>
    <w:rsid w:val="00474E9F"/>
    <w:rsid w:val="00475737"/>
    <w:rsid w:val="004762CF"/>
    <w:rsid w:val="0047680E"/>
    <w:rsid w:val="00476DE0"/>
    <w:rsid w:val="004771DE"/>
    <w:rsid w:val="004777BA"/>
    <w:rsid w:val="00477AC8"/>
    <w:rsid w:val="004805E2"/>
    <w:rsid w:val="0048067F"/>
    <w:rsid w:val="00480691"/>
    <w:rsid w:val="00480720"/>
    <w:rsid w:val="004810FD"/>
    <w:rsid w:val="00481681"/>
    <w:rsid w:val="004817C3"/>
    <w:rsid w:val="00481914"/>
    <w:rsid w:val="00481D20"/>
    <w:rsid w:val="00482364"/>
    <w:rsid w:val="00482CAE"/>
    <w:rsid w:val="004841F0"/>
    <w:rsid w:val="00484247"/>
    <w:rsid w:val="00485481"/>
    <w:rsid w:val="004854A3"/>
    <w:rsid w:val="00485C5F"/>
    <w:rsid w:val="00485DA8"/>
    <w:rsid w:val="00485F94"/>
    <w:rsid w:val="004860CC"/>
    <w:rsid w:val="0048625F"/>
    <w:rsid w:val="00491F32"/>
    <w:rsid w:val="00492240"/>
    <w:rsid w:val="00492481"/>
    <w:rsid w:val="00492B1C"/>
    <w:rsid w:val="00493EEA"/>
    <w:rsid w:val="0049610A"/>
    <w:rsid w:val="0049647A"/>
    <w:rsid w:val="0049752E"/>
    <w:rsid w:val="00497B42"/>
    <w:rsid w:val="00497D03"/>
    <w:rsid w:val="004A0014"/>
    <w:rsid w:val="004A1D19"/>
    <w:rsid w:val="004A2602"/>
    <w:rsid w:val="004A264C"/>
    <w:rsid w:val="004A2681"/>
    <w:rsid w:val="004A29C9"/>
    <w:rsid w:val="004A3001"/>
    <w:rsid w:val="004A394C"/>
    <w:rsid w:val="004A4B72"/>
    <w:rsid w:val="004A65BA"/>
    <w:rsid w:val="004A684D"/>
    <w:rsid w:val="004A687E"/>
    <w:rsid w:val="004A68B0"/>
    <w:rsid w:val="004A6B22"/>
    <w:rsid w:val="004A6C90"/>
    <w:rsid w:val="004A7074"/>
    <w:rsid w:val="004A70D2"/>
    <w:rsid w:val="004A7677"/>
    <w:rsid w:val="004B0003"/>
    <w:rsid w:val="004B16A3"/>
    <w:rsid w:val="004B1F23"/>
    <w:rsid w:val="004B21ED"/>
    <w:rsid w:val="004B24DB"/>
    <w:rsid w:val="004B2509"/>
    <w:rsid w:val="004B3545"/>
    <w:rsid w:val="004B4387"/>
    <w:rsid w:val="004B4FDD"/>
    <w:rsid w:val="004B5095"/>
    <w:rsid w:val="004B5281"/>
    <w:rsid w:val="004B5423"/>
    <w:rsid w:val="004B614A"/>
    <w:rsid w:val="004C00A0"/>
    <w:rsid w:val="004C01F9"/>
    <w:rsid w:val="004C028C"/>
    <w:rsid w:val="004C0E9E"/>
    <w:rsid w:val="004C17E2"/>
    <w:rsid w:val="004C243F"/>
    <w:rsid w:val="004C2766"/>
    <w:rsid w:val="004C285E"/>
    <w:rsid w:val="004C29E7"/>
    <w:rsid w:val="004C2DFD"/>
    <w:rsid w:val="004C33B1"/>
    <w:rsid w:val="004C3508"/>
    <w:rsid w:val="004C36D8"/>
    <w:rsid w:val="004C370D"/>
    <w:rsid w:val="004C3DF2"/>
    <w:rsid w:val="004C43A0"/>
    <w:rsid w:val="004C49C6"/>
    <w:rsid w:val="004C529E"/>
    <w:rsid w:val="004C5454"/>
    <w:rsid w:val="004C5F9B"/>
    <w:rsid w:val="004C65C3"/>
    <w:rsid w:val="004C743A"/>
    <w:rsid w:val="004C7ADF"/>
    <w:rsid w:val="004D07B3"/>
    <w:rsid w:val="004D109A"/>
    <w:rsid w:val="004D173F"/>
    <w:rsid w:val="004D1BE2"/>
    <w:rsid w:val="004D2347"/>
    <w:rsid w:val="004D2DD2"/>
    <w:rsid w:val="004D302D"/>
    <w:rsid w:val="004D36C7"/>
    <w:rsid w:val="004D381F"/>
    <w:rsid w:val="004D4703"/>
    <w:rsid w:val="004D5560"/>
    <w:rsid w:val="004D5C8A"/>
    <w:rsid w:val="004D5F07"/>
    <w:rsid w:val="004E013A"/>
    <w:rsid w:val="004E0744"/>
    <w:rsid w:val="004E2698"/>
    <w:rsid w:val="004E2CCD"/>
    <w:rsid w:val="004E2ED8"/>
    <w:rsid w:val="004E2F28"/>
    <w:rsid w:val="004E3191"/>
    <w:rsid w:val="004E3CCA"/>
    <w:rsid w:val="004E3E0A"/>
    <w:rsid w:val="004E3F68"/>
    <w:rsid w:val="004E44DF"/>
    <w:rsid w:val="004E5CDC"/>
    <w:rsid w:val="004E6116"/>
    <w:rsid w:val="004E6E28"/>
    <w:rsid w:val="004E70FB"/>
    <w:rsid w:val="004E76B0"/>
    <w:rsid w:val="004E7703"/>
    <w:rsid w:val="004E7C0F"/>
    <w:rsid w:val="004F10C1"/>
    <w:rsid w:val="004F1B38"/>
    <w:rsid w:val="004F426D"/>
    <w:rsid w:val="004F4B58"/>
    <w:rsid w:val="004F4D57"/>
    <w:rsid w:val="004F4E75"/>
    <w:rsid w:val="004F55BE"/>
    <w:rsid w:val="004F5667"/>
    <w:rsid w:val="004F56A4"/>
    <w:rsid w:val="004F69A8"/>
    <w:rsid w:val="004F6AC8"/>
    <w:rsid w:val="00501FA4"/>
    <w:rsid w:val="0050329A"/>
    <w:rsid w:val="00503888"/>
    <w:rsid w:val="00504034"/>
    <w:rsid w:val="00504C66"/>
    <w:rsid w:val="005051BC"/>
    <w:rsid w:val="005054A3"/>
    <w:rsid w:val="005064F5"/>
    <w:rsid w:val="005074A6"/>
    <w:rsid w:val="005077A2"/>
    <w:rsid w:val="0051030A"/>
    <w:rsid w:val="00511138"/>
    <w:rsid w:val="00512281"/>
    <w:rsid w:val="0051278D"/>
    <w:rsid w:val="0051287F"/>
    <w:rsid w:val="00512E7A"/>
    <w:rsid w:val="00514053"/>
    <w:rsid w:val="00515281"/>
    <w:rsid w:val="0051531C"/>
    <w:rsid w:val="00515E18"/>
    <w:rsid w:val="00516A9B"/>
    <w:rsid w:val="00516AD8"/>
    <w:rsid w:val="00517C19"/>
    <w:rsid w:val="005216BD"/>
    <w:rsid w:val="005223E0"/>
    <w:rsid w:val="005237D2"/>
    <w:rsid w:val="00523D11"/>
    <w:rsid w:val="0052479F"/>
    <w:rsid w:val="0052515D"/>
    <w:rsid w:val="005256DE"/>
    <w:rsid w:val="00525C12"/>
    <w:rsid w:val="00525E23"/>
    <w:rsid w:val="0052639E"/>
    <w:rsid w:val="005269F0"/>
    <w:rsid w:val="00526A41"/>
    <w:rsid w:val="00526FE9"/>
    <w:rsid w:val="00527564"/>
    <w:rsid w:val="0052779F"/>
    <w:rsid w:val="00527846"/>
    <w:rsid w:val="00527FC5"/>
    <w:rsid w:val="00530F0C"/>
    <w:rsid w:val="00531024"/>
    <w:rsid w:val="00531095"/>
    <w:rsid w:val="00531613"/>
    <w:rsid w:val="005316D5"/>
    <w:rsid w:val="00532710"/>
    <w:rsid w:val="00532D35"/>
    <w:rsid w:val="00532F00"/>
    <w:rsid w:val="005336FE"/>
    <w:rsid w:val="0053377B"/>
    <w:rsid w:val="005347E1"/>
    <w:rsid w:val="00534B10"/>
    <w:rsid w:val="00534BB4"/>
    <w:rsid w:val="00534D4F"/>
    <w:rsid w:val="0053578E"/>
    <w:rsid w:val="00537B27"/>
    <w:rsid w:val="00540541"/>
    <w:rsid w:val="00540DE5"/>
    <w:rsid w:val="005415C4"/>
    <w:rsid w:val="00541BE4"/>
    <w:rsid w:val="0054256B"/>
    <w:rsid w:val="00542654"/>
    <w:rsid w:val="00542CA7"/>
    <w:rsid w:val="0054363D"/>
    <w:rsid w:val="00543A67"/>
    <w:rsid w:val="005440DF"/>
    <w:rsid w:val="00544D38"/>
    <w:rsid w:val="00546155"/>
    <w:rsid w:val="00546E00"/>
    <w:rsid w:val="00547BF1"/>
    <w:rsid w:val="005502D7"/>
    <w:rsid w:val="00550C6C"/>
    <w:rsid w:val="00551C10"/>
    <w:rsid w:val="005524EC"/>
    <w:rsid w:val="00552820"/>
    <w:rsid w:val="00552BAD"/>
    <w:rsid w:val="00553B40"/>
    <w:rsid w:val="00553E42"/>
    <w:rsid w:val="00554816"/>
    <w:rsid w:val="00555350"/>
    <w:rsid w:val="00555C5E"/>
    <w:rsid w:val="00556379"/>
    <w:rsid w:val="005602C7"/>
    <w:rsid w:val="005616C6"/>
    <w:rsid w:val="00561CDB"/>
    <w:rsid w:val="005620E9"/>
    <w:rsid w:val="0056277A"/>
    <w:rsid w:val="00562D7C"/>
    <w:rsid w:val="00562FEF"/>
    <w:rsid w:val="00563F89"/>
    <w:rsid w:val="00564181"/>
    <w:rsid w:val="00564F98"/>
    <w:rsid w:val="00565325"/>
    <w:rsid w:val="0056745F"/>
    <w:rsid w:val="00571A9C"/>
    <w:rsid w:val="005721D4"/>
    <w:rsid w:val="005723E2"/>
    <w:rsid w:val="00572CC1"/>
    <w:rsid w:val="0057301C"/>
    <w:rsid w:val="005735E7"/>
    <w:rsid w:val="00573C79"/>
    <w:rsid w:val="005745F1"/>
    <w:rsid w:val="00574FCB"/>
    <w:rsid w:val="0057550E"/>
    <w:rsid w:val="0057579A"/>
    <w:rsid w:val="00575D7C"/>
    <w:rsid w:val="00577677"/>
    <w:rsid w:val="00580BC8"/>
    <w:rsid w:val="0058236E"/>
    <w:rsid w:val="0058284F"/>
    <w:rsid w:val="00582C71"/>
    <w:rsid w:val="005833AB"/>
    <w:rsid w:val="0058363C"/>
    <w:rsid w:val="00583B8D"/>
    <w:rsid w:val="005843BD"/>
    <w:rsid w:val="0058520F"/>
    <w:rsid w:val="005852D7"/>
    <w:rsid w:val="0058773E"/>
    <w:rsid w:val="00587788"/>
    <w:rsid w:val="00587D2B"/>
    <w:rsid w:val="005901FF"/>
    <w:rsid w:val="00590BF1"/>
    <w:rsid w:val="005918A7"/>
    <w:rsid w:val="005930AA"/>
    <w:rsid w:val="0059365B"/>
    <w:rsid w:val="0059380A"/>
    <w:rsid w:val="00593C9A"/>
    <w:rsid w:val="00593EC8"/>
    <w:rsid w:val="0059417A"/>
    <w:rsid w:val="00594E2D"/>
    <w:rsid w:val="005955FC"/>
    <w:rsid w:val="005959E1"/>
    <w:rsid w:val="00595B4A"/>
    <w:rsid w:val="0059621A"/>
    <w:rsid w:val="00596648"/>
    <w:rsid w:val="00596B96"/>
    <w:rsid w:val="00596D3F"/>
    <w:rsid w:val="00597333"/>
    <w:rsid w:val="00597618"/>
    <w:rsid w:val="005A03D0"/>
    <w:rsid w:val="005A0602"/>
    <w:rsid w:val="005A1B15"/>
    <w:rsid w:val="005A28C0"/>
    <w:rsid w:val="005A2CFD"/>
    <w:rsid w:val="005A313D"/>
    <w:rsid w:val="005A460D"/>
    <w:rsid w:val="005A4A22"/>
    <w:rsid w:val="005A4A58"/>
    <w:rsid w:val="005A6DC2"/>
    <w:rsid w:val="005A797A"/>
    <w:rsid w:val="005B0A83"/>
    <w:rsid w:val="005B18CF"/>
    <w:rsid w:val="005B1E06"/>
    <w:rsid w:val="005B219F"/>
    <w:rsid w:val="005B29F7"/>
    <w:rsid w:val="005B2D2A"/>
    <w:rsid w:val="005B4841"/>
    <w:rsid w:val="005B4DE6"/>
    <w:rsid w:val="005B5B1C"/>
    <w:rsid w:val="005B5BD2"/>
    <w:rsid w:val="005B6A74"/>
    <w:rsid w:val="005B6FCE"/>
    <w:rsid w:val="005B71F8"/>
    <w:rsid w:val="005B75AC"/>
    <w:rsid w:val="005B7ACA"/>
    <w:rsid w:val="005C0479"/>
    <w:rsid w:val="005C136C"/>
    <w:rsid w:val="005C21A7"/>
    <w:rsid w:val="005C2536"/>
    <w:rsid w:val="005C2549"/>
    <w:rsid w:val="005C2A28"/>
    <w:rsid w:val="005C2A42"/>
    <w:rsid w:val="005C2F19"/>
    <w:rsid w:val="005C3275"/>
    <w:rsid w:val="005C3B6A"/>
    <w:rsid w:val="005C4830"/>
    <w:rsid w:val="005C5411"/>
    <w:rsid w:val="005C54A8"/>
    <w:rsid w:val="005C56CC"/>
    <w:rsid w:val="005C7E18"/>
    <w:rsid w:val="005D0081"/>
    <w:rsid w:val="005D0B3D"/>
    <w:rsid w:val="005D1075"/>
    <w:rsid w:val="005D169C"/>
    <w:rsid w:val="005D18AF"/>
    <w:rsid w:val="005D18CC"/>
    <w:rsid w:val="005D1B78"/>
    <w:rsid w:val="005D2449"/>
    <w:rsid w:val="005D24A2"/>
    <w:rsid w:val="005D349A"/>
    <w:rsid w:val="005D39C9"/>
    <w:rsid w:val="005D3B7E"/>
    <w:rsid w:val="005D4223"/>
    <w:rsid w:val="005D4613"/>
    <w:rsid w:val="005D4B76"/>
    <w:rsid w:val="005D4E3E"/>
    <w:rsid w:val="005D51CC"/>
    <w:rsid w:val="005D5914"/>
    <w:rsid w:val="005D5B92"/>
    <w:rsid w:val="005D7BB1"/>
    <w:rsid w:val="005E000A"/>
    <w:rsid w:val="005E0126"/>
    <w:rsid w:val="005E07E3"/>
    <w:rsid w:val="005E0BD7"/>
    <w:rsid w:val="005E10DF"/>
    <w:rsid w:val="005E150A"/>
    <w:rsid w:val="005E201A"/>
    <w:rsid w:val="005E2C82"/>
    <w:rsid w:val="005E2D29"/>
    <w:rsid w:val="005E420D"/>
    <w:rsid w:val="005E42EE"/>
    <w:rsid w:val="005E4D4A"/>
    <w:rsid w:val="005E4FA6"/>
    <w:rsid w:val="005E508D"/>
    <w:rsid w:val="005E56DB"/>
    <w:rsid w:val="005E57A6"/>
    <w:rsid w:val="005E60C1"/>
    <w:rsid w:val="005E64FF"/>
    <w:rsid w:val="005F1563"/>
    <w:rsid w:val="005F3733"/>
    <w:rsid w:val="005F4BAB"/>
    <w:rsid w:val="005F5132"/>
    <w:rsid w:val="005F5DBA"/>
    <w:rsid w:val="005F5FD0"/>
    <w:rsid w:val="005F6251"/>
    <w:rsid w:val="00600148"/>
    <w:rsid w:val="006012F5"/>
    <w:rsid w:val="006013C1"/>
    <w:rsid w:val="006013CF"/>
    <w:rsid w:val="00601512"/>
    <w:rsid w:val="006015C4"/>
    <w:rsid w:val="00601865"/>
    <w:rsid w:val="00601DB9"/>
    <w:rsid w:val="00603D2C"/>
    <w:rsid w:val="0060408D"/>
    <w:rsid w:val="006045ED"/>
    <w:rsid w:val="0060645D"/>
    <w:rsid w:val="00606613"/>
    <w:rsid w:val="00606C36"/>
    <w:rsid w:val="00607DA4"/>
    <w:rsid w:val="00607FBC"/>
    <w:rsid w:val="00610507"/>
    <w:rsid w:val="00610D83"/>
    <w:rsid w:val="00610E82"/>
    <w:rsid w:val="006118B8"/>
    <w:rsid w:val="006128D2"/>
    <w:rsid w:val="00613485"/>
    <w:rsid w:val="006135AF"/>
    <w:rsid w:val="00613951"/>
    <w:rsid w:val="00614412"/>
    <w:rsid w:val="00614F3B"/>
    <w:rsid w:val="006155CB"/>
    <w:rsid w:val="00615F71"/>
    <w:rsid w:val="00617BA8"/>
    <w:rsid w:val="00620FD3"/>
    <w:rsid w:val="0062116F"/>
    <w:rsid w:val="00621529"/>
    <w:rsid w:val="006215E6"/>
    <w:rsid w:val="006220C0"/>
    <w:rsid w:val="006230DA"/>
    <w:rsid w:val="00623B13"/>
    <w:rsid w:val="00623CB4"/>
    <w:rsid w:val="00623D4D"/>
    <w:rsid w:val="00623EB6"/>
    <w:rsid w:val="00624229"/>
    <w:rsid w:val="006246B0"/>
    <w:rsid w:val="00624A74"/>
    <w:rsid w:val="006258A0"/>
    <w:rsid w:val="006262BC"/>
    <w:rsid w:val="0062785A"/>
    <w:rsid w:val="00627BF9"/>
    <w:rsid w:val="006307A0"/>
    <w:rsid w:val="006307F6"/>
    <w:rsid w:val="00630AD0"/>
    <w:rsid w:val="00631328"/>
    <w:rsid w:val="00631E25"/>
    <w:rsid w:val="00632811"/>
    <w:rsid w:val="0063363D"/>
    <w:rsid w:val="00633A3E"/>
    <w:rsid w:val="006345C9"/>
    <w:rsid w:val="00634D1C"/>
    <w:rsid w:val="00634D80"/>
    <w:rsid w:val="00635B0A"/>
    <w:rsid w:val="0063707D"/>
    <w:rsid w:val="006371BE"/>
    <w:rsid w:val="00637660"/>
    <w:rsid w:val="00637B3D"/>
    <w:rsid w:val="00637D67"/>
    <w:rsid w:val="00640045"/>
    <w:rsid w:val="006409F7"/>
    <w:rsid w:val="00640A7A"/>
    <w:rsid w:val="00641000"/>
    <w:rsid w:val="00641021"/>
    <w:rsid w:val="00641211"/>
    <w:rsid w:val="0064125E"/>
    <w:rsid w:val="0064256E"/>
    <w:rsid w:val="006427DC"/>
    <w:rsid w:val="00643B85"/>
    <w:rsid w:val="00644368"/>
    <w:rsid w:val="00645B47"/>
    <w:rsid w:val="00645CDD"/>
    <w:rsid w:val="00645CE6"/>
    <w:rsid w:val="0064771B"/>
    <w:rsid w:val="006506B2"/>
    <w:rsid w:val="00650D9B"/>
    <w:rsid w:val="0065132B"/>
    <w:rsid w:val="006522EE"/>
    <w:rsid w:val="006528DE"/>
    <w:rsid w:val="006535A0"/>
    <w:rsid w:val="006543AA"/>
    <w:rsid w:val="00654FD1"/>
    <w:rsid w:val="006566F6"/>
    <w:rsid w:val="006568D5"/>
    <w:rsid w:val="00656962"/>
    <w:rsid w:val="00660FA3"/>
    <w:rsid w:val="006616A9"/>
    <w:rsid w:val="00661D4C"/>
    <w:rsid w:val="00662089"/>
    <w:rsid w:val="00662091"/>
    <w:rsid w:val="0066235E"/>
    <w:rsid w:val="00662CC8"/>
    <w:rsid w:val="006634C5"/>
    <w:rsid w:val="006636C7"/>
    <w:rsid w:val="00663747"/>
    <w:rsid w:val="00663CF6"/>
    <w:rsid w:val="00663F0C"/>
    <w:rsid w:val="0066492A"/>
    <w:rsid w:val="006650A7"/>
    <w:rsid w:val="006659AB"/>
    <w:rsid w:val="006668BD"/>
    <w:rsid w:val="00671283"/>
    <w:rsid w:val="00672020"/>
    <w:rsid w:val="006724E9"/>
    <w:rsid w:val="0067277F"/>
    <w:rsid w:val="00672D04"/>
    <w:rsid w:val="00673430"/>
    <w:rsid w:val="0067380F"/>
    <w:rsid w:val="0067442D"/>
    <w:rsid w:val="00675195"/>
    <w:rsid w:val="006752F1"/>
    <w:rsid w:val="006755EA"/>
    <w:rsid w:val="00675D59"/>
    <w:rsid w:val="00676D95"/>
    <w:rsid w:val="0067702A"/>
    <w:rsid w:val="00680797"/>
    <w:rsid w:val="006807E9"/>
    <w:rsid w:val="006810DE"/>
    <w:rsid w:val="00681232"/>
    <w:rsid w:val="006815AF"/>
    <w:rsid w:val="00681827"/>
    <w:rsid w:val="00681AF0"/>
    <w:rsid w:val="00682276"/>
    <w:rsid w:val="00682BA7"/>
    <w:rsid w:val="00683EB0"/>
    <w:rsid w:val="00684F10"/>
    <w:rsid w:val="00685729"/>
    <w:rsid w:val="00685731"/>
    <w:rsid w:val="00685B9C"/>
    <w:rsid w:val="00686114"/>
    <w:rsid w:val="00687839"/>
    <w:rsid w:val="00690A16"/>
    <w:rsid w:val="00691454"/>
    <w:rsid w:val="00691B10"/>
    <w:rsid w:val="00691D24"/>
    <w:rsid w:val="00692538"/>
    <w:rsid w:val="006933AB"/>
    <w:rsid w:val="00693BE7"/>
    <w:rsid w:val="00695356"/>
    <w:rsid w:val="00695854"/>
    <w:rsid w:val="00695B17"/>
    <w:rsid w:val="00695E1B"/>
    <w:rsid w:val="00695E52"/>
    <w:rsid w:val="006974F2"/>
    <w:rsid w:val="0069750E"/>
    <w:rsid w:val="0069765D"/>
    <w:rsid w:val="006976BF"/>
    <w:rsid w:val="00697B71"/>
    <w:rsid w:val="006A012C"/>
    <w:rsid w:val="006A0572"/>
    <w:rsid w:val="006A1524"/>
    <w:rsid w:val="006A1921"/>
    <w:rsid w:val="006A1CBA"/>
    <w:rsid w:val="006A23ED"/>
    <w:rsid w:val="006A2DD8"/>
    <w:rsid w:val="006A36D9"/>
    <w:rsid w:val="006A4485"/>
    <w:rsid w:val="006A4A5A"/>
    <w:rsid w:val="006A5AAF"/>
    <w:rsid w:val="006A6819"/>
    <w:rsid w:val="006B0357"/>
    <w:rsid w:val="006B0A40"/>
    <w:rsid w:val="006B0C1E"/>
    <w:rsid w:val="006B31AC"/>
    <w:rsid w:val="006B4B2F"/>
    <w:rsid w:val="006B51CA"/>
    <w:rsid w:val="006B5E25"/>
    <w:rsid w:val="006B63A9"/>
    <w:rsid w:val="006B684A"/>
    <w:rsid w:val="006B69AC"/>
    <w:rsid w:val="006B6EE9"/>
    <w:rsid w:val="006B6F2C"/>
    <w:rsid w:val="006B731B"/>
    <w:rsid w:val="006B75D1"/>
    <w:rsid w:val="006B7DC0"/>
    <w:rsid w:val="006C041C"/>
    <w:rsid w:val="006C052A"/>
    <w:rsid w:val="006C07AF"/>
    <w:rsid w:val="006C16DC"/>
    <w:rsid w:val="006C1B32"/>
    <w:rsid w:val="006C2107"/>
    <w:rsid w:val="006C23BD"/>
    <w:rsid w:val="006C24F4"/>
    <w:rsid w:val="006C250F"/>
    <w:rsid w:val="006C3B6B"/>
    <w:rsid w:val="006C43BD"/>
    <w:rsid w:val="006C508D"/>
    <w:rsid w:val="006C515F"/>
    <w:rsid w:val="006C5467"/>
    <w:rsid w:val="006C57B5"/>
    <w:rsid w:val="006C58BB"/>
    <w:rsid w:val="006C5EC2"/>
    <w:rsid w:val="006C6327"/>
    <w:rsid w:val="006C7028"/>
    <w:rsid w:val="006C75B4"/>
    <w:rsid w:val="006D051C"/>
    <w:rsid w:val="006D0971"/>
    <w:rsid w:val="006D1BB1"/>
    <w:rsid w:val="006D2040"/>
    <w:rsid w:val="006D216E"/>
    <w:rsid w:val="006D2DC1"/>
    <w:rsid w:val="006D55E9"/>
    <w:rsid w:val="006D5880"/>
    <w:rsid w:val="006D5BF3"/>
    <w:rsid w:val="006D673E"/>
    <w:rsid w:val="006D7ADE"/>
    <w:rsid w:val="006D7BD1"/>
    <w:rsid w:val="006E0800"/>
    <w:rsid w:val="006E0E50"/>
    <w:rsid w:val="006E1D4C"/>
    <w:rsid w:val="006E1DD1"/>
    <w:rsid w:val="006E227B"/>
    <w:rsid w:val="006E3821"/>
    <w:rsid w:val="006E3A1D"/>
    <w:rsid w:val="006E40BB"/>
    <w:rsid w:val="006E4103"/>
    <w:rsid w:val="006E4800"/>
    <w:rsid w:val="006E4A4B"/>
    <w:rsid w:val="006E56D0"/>
    <w:rsid w:val="006E6650"/>
    <w:rsid w:val="006E7848"/>
    <w:rsid w:val="006F017C"/>
    <w:rsid w:val="006F07B4"/>
    <w:rsid w:val="006F0B63"/>
    <w:rsid w:val="006F13C1"/>
    <w:rsid w:val="006F2990"/>
    <w:rsid w:val="006F3674"/>
    <w:rsid w:val="006F3F1E"/>
    <w:rsid w:val="006F4582"/>
    <w:rsid w:val="006F48C8"/>
    <w:rsid w:val="006F4E7C"/>
    <w:rsid w:val="006F50B4"/>
    <w:rsid w:val="006F51A4"/>
    <w:rsid w:val="006F55C4"/>
    <w:rsid w:val="006F59A1"/>
    <w:rsid w:val="006F5D75"/>
    <w:rsid w:val="006F5FDD"/>
    <w:rsid w:val="006F70F7"/>
    <w:rsid w:val="006F715C"/>
    <w:rsid w:val="006F78A2"/>
    <w:rsid w:val="00700106"/>
    <w:rsid w:val="0070021C"/>
    <w:rsid w:val="007002EF"/>
    <w:rsid w:val="007007EE"/>
    <w:rsid w:val="00700926"/>
    <w:rsid w:val="00701275"/>
    <w:rsid w:val="0070176F"/>
    <w:rsid w:val="007020C9"/>
    <w:rsid w:val="00702E4A"/>
    <w:rsid w:val="00703866"/>
    <w:rsid w:val="00703B1E"/>
    <w:rsid w:val="00703E60"/>
    <w:rsid w:val="00703E80"/>
    <w:rsid w:val="00704CDC"/>
    <w:rsid w:val="00705425"/>
    <w:rsid w:val="00705AD8"/>
    <w:rsid w:val="007062B9"/>
    <w:rsid w:val="00706527"/>
    <w:rsid w:val="00706A5B"/>
    <w:rsid w:val="00707999"/>
    <w:rsid w:val="00707A53"/>
    <w:rsid w:val="00707B7C"/>
    <w:rsid w:val="00710450"/>
    <w:rsid w:val="007106A7"/>
    <w:rsid w:val="0071142F"/>
    <w:rsid w:val="007114BC"/>
    <w:rsid w:val="00711DB9"/>
    <w:rsid w:val="00711E60"/>
    <w:rsid w:val="00712653"/>
    <w:rsid w:val="00712D22"/>
    <w:rsid w:val="0071348E"/>
    <w:rsid w:val="007135DF"/>
    <w:rsid w:val="00715AAD"/>
    <w:rsid w:val="00715E1E"/>
    <w:rsid w:val="00716B23"/>
    <w:rsid w:val="007176E0"/>
    <w:rsid w:val="00720016"/>
    <w:rsid w:val="00720670"/>
    <w:rsid w:val="007206C3"/>
    <w:rsid w:val="00720CEE"/>
    <w:rsid w:val="00721018"/>
    <w:rsid w:val="00721208"/>
    <w:rsid w:val="00721406"/>
    <w:rsid w:val="00721EDA"/>
    <w:rsid w:val="00721F92"/>
    <w:rsid w:val="007223AE"/>
    <w:rsid w:val="00722653"/>
    <w:rsid w:val="00722F14"/>
    <w:rsid w:val="00723BEA"/>
    <w:rsid w:val="00723C3C"/>
    <w:rsid w:val="00724051"/>
    <w:rsid w:val="00724713"/>
    <w:rsid w:val="00724895"/>
    <w:rsid w:val="00724A71"/>
    <w:rsid w:val="00724E50"/>
    <w:rsid w:val="007251BC"/>
    <w:rsid w:val="007252C8"/>
    <w:rsid w:val="007253CD"/>
    <w:rsid w:val="00725B87"/>
    <w:rsid w:val="0072656B"/>
    <w:rsid w:val="00726FB3"/>
    <w:rsid w:val="00727AD7"/>
    <w:rsid w:val="0073164F"/>
    <w:rsid w:val="00732353"/>
    <w:rsid w:val="007326F7"/>
    <w:rsid w:val="007334D5"/>
    <w:rsid w:val="00733736"/>
    <w:rsid w:val="00733E6B"/>
    <w:rsid w:val="007341B4"/>
    <w:rsid w:val="00734D58"/>
    <w:rsid w:val="007356B2"/>
    <w:rsid w:val="007361CA"/>
    <w:rsid w:val="00737BF9"/>
    <w:rsid w:val="00737CB6"/>
    <w:rsid w:val="00737D7D"/>
    <w:rsid w:val="00740C70"/>
    <w:rsid w:val="00740CB6"/>
    <w:rsid w:val="00740F03"/>
    <w:rsid w:val="00741DA8"/>
    <w:rsid w:val="00741E03"/>
    <w:rsid w:val="007420FB"/>
    <w:rsid w:val="007422BF"/>
    <w:rsid w:val="0074272A"/>
    <w:rsid w:val="00742FD2"/>
    <w:rsid w:val="00743445"/>
    <w:rsid w:val="00743514"/>
    <w:rsid w:val="00744142"/>
    <w:rsid w:val="007444A9"/>
    <w:rsid w:val="0074538F"/>
    <w:rsid w:val="007458C3"/>
    <w:rsid w:val="00745C86"/>
    <w:rsid w:val="007463D5"/>
    <w:rsid w:val="007466BF"/>
    <w:rsid w:val="00747AC9"/>
    <w:rsid w:val="00747C92"/>
    <w:rsid w:val="00747FC8"/>
    <w:rsid w:val="00750725"/>
    <w:rsid w:val="007507C0"/>
    <w:rsid w:val="007507EF"/>
    <w:rsid w:val="00750809"/>
    <w:rsid w:val="00750E4E"/>
    <w:rsid w:val="0075142C"/>
    <w:rsid w:val="007515BC"/>
    <w:rsid w:val="00751AB1"/>
    <w:rsid w:val="007531C4"/>
    <w:rsid w:val="00753289"/>
    <w:rsid w:val="00753C43"/>
    <w:rsid w:val="007546AC"/>
    <w:rsid w:val="007552D4"/>
    <w:rsid w:val="0075565C"/>
    <w:rsid w:val="00755977"/>
    <w:rsid w:val="00755988"/>
    <w:rsid w:val="00756CC8"/>
    <w:rsid w:val="0075742B"/>
    <w:rsid w:val="00757706"/>
    <w:rsid w:val="00757D27"/>
    <w:rsid w:val="00760288"/>
    <w:rsid w:val="0076037A"/>
    <w:rsid w:val="00760A22"/>
    <w:rsid w:val="00760BD9"/>
    <w:rsid w:val="00762666"/>
    <w:rsid w:val="00762925"/>
    <w:rsid w:val="00762A97"/>
    <w:rsid w:val="00763B5E"/>
    <w:rsid w:val="00763E97"/>
    <w:rsid w:val="00764476"/>
    <w:rsid w:val="00764E4B"/>
    <w:rsid w:val="00765169"/>
    <w:rsid w:val="00765592"/>
    <w:rsid w:val="00766018"/>
    <w:rsid w:val="0076723D"/>
    <w:rsid w:val="00770268"/>
    <w:rsid w:val="007705BF"/>
    <w:rsid w:val="007709A1"/>
    <w:rsid w:val="0077183C"/>
    <w:rsid w:val="00772FF3"/>
    <w:rsid w:val="0077375F"/>
    <w:rsid w:val="00774986"/>
    <w:rsid w:val="0077664B"/>
    <w:rsid w:val="007779FA"/>
    <w:rsid w:val="00780EC2"/>
    <w:rsid w:val="00780FEE"/>
    <w:rsid w:val="00781749"/>
    <w:rsid w:val="00781EC9"/>
    <w:rsid w:val="00781ED5"/>
    <w:rsid w:val="00781F1F"/>
    <w:rsid w:val="00781FAB"/>
    <w:rsid w:val="00782164"/>
    <w:rsid w:val="007840EC"/>
    <w:rsid w:val="00784133"/>
    <w:rsid w:val="00784277"/>
    <w:rsid w:val="00784E39"/>
    <w:rsid w:val="007864CE"/>
    <w:rsid w:val="00786866"/>
    <w:rsid w:val="00786A68"/>
    <w:rsid w:val="007902C8"/>
    <w:rsid w:val="00790C47"/>
    <w:rsid w:val="00790C8D"/>
    <w:rsid w:val="00791A36"/>
    <w:rsid w:val="00792157"/>
    <w:rsid w:val="007932FB"/>
    <w:rsid w:val="00793493"/>
    <w:rsid w:val="007947DF"/>
    <w:rsid w:val="00794D44"/>
    <w:rsid w:val="00795858"/>
    <w:rsid w:val="00795F13"/>
    <w:rsid w:val="007963B0"/>
    <w:rsid w:val="00796758"/>
    <w:rsid w:val="007968BF"/>
    <w:rsid w:val="00796FB0"/>
    <w:rsid w:val="00797289"/>
    <w:rsid w:val="0079736C"/>
    <w:rsid w:val="00797944"/>
    <w:rsid w:val="007A0387"/>
    <w:rsid w:val="007A039D"/>
    <w:rsid w:val="007A087D"/>
    <w:rsid w:val="007A09EC"/>
    <w:rsid w:val="007A3E38"/>
    <w:rsid w:val="007A3F3C"/>
    <w:rsid w:val="007A4B90"/>
    <w:rsid w:val="007A640A"/>
    <w:rsid w:val="007A6652"/>
    <w:rsid w:val="007A7894"/>
    <w:rsid w:val="007B0A0B"/>
    <w:rsid w:val="007B1040"/>
    <w:rsid w:val="007B1FAB"/>
    <w:rsid w:val="007B2285"/>
    <w:rsid w:val="007B3273"/>
    <w:rsid w:val="007B3C53"/>
    <w:rsid w:val="007B3F60"/>
    <w:rsid w:val="007B4622"/>
    <w:rsid w:val="007B55A6"/>
    <w:rsid w:val="007B58C7"/>
    <w:rsid w:val="007B59EC"/>
    <w:rsid w:val="007B72EC"/>
    <w:rsid w:val="007C03D0"/>
    <w:rsid w:val="007C045E"/>
    <w:rsid w:val="007C0E91"/>
    <w:rsid w:val="007C105E"/>
    <w:rsid w:val="007C1244"/>
    <w:rsid w:val="007C17A1"/>
    <w:rsid w:val="007C203E"/>
    <w:rsid w:val="007C2683"/>
    <w:rsid w:val="007C2936"/>
    <w:rsid w:val="007C30A7"/>
    <w:rsid w:val="007C464E"/>
    <w:rsid w:val="007C5240"/>
    <w:rsid w:val="007C570E"/>
    <w:rsid w:val="007C5E88"/>
    <w:rsid w:val="007C6183"/>
    <w:rsid w:val="007C6531"/>
    <w:rsid w:val="007C6E1B"/>
    <w:rsid w:val="007C7B36"/>
    <w:rsid w:val="007C7FA4"/>
    <w:rsid w:val="007D0375"/>
    <w:rsid w:val="007D06BC"/>
    <w:rsid w:val="007D13DC"/>
    <w:rsid w:val="007D204B"/>
    <w:rsid w:val="007D265D"/>
    <w:rsid w:val="007D2788"/>
    <w:rsid w:val="007D2B5A"/>
    <w:rsid w:val="007D2EED"/>
    <w:rsid w:val="007D33A1"/>
    <w:rsid w:val="007D377C"/>
    <w:rsid w:val="007D3F4D"/>
    <w:rsid w:val="007D54AF"/>
    <w:rsid w:val="007D5517"/>
    <w:rsid w:val="007D5959"/>
    <w:rsid w:val="007D5A6D"/>
    <w:rsid w:val="007D6042"/>
    <w:rsid w:val="007D63A1"/>
    <w:rsid w:val="007D6B8C"/>
    <w:rsid w:val="007E058C"/>
    <w:rsid w:val="007E07B6"/>
    <w:rsid w:val="007E0B93"/>
    <w:rsid w:val="007E1186"/>
    <w:rsid w:val="007E1214"/>
    <w:rsid w:val="007E16EE"/>
    <w:rsid w:val="007E193E"/>
    <w:rsid w:val="007E241B"/>
    <w:rsid w:val="007E2990"/>
    <w:rsid w:val="007E42F6"/>
    <w:rsid w:val="007E4A05"/>
    <w:rsid w:val="007E54E4"/>
    <w:rsid w:val="007E5EE4"/>
    <w:rsid w:val="007E61D0"/>
    <w:rsid w:val="007E68C9"/>
    <w:rsid w:val="007E7F66"/>
    <w:rsid w:val="007F0749"/>
    <w:rsid w:val="007F0C7A"/>
    <w:rsid w:val="007F15D1"/>
    <w:rsid w:val="007F3015"/>
    <w:rsid w:val="007F31EF"/>
    <w:rsid w:val="007F43B5"/>
    <w:rsid w:val="007F4486"/>
    <w:rsid w:val="007F44A9"/>
    <w:rsid w:val="007F5D5C"/>
    <w:rsid w:val="007F61E0"/>
    <w:rsid w:val="007F6A71"/>
    <w:rsid w:val="007F6F4C"/>
    <w:rsid w:val="007F7409"/>
    <w:rsid w:val="008007A1"/>
    <w:rsid w:val="008007A4"/>
    <w:rsid w:val="0080086F"/>
    <w:rsid w:val="008014A0"/>
    <w:rsid w:val="00801B02"/>
    <w:rsid w:val="00802C10"/>
    <w:rsid w:val="00802FD8"/>
    <w:rsid w:val="00803131"/>
    <w:rsid w:val="00803331"/>
    <w:rsid w:val="00803941"/>
    <w:rsid w:val="00803AFE"/>
    <w:rsid w:val="00803EFF"/>
    <w:rsid w:val="00804BA8"/>
    <w:rsid w:val="00804BB0"/>
    <w:rsid w:val="00804DA6"/>
    <w:rsid w:val="00805479"/>
    <w:rsid w:val="00805668"/>
    <w:rsid w:val="008057FE"/>
    <w:rsid w:val="0080626B"/>
    <w:rsid w:val="00806DAC"/>
    <w:rsid w:val="008070ED"/>
    <w:rsid w:val="008071DE"/>
    <w:rsid w:val="0080762C"/>
    <w:rsid w:val="008078AA"/>
    <w:rsid w:val="0081005E"/>
    <w:rsid w:val="0081103D"/>
    <w:rsid w:val="0081168A"/>
    <w:rsid w:val="008129EC"/>
    <w:rsid w:val="00812A15"/>
    <w:rsid w:val="008130E5"/>
    <w:rsid w:val="00813257"/>
    <w:rsid w:val="008133AC"/>
    <w:rsid w:val="008136B5"/>
    <w:rsid w:val="00813893"/>
    <w:rsid w:val="00814211"/>
    <w:rsid w:val="00814526"/>
    <w:rsid w:val="008169A3"/>
    <w:rsid w:val="00816E63"/>
    <w:rsid w:val="008170A5"/>
    <w:rsid w:val="00817A14"/>
    <w:rsid w:val="00817BFE"/>
    <w:rsid w:val="00817DB6"/>
    <w:rsid w:val="00817F2A"/>
    <w:rsid w:val="0082035B"/>
    <w:rsid w:val="00820689"/>
    <w:rsid w:val="00820A50"/>
    <w:rsid w:val="0082158C"/>
    <w:rsid w:val="008219F3"/>
    <w:rsid w:val="008220A0"/>
    <w:rsid w:val="008221C3"/>
    <w:rsid w:val="00822A2A"/>
    <w:rsid w:val="00823137"/>
    <w:rsid w:val="00823145"/>
    <w:rsid w:val="00823157"/>
    <w:rsid w:val="008232FA"/>
    <w:rsid w:val="008236EB"/>
    <w:rsid w:val="00823AFA"/>
    <w:rsid w:val="00824832"/>
    <w:rsid w:val="008256FE"/>
    <w:rsid w:val="0082606F"/>
    <w:rsid w:val="008268CF"/>
    <w:rsid w:val="00827123"/>
    <w:rsid w:val="0082775C"/>
    <w:rsid w:val="00827AC4"/>
    <w:rsid w:val="00830772"/>
    <w:rsid w:val="00831C53"/>
    <w:rsid w:val="00831E79"/>
    <w:rsid w:val="00832387"/>
    <w:rsid w:val="008337B1"/>
    <w:rsid w:val="00833ABA"/>
    <w:rsid w:val="00834DF5"/>
    <w:rsid w:val="00835591"/>
    <w:rsid w:val="00835648"/>
    <w:rsid w:val="008358F5"/>
    <w:rsid w:val="008359BA"/>
    <w:rsid w:val="00835CD2"/>
    <w:rsid w:val="00835DC0"/>
    <w:rsid w:val="00836A50"/>
    <w:rsid w:val="00840D07"/>
    <w:rsid w:val="00840EAE"/>
    <w:rsid w:val="00841AEC"/>
    <w:rsid w:val="00841D87"/>
    <w:rsid w:val="0084216C"/>
    <w:rsid w:val="008422DA"/>
    <w:rsid w:val="00843667"/>
    <w:rsid w:val="00843863"/>
    <w:rsid w:val="008442ED"/>
    <w:rsid w:val="00844356"/>
    <w:rsid w:val="008445E9"/>
    <w:rsid w:val="008445EE"/>
    <w:rsid w:val="00844DE2"/>
    <w:rsid w:val="00845759"/>
    <w:rsid w:val="0084640F"/>
    <w:rsid w:val="00846806"/>
    <w:rsid w:val="008473DD"/>
    <w:rsid w:val="0084779F"/>
    <w:rsid w:val="008478BE"/>
    <w:rsid w:val="0085086E"/>
    <w:rsid w:val="00850F66"/>
    <w:rsid w:val="008510CA"/>
    <w:rsid w:val="00851164"/>
    <w:rsid w:val="00851495"/>
    <w:rsid w:val="00852218"/>
    <w:rsid w:val="008523D7"/>
    <w:rsid w:val="00852BE1"/>
    <w:rsid w:val="00852E69"/>
    <w:rsid w:val="00853AE8"/>
    <w:rsid w:val="00853F4E"/>
    <w:rsid w:val="0085509A"/>
    <w:rsid w:val="008550D0"/>
    <w:rsid w:val="00855159"/>
    <w:rsid w:val="008551E8"/>
    <w:rsid w:val="00856585"/>
    <w:rsid w:val="00856E0D"/>
    <w:rsid w:val="00856F71"/>
    <w:rsid w:val="008574F0"/>
    <w:rsid w:val="00860318"/>
    <w:rsid w:val="008607F9"/>
    <w:rsid w:val="0086093C"/>
    <w:rsid w:val="00861C6E"/>
    <w:rsid w:val="00861DEA"/>
    <w:rsid w:val="00863159"/>
    <w:rsid w:val="00863832"/>
    <w:rsid w:val="00863E37"/>
    <w:rsid w:val="008641B4"/>
    <w:rsid w:val="00864846"/>
    <w:rsid w:val="00865775"/>
    <w:rsid w:val="00865E7D"/>
    <w:rsid w:val="00866D53"/>
    <w:rsid w:val="00866E9B"/>
    <w:rsid w:val="00866EA6"/>
    <w:rsid w:val="00866F9D"/>
    <w:rsid w:val="00867533"/>
    <w:rsid w:val="00867F83"/>
    <w:rsid w:val="0087054B"/>
    <w:rsid w:val="00870597"/>
    <w:rsid w:val="0087064D"/>
    <w:rsid w:val="008709E8"/>
    <w:rsid w:val="00870D20"/>
    <w:rsid w:val="0087136A"/>
    <w:rsid w:val="00871D91"/>
    <w:rsid w:val="00872445"/>
    <w:rsid w:val="008742CD"/>
    <w:rsid w:val="00874961"/>
    <w:rsid w:val="00874CD6"/>
    <w:rsid w:val="00874D76"/>
    <w:rsid w:val="008759C9"/>
    <w:rsid w:val="00876A81"/>
    <w:rsid w:val="00876D50"/>
    <w:rsid w:val="00877082"/>
    <w:rsid w:val="0088027E"/>
    <w:rsid w:val="0088078D"/>
    <w:rsid w:val="0088166C"/>
    <w:rsid w:val="00881989"/>
    <w:rsid w:val="00881B91"/>
    <w:rsid w:val="00881D01"/>
    <w:rsid w:val="00881D38"/>
    <w:rsid w:val="00881D50"/>
    <w:rsid w:val="00881E83"/>
    <w:rsid w:val="00881E9F"/>
    <w:rsid w:val="008820C5"/>
    <w:rsid w:val="00883153"/>
    <w:rsid w:val="00886638"/>
    <w:rsid w:val="00887D1F"/>
    <w:rsid w:val="00887FB3"/>
    <w:rsid w:val="00891E1B"/>
    <w:rsid w:val="00893F3C"/>
    <w:rsid w:val="0089452C"/>
    <w:rsid w:val="0089488D"/>
    <w:rsid w:val="00894D60"/>
    <w:rsid w:val="00895895"/>
    <w:rsid w:val="00895AB6"/>
    <w:rsid w:val="008960D2"/>
    <w:rsid w:val="00896B11"/>
    <w:rsid w:val="0089732F"/>
    <w:rsid w:val="008A1901"/>
    <w:rsid w:val="008A2C4F"/>
    <w:rsid w:val="008A2ED0"/>
    <w:rsid w:val="008A2FF6"/>
    <w:rsid w:val="008A386F"/>
    <w:rsid w:val="008A3A65"/>
    <w:rsid w:val="008A3DB5"/>
    <w:rsid w:val="008A4170"/>
    <w:rsid w:val="008A4243"/>
    <w:rsid w:val="008A5357"/>
    <w:rsid w:val="008A6BA3"/>
    <w:rsid w:val="008A7A56"/>
    <w:rsid w:val="008A7B1C"/>
    <w:rsid w:val="008A7F6C"/>
    <w:rsid w:val="008B085D"/>
    <w:rsid w:val="008B15D5"/>
    <w:rsid w:val="008B1C61"/>
    <w:rsid w:val="008B2689"/>
    <w:rsid w:val="008B2E62"/>
    <w:rsid w:val="008B33E5"/>
    <w:rsid w:val="008B3E41"/>
    <w:rsid w:val="008B4B95"/>
    <w:rsid w:val="008B55B6"/>
    <w:rsid w:val="008B5FFA"/>
    <w:rsid w:val="008B66AD"/>
    <w:rsid w:val="008B6A13"/>
    <w:rsid w:val="008B6B24"/>
    <w:rsid w:val="008B6D4A"/>
    <w:rsid w:val="008B75B7"/>
    <w:rsid w:val="008B7817"/>
    <w:rsid w:val="008B7B17"/>
    <w:rsid w:val="008C0432"/>
    <w:rsid w:val="008C0DD0"/>
    <w:rsid w:val="008C0FF3"/>
    <w:rsid w:val="008C144F"/>
    <w:rsid w:val="008C153B"/>
    <w:rsid w:val="008C1F8A"/>
    <w:rsid w:val="008C278F"/>
    <w:rsid w:val="008C329B"/>
    <w:rsid w:val="008C4B54"/>
    <w:rsid w:val="008C4EF8"/>
    <w:rsid w:val="008C5762"/>
    <w:rsid w:val="008C5DB8"/>
    <w:rsid w:val="008C78DD"/>
    <w:rsid w:val="008C7A05"/>
    <w:rsid w:val="008D0BFC"/>
    <w:rsid w:val="008D1C2C"/>
    <w:rsid w:val="008D1EE2"/>
    <w:rsid w:val="008D205B"/>
    <w:rsid w:val="008D232D"/>
    <w:rsid w:val="008D25AB"/>
    <w:rsid w:val="008D2C0F"/>
    <w:rsid w:val="008D3010"/>
    <w:rsid w:val="008D46E1"/>
    <w:rsid w:val="008D5444"/>
    <w:rsid w:val="008D6022"/>
    <w:rsid w:val="008D6B50"/>
    <w:rsid w:val="008D6B53"/>
    <w:rsid w:val="008D728C"/>
    <w:rsid w:val="008E0102"/>
    <w:rsid w:val="008E0815"/>
    <w:rsid w:val="008E11EE"/>
    <w:rsid w:val="008E16BA"/>
    <w:rsid w:val="008E20CA"/>
    <w:rsid w:val="008E210D"/>
    <w:rsid w:val="008E347D"/>
    <w:rsid w:val="008E371E"/>
    <w:rsid w:val="008E429E"/>
    <w:rsid w:val="008E42FF"/>
    <w:rsid w:val="008E4852"/>
    <w:rsid w:val="008E48F1"/>
    <w:rsid w:val="008E535F"/>
    <w:rsid w:val="008E5A85"/>
    <w:rsid w:val="008E5B8F"/>
    <w:rsid w:val="008E5C21"/>
    <w:rsid w:val="008E5E8F"/>
    <w:rsid w:val="008E6D36"/>
    <w:rsid w:val="008E70A1"/>
    <w:rsid w:val="008E7FB4"/>
    <w:rsid w:val="008F0450"/>
    <w:rsid w:val="008F06BF"/>
    <w:rsid w:val="008F0E1B"/>
    <w:rsid w:val="008F0E4F"/>
    <w:rsid w:val="008F0F5B"/>
    <w:rsid w:val="008F1C34"/>
    <w:rsid w:val="008F327A"/>
    <w:rsid w:val="008F3328"/>
    <w:rsid w:val="008F5046"/>
    <w:rsid w:val="008F65D7"/>
    <w:rsid w:val="008F6AD6"/>
    <w:rsid w:val="008F7769"/>
    <w:rsid w:val="008F7FF4"/>
    <w:rsid w:val="009003DB"/>
    <w:rsid w:val="009005F2"/>
    <w:rsid w:val="00900EF0"/>
    <w:rsid w:val="00901910"/>
    <w:rsid w:val="00901A5D"/>
    <w:rsid w:val="00902322"/>
    <w:rsid w:val="00903323"/>
    <w:rsid w:val="00903D5F"/>
    <w:rsid w:val="009046F5"/>
    <w:rsid w:val="009059D3"/>
    <w:rsid w:val="00905B76"/>
    <w:rsid w:val="009100BB"/>
    <w:rsid w:val="00910A48"/>
    <w:rsid w:val="00912423"/>
    <w:rsid w:val="00912720"/>
    <w:rsid w:val="009127CE"/>
    <w:rsid w:val="00913750"/>
    <w:rsid w:val="009139D8"/>
    <w:rsid w:val="00913ABF"/>
    <w:rsid w:val="00915FEA"/>
    <w:rsid w:val="009160F0"/>
    <w:rsid w:val="00917D3B"/>
    <w:rsid w:val="00920525"/>
    <w:rsid w:val="009209B9"/>
    <w:rsid w:val="009216C3"/>
    <w:rsid w:val="00921C68"/>
    <w:rsid w:val="00921F3E"/>
    <w:rsid w:val="0092205D"/>
    <w:rsid w:val="009220F6"/>
    <w:rsid w:val="00922466"/>
    <w:rsid w:val="00922B5D"/>
    <w:rsid w:val="0092346D"/>
    <w:rsid w:val="009244B7"/>
    <w:rsid w:val="009249A1"/>
    <w:rsid w:val="009250ED"/>
    <w:rsid w:val="00925109"/>
    <w:rsid w:val="00925C05"/>
    <w:rsid w:val="00926058"/>
    <w:rsid w:val="00926426"/>
    <w:rsid w:val="0092685A"/>
    <w:rsid w:val="00926F50"/>
    <w:rsid w:val="009279E6"/>
    <w:rsid w:val="00930179"/>
    <w:rsid w:val="00930AE0"/>
    <w:rsid w:val="00930EAD"/>
    <w:rsid w:val="009313DF"/>
    <w:rsid w:val="00932FB0"/>
    <w:rsid w:val="009334B2"/>
    <w:rsid w:val="00933BEE"/>
    <w:rsid w:val="00934076"/>
    <w:rsid w:val="009349FD"/>
    <w:rsid w:val="009352B5"/>
    <w:rsid w:val="009364C3"/>
    <w:rsid w:val="00936BC9"/>
    <w:rsid w:val="00937E50"/>
    <w:rsid w:val="00937FEF"/>
    <w:rsid w:val="009409B7"/>
    <w:rsid w:val="0094173B"/>
    <w:rsid w:val="00942423"/>
    <w:rsid w:val="009424B0"/>
    <w:rsid w:val="009438DA"/>
    <w:rsid w:val="00944CDD"/>
    <w:rsid w:val="00945035"/>
    <w:rsid w:val="0094531B"/>
    <w:rsid w:val="00945DE6"/>
    <w:rsid w:val="00945F72"/>
    <w:rsid w:val="0095042B"/>
    <w:rsid w:val="0095073F"/>
    <w:rsid w:val="009509E1"/>
    <w:rsid w:val="0095194C"/>
    <w:rsid w:val="00951DE8"/>
    <w:rsid w:val="009527E4"/>
    <w:rsid w:val="00953FE3"/>
    <w:rsid w:val="009548FD"/>
    <w:rsid w:val="00954D3E"/>
    <w:rsid w:val="00955E98"/>
    <w:rsid w:val="00955FCD"/>
    <w:rsid w:val="009571CD"/>
    <w:rsid w:val="00957CC3"/>
    <w:rsid w:val="00957F68"/>
    <w:rsid w:val="00960137"/>
    <w:rsid w:val="0096030A"/>
    <w:rsid w:val="00960559"/>
    <w:rsid w:val="009612D7"/>
    <w:rsid w:val="00961CB1"/>
    <w:rsid w:val="00961CB4"/>
    <w:rsid w:val="00961D30"/>
    <w:rsid w:val="00961E02"/>
    <w:rsid w:val="00961F8C"/>
    <w:rsid w:val="00964018"/>
    <w:rsid w:val="009642D1"/>
    <w:rsid w:val="00964DBA"/>
    <w:rsid w:val="00965500"/>
    <w:rsid w:val="009662E2"/>
    <w:rsid w:val="009662F4"/>
    <w:rsid w:val="00966ACD"/>
    <w:rsid w:val="00966D46"/>
    <w:rsid w:val="00967C7D"/>
    <w:rsid w:val="00970B4E"/>
    <w:rsid w:val="00970B61"/>
    <w:rsid w:val="009711C2"/>
    <w:rsid w:val="00971EAD"/>
    <w:rsid w:val="00973216"/>
    <w:rsid w:val="0097369B"/>
    <w:rsid w:val="009738E5"/>
    <w:rsid w:val="009743CF"/>
    <w:rsid w:val="009746C1"/>
    <w:rsid w:val="0097508A"/>
    <w:rsid w:val="00975237"/>
    <w:rsid w:val="009754E5"/>
    <w:rsid w:val="0097560B"/>
    <w:rsid w:val="0097614F"/>
    <w:rsid w:val="0097615D"/>
    <w:rsid w:val="009763F0"/>
    <w:rsid w:val="00976446"/>
    <w:rsid w:val="0098018A"/>
    <w:rsid w:val="00980842"/>
    <w:rsid w:val="0098128D"/>
    <w:rsid w:val="00981D79"/>
    <w:rsid w:val="00982E26"/>
    <w:rsid w:val="0098452A"/>
    <w:rsid w:val="0098508E"/>
    <w:rsid w:val="00985B9B"/>
    <w:rsid w:val="00985EB2"/>
    <w:rsid w:val="009864EE"/>
    <w:rsid w:val="00986892"/>
    <w:rsid w:val="00986F15"/>
    <w:rsid w:val="0099008B"/>
    <w:rsid w:val="009900D5"/>
    <w:rsid w:val="00990CAC"/>
    <w:rsid w:val="00990D29"/>
    <w:rsid w:val="00990D52"/>
    <w:rsid w:val="00990FDF"/>
    <w:rsid w:val="009910C9"/>
    <w:rsid w:val="009913FE"/>
    <w:rsid w:val="009918A8"/>
    <w:rsid w:val="00991BAC"/>
    <w:rsid w:val="00991CF7"/>
    <w:rsid w:val="00991F87"/>
    <w:rsid w:val="009948D9"/>
    <w:rsid w:val="00994EFE"/>
    <w:rsid w:val="00995237"/>
    <w:rsid w:val="009953F1"/>
    <w:rsid w:val="00995DB0"/>
    <w:rsid w:val="00995DE9"/>
    <w:rsid w:val="00996215"/>
    <w:rsid w:val="00997C4E"/>
    <w:rsid w:val="00997D76"/>
    <w:rsid w:val="00997F70"/>
    <w:rsid w:val="009A08C4"/>
    <w:rsid w:val="009A17AB"/>
    <w:rsid w:val="009A1FFE"/>
    <w:rsid w:val="009A2FBA"/>
    <w:rsid w:val="009A3338"/>
    <w:rsid w:val="009A34F1"/>
    <w:rsid w:val="009A48FB"/>
    <w:rsid w:val="009A5F23"/>
    <w:rsid w:val="009A629D"/>
    <w:rsid w:val="009A67D2"/>
    <w:rsid w:val="009A68DC"/>
    <w:rsid w:val="009A6905"/>
    <w:rsid w:val="009B11BE"/>
    <w:rsid w:val="009B20AA"/>
    <w:rsid w:val="009B2581"/>
    <w:rsid w:val="009B2CEB"/>
    <w:rsid w:val="009B2F9B"/>
    <w:rsid w:val="009B3030"/>
    <w:rsid w:val="009B3CDC"/>
    <w:rsid w:val="009B4357"/>
    <w:rsid w:val="009B449D"/>
    <w:rsid w:val="009B464D"/>
    <w:rsid w:val="009B4B70"/>
    <w:rsid w:val="009B5B58"/>
    <w:rsid w:val="009B5C50"/>
    <w:rsid w:val="009B5F54"/>
    <w:rsid w:val="009B624F"/>
    <w:rsid w:val="009B6324"/>
    <w:rsid w:val="009B66B0"/>
    <w:rsid w:val="009B6C78"/>
    <w:rsid w:val="009B6E9E"/>
    <w:rsid w:val="009B6F11"/>
    <w:rsid w:val="009B7800"/>
    <w:rsid w:val="009C0BE8"/>
    <w:rsid w:val="009C1022"/>
    <w:rsid w:val="009C188A"/>
    <w:rsid w:val="009C1DE7"/>
    <w:rsid w:val="009C2ED0"/>
    <w:rsid w:val="009C326C"/>
    <w:rsid w:val="009C390D"/>
    <w:rsid w:val="009C3A3A"/>
    <w:rsid w:val="009C43B8"/>
    <w:rsid w:val="009C4E3F"/>
    <w:rsid w:val="009C63C4"/>
    <w:rsid w:val="009C6E5A"/>
    <w:rsid w:val="009C772C"/>
    <w:rsid w:val="009D0E79"/>
    <w:rsid w:val="009D2468"/>
    <w:rsid w:val="009D2E85"/>
    <w:rsid w:val="009D37F4"/>
    <w:rsid w:val="009D3DF0"/>
    <w:rsid w:val="009D429D"/>
    <w:rsid w:val="009D42CB"/>
    <w:rsid w:val="009D4633"/>
    <w:rsid w:val="009D6A83"/>
    <w:rsid w:val="009D6DC6"/>
    <w:rsid w:val="009D767E"/>
    <w:rsid w:val="009D77C8"/>
    <w:rsid w:val="009D7E98"/>
    <w:rsid w:val="009E0795"/>
    <w:rsid w:val="009E0998"/>
    <w:rsid w:val="009E0F67"/>
    <w:rsid w:val="009E122C"/>
    <w:rsid w:val="009E1244"/>
    <w:rsid w:val="009E13EF"/>
    <w:rsid w:val="009E1926"/>
    <w:rsid w:val="009E19C5"/>
    <w:rsid w:val="009E266F"/>
    <w:rsid w:val="009E307D"/>
    <w:rsid w:val="009E3C69"/>
    <w:rsid w:val="009E4963"/>
    <w:rsid w:val="009E5E18"/>
    <w:rsid w:val="009E68AC"/>
    <w:rsid w:val="009E7B38"/>
    <w:rsid w:val="009F06DB"/>
    <w:rsid w:val="009F0A62"/>
    <w:rsid w:val="009F1647"/>
    <w:rsid w:val="009F1896"/>
    <w:rsid w:val="009F317C"/>
    <w:rsid w:val="009F322C"/>
    <w:rsid w:val="009F340B"/>
    <w:rsid w:val="009F3632"/>
    <w:rsid w:val="009F4444"/>
    <w:rsid w:val="009F468E"/>
    <w:rsid w:val="009F4931"/>
    <w:rsid w:val="009F5276"/>
    <w:rsid w:val="009F548E"/>
    <w:rsid w:val="009F5E69"/>
    <w:rsid w:val="009F71F2"/>
    <w:rsid w:val="00A00561"/>
    <w:rsid w:val="00A00953"/>
    <w:rsid w:val="00A009DD"/>
    <w:rsid w:val="00A01026"/>
    <w:rsid w:val="00A015BC"/>
    <w:rsid w:val="00A01C97"/>
    <w:rsid w:val="00A02C17"/>
    <w:rsid w:val="00A02CAC"/>
    <w:rsid w:val="00A02CDB"/>
    <w:rsid w:val="00A02D61"/>
    <w:rsid w:val="00A03605"/>
    <w:rsid w:val="00A04329"/>
    <w:rsid w:val="00A043AC"/>
    <w:rsid w:val="00A0462E"/>
    <w:rsid w:val="00A04D51"/>
    <w:rsid w:val="00A06468"/>
    <w:rsid w:val="00A06B81"/>
    <w:rsid w:val="00A06D3E"/>
    <w:rsid w:val="00A10834"/>
    <w:rsid w:val="00A11808"/>
    <w:rsid w:val="00A11814"/>
    <w:rsid w:val="00A1212C"/>
    <w:rsid w:val="00A124EA"/>
    <w:rsid w:val="00A12A8C"/>
    <w:rsid w:val="00A12FE7"/>
    <w:rsid w:val="00A13EA9"/>
    <w:rsid w:val="00A143A8"/>
    <w:rsid w:val="00A14584"/>
    <w:rsid w:val="00A1459A"/>
    <w:rsid w:val="00A14E36"/>
    <w:rsid w:val="00A14F63"/>
    <w:rsid w:val="00A151BD"/>
    <w:rsid w:val="00A153B3"/>
    <w:rsid w:val="00A15D33"/>
    <w:rsid w:val="00A16DC0"/>
    <w:rsid w:val="00A17069"/>
    <w:rsid w:val="00A17C94"/>
    <w:rsid w:val="00A17D04"/>
    <w:rsid w:val="00A20E8C"/>
    <w:rsid w:val="00A21637"/>
    <w:rsid w:val="00A21920"/>
    <w:rsid w:val="00A229EA"/>
    <w:rsid w:val="00A232AC"/>
    <w:rsid w:val="00A23A45"/>
    <w:rsid w:val="00A245C5"/>
    <w:rsid w:val="00A246CE"/>
    <w:rsid w:val="00A25104"/>
    <w:rsid w:val="00A25505"/>
    <w:rsid w:val="00A25837"/>
    <w:rsid w:val="00A264FD"/>
    <w:rsid w:val="00A26BC2"/>
    <w:rsid w:val="00A26CE9"/>
    <w:rsid w:val="00A2744F"/>
    <w:rsid w:val="00A27ABB"/>
    <w:rsid w:val="00A27C0B"/>
    <w:rsid w:val="00A27C50"/>
    <w:rsid w:val="00A27F4C"/>
    <w:rsid w:val="00A27F6C"/>
    <w:rsid w:val="00A30563"/>
    <w:rsid w:val="00A308BF"/>
    <w:rsid w:val="00A30F8F"/>
    <w:rsid w:val="00A30F93"/>
    <w:rsid w:val="00A317D7"/>
    <w:rsid w:val="00A320B0"/>
    <w:rsid w:val="00A32659"/>
    <w:rsid w:val="00A32946"/>
    <w:rsid w:val="00A3308A"/>
    <w:rsid w:val="00A330F3"/>
    <w:rsid w:val="00A335B1"/>
    <w:rsid w:val="00A33600"/>
    <w:rsid w:val="00A336E2"/>
    <w:rsid w:val="00A33D4A"/>
    <w:rsid w:val="00A34317"/>
    <w:rsid w:val="00A350F8"/>
    <w:rsid w:val="00A351AF"/>
    <w:rsid w:val="00A35616"/>
    <w:rsid w:val="00A35CFE"/>
    <w:rsid w:val="00A36A64"/>
    <w:rsid w:val="00A37610"/>
    <w:rsid w:val="00A40EE5"/>
    <w:rsid w:val="00A413B7"/>
    <w:rsid w:val="00A41621"/>
    <w:rsid w:val="00A4195D"/>
    <w:rsid w:val="00A41E9C"/>
    <w:rsid w:val="00A446E0"/>
    <w:rsid w:val="00A44D91"/>
    <w:rsid w:val="00A44FD8"/>
    <w:rsid w:val="00A4622C"/>
    <w:rsid w:val="00A4698C"/>
    <w:rsid w:val="00A46AEC"/>
    <w:rsid w:val="00A47071"/>
    <w:rsid w:val="00A47554"/>
    <w:rsid w:val="00A47BDA"/>
    <w:rsid w:val="00A50777"/>
    <w:rsid w:val="00A5189E"/>
    <w:rsid w:val="00A52007"/>
    <w:rsid w:val="00A52470"/>
    <w:rsid w:val="00A5255B"/>
    <w:rsid w:val="00A5289A"/>
    <w:rsid w:val="00A52F03"/>
    <w:rsid w:val="00A53227"/>
    <w:rsid w:val="00A53D56"/>
    <w:rsid w:val="00A54573"/>
    <w:rsid w:val="00A548E5"/>
    <w:rsid w:val="00A552A8"/>
    <w:rsid w:val="00A5566B"/>
    <w:rsid w:val="00A559DB"/>
    <w:rsid w:val="00A56D9B"/>
    <w:rsid w:val="00A57253"/>
    <w:rsid w:val="00A57DDA"/>
    <w:rsid w:val="00A60619"/>
    <w:rsid w:val="00A60641"/>
    <w:rsid w:val="00A610A1"/>
    <w:rsid w:val="00A6189A"/>
    <w:rsid w:val="00A61FEA"/>
    <w:rsid w:val="00A62104"/>
    <w:rsid w:val="00A62565"/>
    <w:rsid w:val="00A62ED1"/>
    <w:rsid w:val="00A633A2"/>
    <w:rsid w:val="00A63511"/>
    <w:rsid w:val="00A63EC1"/>
    <w:rsid w:val="00A6482D"/>
    <w:rsid w:val="00A64842"/>
    <w:rsid w:val="00A651CC"/>
    <w:rsid w:val="00A65BC5"/>
    <w:rsid w:val="00A65F3E"/>
    <w:rsid w:val="00A66079"/>
    <w:rsid w:val="00A66158"/>
    <w:rsid w:val="00A6724E"/>
    <w:rsid w:val="00A6727B"/>
    <w:rsid w:val="00A677AD"/>
    <w:rsid w:val="00A67AF9"/>
    <w:rsid w:val="00A70036"/>
    <w:rsid w:val="00A70C59"/>
    <w:rsid w:val="00A70FCB"/>
    <w:rsid w:val="00A71079"/>
    <w:rsid w:val="00A710EC"/>
    <w:rsid w:val="00A741D7"/>
    <w:rsid w:val="00A74594"/>
    <w:rsid w:val="00A748BF"/>
    <w:rsid w:val="00A74D4E"/>
    <w:rsid w:val="00A756CD"/>
    <w:rsid w:val="00A75951"/>
    <w:rsid w:val="00A75CB6"/>
    <w:rsid w:val="00A76798"/>
    <w:rsid w:val="00A77401"/>
    <w:rsid w:val="00A7769C"/>
    <w:rsid w:val="00A80A0C"/>
    <w:rsid w:val="00A8191B"/>
    <w:rsid w:val="00A81EC0"/>
    <w:rsid w:val="00A82162"/>
    <w:rsid w:val="00A82262"/>
    <w:rsid w:val="00A8323D"/>
    <w:rsid w:val="00A838F6"/>
    <w:rsid w:val="00A83990"/>
    <w:rsid w:val="00A84A6B"/>
    <w:rsid w:val="00A84B78"/>
    <w:rsid w:val="00A84D76"/>
    <w:rsid w:val="00A8569F"/>
    <w:rsid w:val="00A8670B"/>
    <w:rsid w:val="00A868A8"/>
    <w:rsid w:val="00A87D45"/>
    <w:rsid w:val="00A87FDD"/>
    <w:rsid w:val="00A9099D"/>
    <w:rsid w:val="00A915EB"/>
    <w:rsid w:val="00A927B8"/>
    <w:rsid w:val="00A932E5"/>
    <w:rsid w:val="00A936D1"/>
    <w:rsid w:val="00A93A95"/>
    <w:rsid w:val="00A93EEE"/>
    <w:rsid w:val="00A9654B"/>
    <w:rsid w:val="00A9751B"/>
    <w:rsid w:val="00A977A8"/>
    <w:rsid w:val="00A97DDC"/>
    <w:rsid w:val="00AA079B"/>
    <w:rsid w:val="00AA0A5F"/>
    <w:rsid w:val="00AA0FFB"/>
    <w:rsid w:val="00AA31BD"/>
    <w:rsid w:val="00AA3311"/>
    <w:rsid w:val="00AA331B"/>
    <w:rsid w:val="00AA33F0"/>
    <w:rsid w:val="00AA3C57"/>
    <w:rsid w:val="00AA5620"/>
    <w:rsid w:val="00AA6005"/>
    <w:rsid w:val="00AA699B"/>
    <w:rsid w:val="00AA70EE"/>
    <w:rsid w:val="00AA74AE"/>
    <w:rsid w:val="00AB09EA"/>
    <w:rsid w:val="00AB0AEB"/>
    <w:rsid w:val="00AB1362"/>
    <w:rsid w:val="00AB1EE3"/>
    <w:rsid w:val="00AB2A34"/>
    <w:rsid w:val="00AB3375"/>
    <w:rsid w:val="00AB4818"/>
    <w:rsid w:val="00AB4C8E"/>
    <w:rsid w:val="00AB4DE2"/>
    <w:rsid w:val="00AB4F12"/>
    <w:rsid w:val="00AB50CB"/>
    <w:rsid w:val="00AB5231"/>
    <w:rsid w:val="00AB55D4"/>
    <w:rsid w:val="00AB68E6"/>
    <w:rsid w:val="00AB710D"/>
    <w:rsid w:val="00AB714A"/>
    <w:rsid w:val="00AB7937"/>
    <w:rsid w:val="00AB7D3E"/>
    <w:rsid w:val="00AC14FA"/>
    <w:rsid w:val="00AC18EE"/>
    <w:rsid w:val="00AC2571"/>
    <w:rsid w:val="00AC2996"/>
    <w:rsid w:val="00AC2DCB"/>
    <w:rsid w:val="00AC4620"/>
    <w:rsid w:val="00AC5347"/>
    <w:rsid w:val="00AC5F22"/>
    <w:rsid w:val="00AC6080"/>
    <w:rsid w:val="00AC62BD"/>
    <w:rsid w:val="00AC66BC"/>
    <w:rsid w:val="00AC6965"/>
    <w:rsid w:val="00AC6F7D"/>
    <w:rsid w:val="00AC7473"/>
    <w:rsid w:val="00AC7722"/>
    <w:rsid w:val="00AD0404"/>
    <w:rsid w:val="00AD0DBB"/>
    <w:rsid w:val="00AD0E88"/>
    <w:rsid w:val="00AD2E5F"/>
    <w:rsid w:val="00AD3721"/>
    <w:rsid w:val="00AD4318"/>
    <w:rsid w:val="00AD4C83"/>
    <w:rsid w:val="00AD4F05"/>
    <w:rsid w:val="00AD5239"/>
    <w:rsid w:val="00AD6262"/>
    <w:rsid w:val="00AD636E"/>
    <w:rsid w:val="00AD6AD7"/>
    <w:rsid w:val="00AD6D57"/>
    <w:rsid w:val="00AD6E34"/>
    <w:rsid w:val="00AD788B"/>
    <w:rsid w:val="00AD7AED"/>
    <w:rsid w:val="00AE1DF9"/>
    <w:rsid w:val="00AE38EE"/>
    <w:rsid w:val="00AE4AF1"/>
    <w:rsid w:val="00AE4B39"/>
    <w:rsid w:val="00AE536A"/>
    <w:rsid w:val="00AE5842"/>
    <w:rsid w:val="00AE5B64"/>
    <w:rsid w:val="00AE5C2B"/>
    <w:rsid w:val="00AE5DB0"/>
    <w:rsid w:val="00AE6BB1"/>
    <w:rsid w:val="00AE700C"/>
    <w:rsid w:val="00AF0242"/>
    <w:rsid w:val="00AF03D0"/>
    <w:rsid w:val="00AF0B65"/>
    <w:rsid w:val="00AF0C69"/>
    <w:rsid w:val="00AF1302"/>
    <w:rsid w:val="00AF1F67"/>
    <w:rsid w:val="00AF21A9"/>
    <w:rsid w:val="00AF2E6A"/>
    <w:rsid w:val="00AF308A"/>
    <w:rsid w:val="00AF31AC"/>
    <w:rsid w:val="00AF3320"/>
    <w:rsid w:val="00AF34FF"/>
    <w:rsid w:val="00AF36EE"/>
    <w:rsid w:val="00AF38F8"/>
    <w:rsid w:val="00AF3F68"/>
    <w:rsid w:val="00AF4529"/>
    <w:rsid w:val="00AF4BF2"/>
    <w:rsid w:val="00AF4F2A"/>
    <w:rsid w:val="00AF7734"/>
    <w:rsid w:val="00AF7772"/>
    <w:rsid w:val="00B00571"/>
    <w:rsid w:val="00B01345"/>
    <w:rsid w:val="00B016A1"/>
    <w:rsid w:val="00B01765"/>
    <w:rsid w:val="00B02437"/>
    <w:rsid w:val="00B02EE7"/>
    <w:rsid w:val="00B03097"/>
    <w:rsid w:val="00B047E4"/>
    <w:rsid w:val="00B0487B"/>
    <w:rsid w:val="00B04E09"/>
    <w:rsid w:val="00B0581D"/>
    <w:rsid w:val="00B06095"/>
    <w:rsid w:val="00B060E7"/>
    <w:rsid w:val="00B06F10"/>
    <w:rsid w:val="00B06F70"/>
    <w:rsid w:val="00B071C9"/>
    <w:rsid w:val="00B106AF"/>
    <w:rsid w:val="00B10E04"/>
    <w:rsid w:val="00B14391"/>
    <w:rsid w:val="00B1452C"/>
    <w:rsid w:val="00B145FE"/>
    <w:rsid w:val="00B14730"/>
    <w:rsid w:val="00B152C5"/>
    <w:rsid w:val="00B16475"/>
    <w:rsid w:val="00B164DE"/>
    <w:rsid w:val="00B16A04"/>
    <w:rsid w:val="00B171ED"/>
    <w:rsid w:val="00B178CD"/>
    <w:rsid w:val="00B17FC7"/>
    <w:rsid w:val="00B200C1"/>
    <w:rsid w:val="00B205A7"/>
    <w:rsid w:val="00B2139D"/>
    <w:rsid w:val="00B2150C"/>
    <w:rsid w:val="00B21EDD"/>
    <w:rsid w:val="00B24212"/>
    <w:rsid w:val="00B24CB3"/>
    <w:rsid w:val="00B259CB"/>
    <w:rsid w:val="00B26634"/>
    <w:rsid w:val="00B27FD5"/>
    <w:rsid w:val="00B30199"/>
    <w:rsid w:val="00B30376"/>
    <w:rsid w:val="00B30950"/>
    <w:rsid w:val="00B30C24"/>
    <w:rsid w:val="00B311D7"/>
    <w:rsid w:val="00B3177A"/>
    <w:rsid w:val="00B32847"/>
    <w:rsid w:val="00B32A11"/>
    <w:rsid w:val="00B33FEF"/>
    <w:rsid w:val="00B356FA"/>
    <w:rsid w:val="00B35D57"/>
    <w:rsid w:val="00B36182"/>
    <w:rsid w:val="00B36C5C"/>
    <w:rsid w:val="00B4026F"/>
    <w:rsid w:val="00B4043D"/>
    <w:rsid w:val="00B40FEB"/>
    <w:rsid w:val="00B41373"/>
    <w:rsid w:val="00B42436"/>
    <w:rsid w:val="00B42B1D"/>
    <w:rsid w:val="00B434AD"/>
    <w:rsid w:val="00B43B7A"/>
    <w:rsid w:val="00B43BFB"/>
    <w:rsid w:val="00B4477B"/>
    <w:rsid w:val="00B44DB9"/>
    <w:rsid w:val="00B44FA2"/>
    <w:rsid w:val="00B45383"/>
    <w:rsid w:val="00B453FC"/>
    <w:rsid w:val="00B45685"/>
    <w:rsid w:val="00B45A82"/>
    <w:rsid w:val="00B46834"/>
    <w:rsid w:val="00B46E80"/>
    <w:rsid w:val="00B46EA5"/>
    <w:rsid w:val="00B46F0D"/>
    <w:rsid w:val="00B478F4"/>
    <w:rsid w:val="00B500AE"/>
    <w:rsid w:val="00B50576"/>
    <w:rsid w:val="00B5240B"/>
    <w:rsid w:val="00B526F1"/>
    <w:rsid w:val="00B53659"/>
    <w:rsid w:val="00B53B50"/>
    <w:rsid w:val="00B54312"/>
    <w:rsid w:val="00B54380"/>
    <w:rsid w:val="00B549D7"/>
    <w:rsid w:val="00B54C76"/>
    <w:rsid w:val="00B5514A"/>
    <w:rsid w:val="00B55844"/>
    <w:rsid w:val="00B56438"/>
    <w:rsid w:val="00B572E4"/>
    <w:rsid w:val="00B60D98"/>
    <w:rsid w:val="00B61808"/>
    <w:rsid w:val="00B61B37"/>
    <w:rsid w:val="00B61CCD"/>
    <w:rsid w:val="00B62B24"/>
    <w:rsid w:val="00B62FCD"/>
    <w:rsid w:val="00B63B2A"/>
    <w:rsid w:val="00B6465B"/>
    <w:rsid w:val="00B64992"/>
    <w:rsid w:val="00B65232"/>
    <w:rsid w:val="00B66478"/>
    <w:rsid w:val="00B66C7B"/>
    <w:rsid w:val="00B66EED"/>
    <w:rsid w:val="00B66F71"/>
    <w:rsid w:val="00B67340"/>
    <w:rsid w:val="00B67B2B"/>
    <w:rsid w:val="00B70F99"/>
    <w:rsid w:val="00B71D94"/>
    <w:rsid w:val="00B73456"/>
    <w:rsid w:val="00B73A09"/>
    <w:rsid w:val="00B73A77"/>
    <w:rsid w:val="00B73EAD"/>
    <w:rsid w:val="00B74557"/>
    <w:rsid w:val="00B748D8"/>
    <w:rsid w:val="00B74D2B"/>
    <w:rsid w:val="00B76EC8"/>
    <w:rsid w:val="00B8028E"/>
    <w:rsid w:val="00B807EB"/>
    <w:rsid w:val="00B808FE"/>
    <w:rsid w:val="00B80B86"/>
    <w:rsid w:val="00B8138F"/>
    <w:rsid w:val="00B8167F"/>
    <w:rsid w:val="00B81981"/>
    <w:rsid w:val="00B81EBD"/>
    <w:rsid w:val="00B825A9"/>
    <w:rsid w:val="00B84B86"/>
    <w:rsid w:val="00B84C3B"/>
    <w:rsid w:val="00B86BD0"/>
    <w:rsid w:val="00B86BF7"/>
    <w:rsid w:val="00B86E36"/>
    <w:rsid w:val="00B876BE"/>
    <w:rsid w:val="00B87705"/>
    <w:rsid w:val="00B87A27"/>
    <w:rsid w:val="00B87DB9"/>
    <w:rsid w:val="00B902C8"/>
    <w:rsid w:val="00B902D8"/>
    <w:rsid w:val="00B90C1C"/>
    <w:rsid w:val="00B90E76"/>
    <w:rsid w:val="00B91195"/>
    <w:rsid w:val="00B9245B"/>
    <w:rsid w:val="00B93189"/>
    <w:rsid w:val="00B9361B"/>
    <w:rsid w:val="00B93F51"/>
    <w:rsid w:val="00B93FFE"/>
    <w:rsid w:val="00B94696"/>
    <w:rsid w:val="00B94FBA"/>
    <w:rsid w:val="00B9513C"/>
    <w:rsid w:val="00B95402"/>
    <w:rsid w:val="00B956DD"/>
    <w:rsid w:val="00B956DF"/>
    <w:rsid w:val="00B95B9F"/>
    <w:rsid w:val="00B95CCD"/>
    <w:rsid w:val="00B95F59"/>
    <w:rsid w:val="00B9630D"/>
    <w:rsid w:val="00B96536"/>
    <w:rsid w:val="00B97810"/>
    <w:rsid w:val="00B97963"/>
    <w:rsid w:val="00BA079E"/>
    <w:rsid w:val="00BA0901"/>
    <w:rsid w:val="00BA0DF7"/>
    <w:rsid w:val="00BA0EDF"/>
    <w:rsid w:val="00BA2B92"/>
    <w:rsid w:val="00BA2BF5"/>
    <w:rsid w:val="00BA3B93"/>
    <w:rsid w:val="00BA4ACD"/>
    <w:rsid w:val="00BA4F08"/>
    <w:rsid w:val="00BA58A8"/>
    <w:rsid w:val="00BA6022"/>
    <w:rsid w:val="00BA679B"/>
    <w:rsid w:val="00BA69A2"/>
    <w:rsid w:val="00BA69FF"/>
    <w:rsid w:val="00BA75FE"/>
    <w:rsid w:val="00BA7F2B"/>
    <w:rsid w:val="00BB0BA9"/>
    <w:rsid w:val="00BB0C8F"/>
    <w:rsid w:val="00BB0E92"/>
    <w:rsid w:val="00BB1773"/>
    <w:rsid w:val="00BB188C"/>
    <w:rsid w:val="00BB1E0F"/>
    <w:rsid w:val="00BB1E3A"/>
    <w:rsid w:val="00BB21E7"/>
    <w:rsid w:val="00BB3344"/>
    <w:rsid w:val="00BB35FD"/>
    <w:rsid w:val="00BB361E"/>
    <w:rsid w:val="00BB3A85"/>
    <w:rsid w:val="00BB3D4D"/>
    <w:rsid w:val="00BB3F06"/>
    <w:rsid w:val="00BB4628"/>
    <w:rsid w:val="00BB5A1E"/>
    <w:rsid w:val="00BB5DE4"/>
    <w:rsid w:val="00BB5F6B"/>
    <w:rsid w:val="00BB5FA4"/>
    <w:rsid w:val="00BB6A86"/>
    <w:rsid w:val="00BB7452"/>
    <w:rsid w:val="00BB787F"/>
    <w:rsid w:val="00BB78A3"/>
    <w:rsid w:val="00BB7E26"/>
    <w:rsid w:val="00BC008C"/>
    <w:rsid w:val="00BC011A"/>
    <w:rsid w:val="00BC0648"/>
    <w:rsid w:val="00BC0918"/>
    <w:rsid w:val="00BC0A31"/>
    <w:rsid w:val="00BC0E4B"/>
    <w:rsid w:val="00BC1381"/>
    <w:rsid w:val="00BC17E1"/>
    <w:rsid w:val="00BC1848"/>
    <w:rsid w:val="00BC1B40"/>
    <w:rsid w:val="00BC1BD1"/>
    <w:rsid w:val="00BC2F9C"/>
    <w:rsid w:val="00BC401A"/>
    <w:rsid w:val="00BC45AA"/>
    <w:rsid w:val="00BC468E"/>
    <w:rsid w:val="00BC4D44"/>
    <w:rsid w:val="00BC509B"/>
    <w:rsid w:val="00BC546E"/>
    <w:rsid w:val="00BC786D"/>
    <w:rsid w:val="00BD0472"/>
    <w:rsid w:val="00BD04B3"/>
    <w:rsid w:val="00BD0672"/>
    <w:rsid w:val="00BD13B6"/>
    <w:rsid w:val="00BD192E"/>
    <w:rsid w:val="00BD1A44"/>
    <w:rsid w:val="00BD1D83"/>
    <w:rsid w:val="00BD2624"/>
    <w:rsid w:val="00BD469B"/>
    <w:rsid w:val="00BD49A4"/>
    <w:rsid w:val="00BD4BB8"/>
    <w:rsid w:val="00BD6E97"/>
    <w:rsid w:val="00BE01EA"/>
    <w:rsid w:val="00BE0D10"/>
    <w:rsid w:val="00BE0FB7"/>
    <w:rsid w:val="00BE1104"/>
    <w:rsid w:val="00BE16D0"/>
    <w:rsid w:val="00BE1A8A"/>
    <w:rsid w:val="00BE1FB4"/>
    <w:rsid w:val="00BE2662"/>
    <w:rsid w:val="00BE4172"/>
    <w:rsid w:val="00BE4B9F"/>
    <w:rsid w:val="00BE5048"/>
    <w:rsid w:val="00BE54B0"/>
    <w:rsid w:val="00BE576F"/>
    <w:rsid w:val="00BE5BBE"/>
    <w:rsid w:val="00BE5E1E"/>
    <w:rsid w:val="00BE6D0C"/>
    <w:rsid w:val="00BE6E32"/>
    <w:rsid w:val="00BE6FB4"/>
    <w:rsid w:val="00BE7C96"/>
    <w:rsid w:val="00BE7F6D"/>
    <w:rsid w:val="00BE7FB9"/>
    <w:rsid w:val="00BF02B3"/>
    <w:rsid w:val="00BF064B"/>
    <w:rsid w:val="00BF1F52"/>
    <w:rsid w:val="00BF2202"/>
    <w:rsid w:val="00BF28E4"/>
    <w:rsid w:val="00BF2C5F"/>
    <w:rsid w:val="00BF3B4E"/>
    <w:rsid w:val="00BF3DD9"/>
    <w:rsid w:val="00BF403E"/>
    <w:rsid w:val="00BF413E"/>
    <w:rsid w:val="00BF57AF"/>
    <w:rsid w:val="00BF5E58"/>
    <w:rsid w:val="00BF5E91"/>
    <w:rsid w:val="00BF5EE1"/>
    <w:rsid w:val="00BF6085"/>
    <w:rsid w:val="00BF6746"/>
    <w:rsid w:val="00BF741E"/>
    <w:rsid w:val="00C0001E"/>
    <w:rsid w:val="00C002FD"/>
    <w:rsid w:val="00C005B2"/>
    <w:rsid w:val="00C00921"/>
    <w:rsid w:val="00C00B53"/>
    <w:rsid w:val="00C010ED"/>
    <w:rsid w:val="00C021A6"/>
    <w:rsid w:val="00C02CB1"/>
    <w:rsid w:val="00C035C8"/>
    <w:rsid w:val="00C0479A"/>
    <w:rsid w:val="00C048B7"/>
    <w:rsid w:val="00C0524F"/>
    <w:rsid w:val="00C06713"/>
    <w:rsid w:val="00C06B7D"/>
    <w:rsid w:val="00C10009"/>
    <w:rsid w:val="00C136A3"/>
    <w:rsid w:val="00C13B1B"/>
    <w:rsid w:val="00C14309"/>
    <w:rsid w:val="00C14485"/>
    <w:rsid w:val="00C1468A"/>
    <w:rsid w:val="00C147F6"/>
    <w:rsid w:val="00C14B2F"/>
    <w:rsid w:val="00C154F2"/>
    <w:rsid w:val="00C16602"/>
    <w:rsid w:val="00C16FF9"/>
    <w:rsid w:val="00C17414"/>
    <w:rsid w:val="00C1793F"/>
    <w:rsid w:val="00C17B8E"/>
    <w:rsid w:val="00C17CA5"/>
    <w:rsid w:val="00C20842"/>
    <w:rsid w:val="00C20DA6"/>
    <w:rsid w:val="00C22206"/>
    <w:rsid w:val="00C22C27"/>
    <w:rsid w:val="00C22D3D"/>
    <w:rsid w:val="00C2366C"/>
    <w:rsid w:val="00C24071"/>
    <w:rsid w:val="00C2474D"/>
    <w:rsid w:val="00C25135"/>
    <w:rsid w:val="00C2656B"/>
    <w:rsid w:val="00C26F16"/>
    <w:rsid w:val="00C303CD"/>
    <w:rsid w:val="00C30DFF"/>
    <w:rsid w:val="00C322A9"/>
    <w:rsid w:val="00C32324"/>
    <w:rsid w:val="00C329AD"/>
    <w:rsid w:val="00C336BB"/>
    <w:rsid w:val="00C33754"/>
    <w:rsid w:val="00C33B09"/>
    <w:rsid w:val="00C34056"/>
    <w:rsid w:val="00C345A0"/>
    <w:rsid w:val="00C34AF8"/>
    <w:rsid w:val="00C35167"/>
    <w:rsid w:val="00C3535A"/>
    <w:rsid w:val="00C366EF"/>
    <w:rsid w:val="00C369FF"/>
    <w:rsid w:val="00C40705"/>
    <w:rsid w:val="00C40B49"/>
    <w:rsid w:val="00C40D5C"/>
    <w:rsid w:val="00C414C8"/>
    <w:rsid w:val="00C41CA4"/>
    <w:rsid w:val="00C41FAC"/>
    <w:rsid w:val="00C42209"/>
    <w:rsid w:val="00C426B1"/>
    <w:rsid w:val="00C439DB"/>
    <w:rsid w:val="00C440AC"/>
    <w:rsid w:val="00C4434E"/>
    <w:rsid w:val="00C44A1D"/>
    <w:rsid w:val="00C44AD4"/>
    <w:rsid w:val="00C44DAF"/>
    <w:rsid w:val="00C45624"/>
    <w:rsid w:val="00C45C38"/>
    <w:rsid w:val="00C46D58"/>
    <w:rsid w:val="00C479E0"/>
    <w:rsid w:val="00C51024"/>
    <w:rsid w:val="00C511FE"/>
    <w:rsid w:val="00C51C69"/>
    <w:rsid w:val="00C52DD2"/>
    <w:rsid w:val="00C52ED8"/>
    <w:rsid w:val="00C538A0"/>
    <w:rsid w:val="00C5476B"/>
    <w:rsid w:val="00C54B8B"/>
    <w:rsid w:val="00C54BCC"/>
    <w:rsid w:val="00C568B5"/>
    <w:rsid w:val="00C569EA"/>
    <w:rsid w:val="00C5797A"/>
    <w:rsid w:val="00C57FF4"/>
    <w:rsid w:val="00C608F9"/>
    <w:rsid w:val="00C60BD4"/>
    <w:rsid w:val="00C617A6"/>
    <w:rsid w:val="00C62B32"/>
    <w:rsid w:val="00C62C40"/>
    <w:rsid w:val="00C62E0C"/>
    <w:rsid w:val="00C62F15"/>
    <w:rsid w:val="00C6469F"/>
    <w:rsid w:val="00C646DF"/>
    <w:rsid w:val="00C648E1"/>
    <w:rsid w:val="00C64DF2"/>
    <w:rsid w:val="00C6705D"/>
    <w:rsid w:val="00C67727"/>
    <w:rsid w:val="00C70156"/>
    <w:rsid w:val="00C701B6"/>
    <w:rsid w:val="00C7112A"/>
    <w:rsid w:val="00C716B8"/>
    <w:rsid w:val="00C71C2A"/>
    <w:rsid w:val="00C72FB3"/>
    <w:rsid w:val="00C7335B"/>
    <w:rsid w:val="00C73BA0"/>
    <w:rsid w:val="00C74AD9"/>
    <w:rsid w:val="00C74DDC"/>
    <w:rsid w:val="00C751AB"/>
    <w:rsid w:val="00C75A47"/>
    <w:rsid w:val="00C76035"/>
    <w:rsid w:val="00C76068"/>
    <w:rsid w:val="00C76BB1"/>
    <w:rsid w:val="00C76F09"/>
    <w:rsid w:val="00C775DC"/>
    <w:rsid w:val="00C800FA"/>
    <w:rsid w:val="00C8099F"/>
    <w:rsid w:val="00C8133E"/>
    <w:rsid w:val="00C81421"/>
    <w:rsid w:val="00C82457"/>
    <w:rsid w:val="00C82835"/>
    <w:rsid w:val="00C82856"/>
    <w:rsid w:val="00C8331B"/>
    <w:rsid w:val="00C83689"/>
    <w:rsid w:val="00C84069"/>
    <w:rsid w:val="00C8510A"/>
    <w:rsid w:val="00C85A7D"/>
    <w:rsid w:val="00C85B19"/>
    <w:rsid w:val="00C8609C"/>
    <w:rsid w:val="00C86F36"/>
    <w:rsid w:val="00C8725E"/>
    <w:rsid w:val="00C87373"/>
    <w:rsid w:val="00C87B2B"/>
    <w:rsid w:val="00C9064E"/>
    <w:rsid w:val="00C90745"/>
    <w:rsid w:val="00C919D1"/>
    <w:rsid w:val="00C925B1"/>
    <w:rsid w:val="00C92C55"/>
    <w:rsid w:val="00C92CDA"/>
    <w:rsid w:val="00C9376C"/>
    <w:rsid w:val="00C94930"/>
    <w:rsid w:val="00C94C61"/>
    <w:rsid w:val="00C94CBD"/>
    <w:rsid w:val="00C95A2F"/>
    <w:rsid w:val="00C960CB"/>
    <w:rsid w:val="00C97119"/>
    <w:rsid w:val="00C9746F"/>
    <w:rsid w:val="00C9751E"/>
    <w:rsid w:val="00C97549"/>
    <w:rsid w:val="00C97650"/>
    <w:rsid w:val="00C97EA7"/>
    <w:rsid w:val="00CA0737"/>
    <w:rsid w:val="00CA0982"/>
    <w:rsid w:val="00CA0BC9"/>
    <w:rsid w:val="00CA0D42"/>
    <w:rsid w:val="00CA0F24"/>
    <w:rsid w:val="00CA13D7"/>
    <w:rsid w:val="00CA1D8C"/>
    <w:rsid w:val="00CA1F1E"/>
    <w:rsid w:val="00CA272A"/>
    <w:rsid w:val="00CA401C"/>
    <w:rsid w:val="00CA4354"/>
    <w:rsid w:val="00CA4589"/>
    <w:rsid w:val="00CA4CCF"/>
    <w:rsid w:val="00CA53B7"/>
    <w:rsid w:val="00CA5912"/>
    <w:rsid w:val="00CA5ACF"/>
    <w:rsid w:val="00CA5E25"/>
    <w:rsid w:val="00CA65E1"/>
    <w:rsid w:val="00CA6827"/>
    <w:rsid w:val="00CA6F44"/>
    <w:rsid w:val="00CA706C"/>
    <w:rsid w:val="00CA7EEF"/>
    <w:rsid w:val="00CB0FAE"/>
    <w:rsid w:val="00CB133F"/>
    <w:rsid w:val="00CB1BA1"/>
    <w:rsid w:val="00CB1F2E"/>
    <w:rsid w:val="00CB210B"/>
    <w:rsid w:val="00CB257D"/>
    <w:rsid w:val="00CB3056"/>
    <w:rsid w:val="00CB3448"/>
    <w:rsid w:val="00CB3469"/>
    <w:rsid w:val="00CB4263"/>
    <w:rsid w:val="00CB437B"/>
    <w:rsid w:val="00CB4502"/>
    <w:rsid w:val="00CB467B"/>
    <w:rsid w:val="00CB4EE9"/>
    <w:rsid w:val="00CB54B8"/>
    <w:rsid w:val="00CB5BD8"/>
    <w:rsid w:val="00CB5CBE"/>
    <w:rsid w:val="00CB62CB"/>
    <w:rsid w:val="00CB6AEC"/>
    <w:rsid w:val="00CB75FD"/>
    <w:rsid w:val="00CB7D02"/>
    <w:rsid w:val="00CB7D92"/>
    <w:rsid w:val="00CC0576"/>
    <w:rsid w:val="00CC0A33"/>
    <w:rsid w:val="00CC0BB6"/>
    <w:rsid w:val="00CC0EBB"/>
    <w:rsid w:val="00CC1A9C"/>
    <w:rsid w:val="00CC21C4"/>
    <w:rsid w:val="00CC2280"/>
    <w:rsid w:val="00CC29A1"/>
    <w:rsid w:val="00CC2C82"/>
    <w:rsid w:val="00CC3187"/>
    <w:rsid w:val="00CC3606"/>
    <w:rsid w:val="00CC3E5B"/>
    <w:rsid w:val="00CC3F61"/>
    <w:rsid w:val="00CC4E0F"/>
    <w:rsid w:val="00CC50CE"/>
    <w:rsid w:val="00CC545B"/>
    <w:rsid w:val="00CC56A1"/>
    <w:rsid w:val="00CC5C8B"/>
    <w:rsid w:val="00CC5FCC"/>
    <w:rsid w:val="00CC6198"/>
    <w:rsid w:val="00CC6537"/>
    <w:rsid w:val="00CC6A7D"/>
    <w:rsid w:val="00CC6C23"/>
    <w:rsid w:val="00CC77A4"/>
    <w:rsid w:val="00CC7B0B"/>
    <w:rsid w:val="00CD1309"/>
    <w:rsid w:val="00CD1552"/>
    <w:rsid w:val="00CD1560"/>
    <w:rsid w:val="00CD2461"/>
    <w:rsid w:val="00CD3128"/>
    <w:rsid w:val="00CD3DAA"/>
    <w:rsid w:val="00CD405B"/>
    <w:rsid w:val="00CD4729"/>
    <w:rsid w:val="00CD4A24"/>
    <w:rsid w:val="00CD57CE"/>
    <w:rsid w:val="00CD5B54"/>
    <w:rsid w:val="00CD6071"/>
    <w:rsid w:val="00CD6437"/>
    <w:rsid w:val="00CD6C8F"/>
    <w:rsid w:val="00CD6D06"/>
    <w:rsid w:val="00CD75D3"/>
    <w:rsid w:val="00CD7A51"/>
    <w:rsid w:val="00CE062B"/>
    <w:rsid w:val="00CE1389"/>
    <w:rsid w:val="00CE17C2"/>
    <w:rsid w:val="00CE1BEF"/>
    <w:rsid w:val="00CE1FC6"/>
    <w:rsid w:val="00CE221D"/>
    <w:rsid w:val="00CE230E"/>
    <w:rsid w:val="00CE281C"/>
    <w:rsid w:val="00CE33F3"/>
    <w:rsid w:val="00CE3617"/>
    <w:rsid w:val="00CE3DBC"/>
    <w:rsid w:val="00CE4DA8"/>
    <w:rsid w:val="00CE64F3"/>
    <w:rsid w:val="00CE672B"/>
    <w:rsid w:val="00CE6798"/>
    <w:rsid w:val="00CE686A"/>
    <w:rsid w:val="00CE6AAF"/>
    <w:rsid w:val="00CE7149"/>
    <w:rsid w:val="00CE7516"/>
    <w:rsid w:val="00CE7746"/>
    <w:rsid w:val="00CE7CE2"/>
    <w:rsid w:val="00CE7EB4"/>
    <w:rsid w:val="00CF02F4"/>
    <w:rsid w:val="00CF0B42"/>
    <w:rsid w:val="00CF0EC3"/>
    <w:rsid w:val="00CF21C3"/>
    <w:rsid w:val="00CF22CE"/>
    <w:rsid w:val="00CF2995"/>
    <w:rsid w:val="00CF3B7A"/>
    <w:rsid w:val="00CF4327"/>
    <w:rsid w:val="00CF4604"/>
    <w:rsid w:val="00CF4E3B"/>
    <w:rsid w:val="00CF509A"/>
    <w:rsid w:val="00CF5686"/>
    <w:rsid w:val="00CF5765"/>
    <w:rsid w:val="00CF63A0"/>
    <w:rsid w:val="00CF6AF8"/>
    <w:rsid w:val="00CF6E75"/>
    <w:rsid w:val="00CF708C"/>
    <w:rsid w:val="00CF74F1"/>
    <w:rsid w:val="00CF7A01"/>
    <w:rsid w:val="00D00A95"/>
    <w:rsid w:val="00D0119A"/>
    <w:rsid w:val="00D01647"/>
    <w:rsid w:val="00D02849"/>
    <w:rsid w:val="00D02DB9"/>
    <w:rsid w:val="00D0447B"/>
    <w:rsid w:val="00D044C9"/>
    <w:rsid w:val="00D07BBD"/>
    <w:rsid w:val="00D10459"/>
    <w:rsid w:val="00D11D44"/>
    <w:rsid w:val="00D12036"/>
    <w:rsid w:val="00D127B0"/>
    <w:rsid w:val="00D12D10"/>
    <w:rsid w:val="00D14FB3"/>
    <w:rsid w:val="00D15092"/>
    <w:rsid w:val="00D15669"/>
    <w:rsid w:val="00D15946"/>
    <w:rsid w:val="00D15AA3"/>
    <w:rsid w:val="00D15FCD"/>
    <w:rsid w:val="00D164E4"/>
    <w:rsid w:val="00D16997"/>
    <w:rsid w:val="00D1755E"/>
    <w:rsid w:val="00D17576"/>
    <w:rsid w:val="00D17CF3"/>
    <w:rsid w:val="00D2001F"/>
    <w:rsid w:val="00D21180"/>
    <w:rsid w:val="00D2236C"/>
    <w:rsid w:val="00D23621"/>
    <w:rsid w:val="00D236FC"/>
    <w:rsid w:val="00D23C3B"/>
    <w:rsid w:val="00D247A0"/>
    <w:rsid w:val="00D24C7C"/>
    <w:rsid w:val="00D24E47"/>
    <w:rsid w:val="00D2531A"/>
    <w:rsid w:val="00D26460"/>
    <w:rsid w:val="00D27516"/>
    <w:rsid w:val="00D27A9C"/>
    <w:rsid w:val="00D306E7"/>
    <w:rsid w:val="00D3103E"/>
    <w:rsid w:val="00D31EB7"/>
    <w:rsid w:val="00D321AE"/>
    <w:rsid w:val="00D32A76"/>
    <w:rsid w:val="00D3609C"/>
    <w:rsid w:val="00D36680"/>
    <w:rsid w:val="00D36758"/>
    <w:rsid w:val="00D3689D"/>
    <w:rsid w:val="00D368CA"/>
    <w:rsid w:val="00D379BF"/>
    <w:rsid w:val="00D402E1"/>
    <w:rsid w:val="00D40412"/>
    <w:rsid w:val="00D41152"/>
    <w:rsid w:val="00D41990"/>
    <w:rsid w:val="00D41B1F"/>
    <w:rsid w:val="00D4252E"/>
    <w:rsid w:val="00D42785"/>
    <w:rsid w:val="00D42B29"/>
    <w:rsid w:val="00D42D66"/>
    <w:rsid w:val="00D43148"/>
    <w:rsid w:val="00D43800"/>
    <w:rsid w:val="00D43811"/>
    <w:rsid w:val="00D43E4B"/>
    <w:rsid w:val="00D4416F"/>
    <w:rsid w:val="00D44CE7"/>
    <w:rsid w:val="00D451D3"/>
    <w:rsid w:val="00D454D9"/>
    <w:rsid w:val="00D457DC"/>
    <w:rsid w:val="00D4590E"/>
    <w:rsid w:val="00D46C70"/>
    <w:rsid w:val="00D46D17"/>
    <w:rsid w:val="00D47652"/>
    <w:rsid w:val="00D4788A"/>
    <w:rsid w:val="00D47B54"/>
    <w:rsid w:val="00D521EC"/>
    <w:rsid w:val="00D53CE6"/>
    <w:rsid w:val="00D5414F"/>
    <w:rsid w:val="00D546D1"/>
    <w:rsid w:val="00D54D2E"/>
    <w:rsid w:val="00D565A9"/>
    <w:rsid w:val="00D57433"/>
    <w:rsid w:val="00D574BE"/>
    <w:rsid w:val="00D6178C"/>
    <w:rsid w:val="00D6191D"/>
    <w:rsid w:val="00D61F29"/>
    <w:rsid w:val="00D62888"/>
    <w:rsid w:val="00D62F09"/>
    <w:rsid w:val="00D63617"/>
    <w:rsid w:val="00D639AB"/>
    <w:rsid w:val="00D649C7"/>
    <w:rsid w:val="00D64E8B"/>
    <w:rsid w:val="00D6639C"/>
    <w:rsid w:val="00D66E58"/>
    <w:rsid w:val="00D67C57"/>
    <w:rsid w:val="00D71551"/>
    <w:rsid w:val="00D72A6A"/>
    <w:rsid w:val="00D73B85"/>
    <w:rsid w:val="00D73C7C"/>
    <w:rsid w:val="00D73DD3"/>
    <w:rsid w:val="00D74961"/>
    <w:rsid w:val="00D74E35"/>
    <w:rsid w:val="00D74E89"/>
    <w:rsid w:val="00D7539E"/>
    <w:rsid w:val="00D753AD"/>
    <w:rsid w:val="00D759C7"/>
    <w:rsid w:val="00D75CDE"/>
    <w:rsid w:val="00D75D45"/>
    <w:rsid w:val="00D7607E"/>
    <w:rsid w:val="00D76BC2"/>
    <w:rsid w:val="00D77F3F"/>
    <w:rsid w:val="00D77FBC"/>
    <w:rsid w:val="00D80047"/>
    <w:rsid w:val="00D80EB5"/>
    <w:rsid w:val="00D81EEB"/>
    <w:rsid w:val="00D82A76"/>
    <w:rsid w:val="00D83428"/>
    <w:rsid w:val="00D83766"/>
    <w:rsid w:val="00D8429E"/>
    <w:rsid w:val="00D84562"/>
    <w:rsid w:val="00D84830"/>
    <w:rsid w:val="00D84AD8"/>
    <w:rsid w:val="00D854F1"/>
    <w:rsid w:val="00D86A8C"/>
    <w:rsid w:val="00D872F0"/>
    <w:rsid w:val="00D873AD"/>
    <w:rsid w:val="00D874C4"/>
    <w:rsid w:val="00D8751F"/>
    <w:rsid w:val="00D8766B"/>
    <w:rsid w:val="00D87A90"/>
    <w:rsid w:val="00D87DE4"/>
    <w:rsid w:val="00D901A6"/>
    <w:rsid w:val="00D90294"/>
    <w:rsid w:val="00D9085D"/>
    <w:rsid w:val="00D91900"/>
    <w:rsid w:val="00D91AF6"/>
    <w:rsid w:val="00D92118"/>
    <w:rsid w:val="00D92FD1"/>
    <w:rsid w:val="00D93071"/>
    <w:rsid w:val="00D9364F"/>
    <w:rsid w:val="00D9424E"/>
    <w:rsid w:val="00D9474A"/>
    <w:rsid w:val="00D955B1"/>
    <w:rsid w:val="00D97B89"/>
    <w:rsid w:val="00D97CD5"/>
    <w:rsid w:val="00DA0023"/>
    <w:rsid w:val="00DA27A9"/>
    <w:rsid w:val="00DA27EE"/>
    <w:rsid w:val="00DA2954"/>
    <w:rsid w:val="00DA3403"/>
    <w:rsid w:val="00DA3D9A"/>
    <w:rsid w:val="00DA50A2"/>
    <w:rsid w:val="00DA55C6"/>
    <w:rsid w:val="00DA5604"/>
    <w:rsid w:val="00DA666D"/>
    <w:rsid w:val="00DA6C4A"/>
    <w:rsid w:val="00DA6DAB"/>
    <w:rsid w:val="00DA77EE"/>
    <w:rsid w:val="00DB00A1"/>
    <w:rsid w:val="00DB0FB0"/>
    <w:rsid w:val="00DB1003"/>
    <w:rsid w:val="00DB291A"/>
    <w:rsid w:val="00DB35E2"/>
    <w:rsid w:val="00DB3EA7"/>
    <w:rsid w:val="00DB4C25"/>
    <w:rsid w:val="00DB5996"/>
    <w:rsid w:val="00DB655D"/>
    <w:rsid w:val="00DB6D8F"/>
    <w:rsid w:val="00DB7706"/>
    <w:rsid w:val="00DC05C5"/>
    <w:rsid w:val="00DC0609"/>
    <w:rsid w:val="00DC2EBE"/>
    <w:rsid w:val="00DC414B"/>
    <w:rsid w:val="00DC4710"/>
    <w:rsid w:val="00DC5914"/>
    <w:rsid w:val="00DC6347"/>
    <w:rsid w:val="00DC640F"/>
    <w:rsid w:val="00DC68CE"/>
    <w:rsid w:val="00DD00EB"/>
    <w:rsid w:val="00DD032C"/>
    <w:rsid w:val="00DD0D42"/>
    <w:rsid w:val="00DD0E0D"/>
    <w:rsid w:val="00DD1EC4"/>
    <w:rsid w:val="00DD1F68"/>
    <w:rsid w:val="00DD29B1"/>
    <w:rsid w:val="00DD3676"/>
    <w:rsid w:val="00DD3915"/>
    <w:rsid w:val="00DD3EA1"/>
    <w:rsid w:val="00DD4E19"/>
    <w:rsid w:val="00DD5082"/>
    <w:rsid w:val="00DD58B7"/>
    <w:rsid w:val="00DD59C5"/>
    <w:rsid w:val="00DD6412"/>
    <w:rsid w:val="00DD775B"/>
    <w:rsid w:val="00DD7A0B"/>
    <w:rsid w:val="00DD7D16"/>
    <w:rsid w:val="00DD7FFA"/>
    <w:rsid w:val="00DE0594"/>
    <w:rsid w:val="00DE18D8"/>
    <w:rsid w:val="00DE1FA7"/>
    <w:rsid w:val="00DE23D0"/>
    <w:rsid w:val="00DE44F1"/>
    <w:rsid w:val="00DE4CD7"/>
    <w:rsid w:val="00DE59E6"/>
    <w:rsid w:val="00DE5AE7"/>
    <w:rsid w:val="00DE74E3"/>
    <w:rsid w:val="00DE78FF"/>
    <w:rsid w:val="00DF042B"/>
    <w:rsid w:val="00DF0507"/>
    <w:rsid w:val="00DF053B"/>
    <w:rsid w:val="00DF07F5"/>
    <w:rsid w:val="00DF09C4"/>
    <w:rsid w:val="00DF11B0"/>
    <w:rsid w:val="00DF16C0"/>
    <w:rsid w:val="00DF2C63"/>
    <w:rsid w:val="00DF2F1B"/>
    <w:rsid w:val="00DF506C"/>
    <w:rsid w:val="00DF532E"/>
    <w:rsid w:val="00DF6579"/>
    <w:rsid w:val="00DF70C4"/>
    <w:rsid w:val="00DF70D4"/>
    <w:rsid w:val="00E00910"/>
    <w:rsid w:val="00E01BC4"/>
    <w:rsid w:val="00E01DDC"/>
    <w:rsid w:val="00E01FFF"/>
    <w:rsid w:val="00E02247"/>
    <w:rsid w:val="00E02666"/>
    <w:rsid w:val="00E030B5"/>
    <w:rsid w:val="00E03202"/>
    <w:rsid w:val="00E03DCD"/>
    <w:rsid w:val="00E05107"/>
    <w:rsid w:val="00E05BED"/>
    <w:rsid w:val="00E06AF4"/>
    <w:rsid w:val="00E07EA3"/>
    <w:rsid w:val="00E07EB9"/>
    <w:rsid w:val="00E10509"/>
    <w:rsid w:val="00E11266"/>
    <w:rsid w:val="00E12887"/>
    <w:rsid w:val="00E13C1A"/>
    <w:rsid w:val="00E13D6B"/>
    <w:rsid w:val="00E13DB8"/>
    <w:rsid w:val="00E156F7"/>
    <w:rsid w:val="00E15724"/>
    <w:rsid w:val="00E15796"/>
    <w:rsid w:val="00E157FE"/>
    <w:rsid w:val="00E16FD5"/>
    <w:rsid w:val="00E20399"/>
    <w:rsid w:val="00E20AD8"/>
    <w:rsid w:val="00E20EB8"/>
    <w:rsid w:val="00E20F5F"/>
    <w:rsid w:val="00E21043"/>
    <w:rsid w:val="00E21224"/>
    <w:rsid w:val="00E21F20"/>
    <w:rsid w:val="00E22264"/>
    <w:rsid w:val="00E2298D"/>
    <w:rsid w:val="00E22BFC"/>
    <w:rsid w:val="00E22C3B"/>
    <w:rsid w:val="00E22C66"/>
    <w:rsid w:val="00E234F6"/>
    <w:rsid w:val="00E248D9"/>
    <w:rsid w:val="00E25848"/>
    <w:rsid w:val="00E25C46"/>
    <w:rsid w:val="00E25C6B"/>
    <w:rsid w:val="00E25C93"/>
    <w:rsid w:val="00E26235"/>
    <w:rsid w:val="00E26CEF"/>
    <w:rsid w:val="00E27373"/>
    <w:rsid w:val="00E30097"/>
    <w:rsid w:val="00E31740"/>
    <w:rsid w:val="00E31E07"/>
    <w:rsid w:val="00E320A8"/>
    <w:rsid w:val="00E324AE"/>
    <w:rsid w:val="00E3285B"/>
    <w:rsid w:val="00E32ADA"/>
    <w:rsid w:val="00E335B9"/>
    <w:rsid w:val="00E33DE7"/>
    <w:rsid w:val="00E340F3"/>
    <w:rsid w:val="00E35445"/>
    <w:rsid w:val="00E358F8"/>
    <w:rsid w:val="00E3639D"/>
    <w:rsid w:val="00E3741E"/>
    <w:rsid w:val="00E413F4"/>
    <w:rsid w:val="00E418E7"/>
    <w:rsid w:val="00E42458"/>
    <w:rsid w:val="00E426D6"/>
    <w:rsid w:val="00E42767"/>
    <w:rsid w:val="00E428D2"/>
    <w:rsid w:val="00E42B86"/>
    <w:rsid w:val="00E431C9"/>
    <w:rsid w:val="00E44450"/>
    <w:rsid w:val="00E44943"/>
    <w:rsid w:val="00E45169"/>
    <w:rsid w:val="00E45CB0"/>
    <w:rsid w:val="00E4601D"/>
    <w:rsid w:val="00E46157"/>
    <w:rsid w:val="00E502C2"/>
    <w:rsid w:val="00E50955"/>
    <w:rsid w:val="00E53191"/>
    <w:rsid w:val="00E53536"/>
    <w:rsid w:val="00E54277"/>
    <w:rsid w:val="00E543C0"/>
    <w:rsid w:val="00E54D8A"/>
    <w:rsid w:val="00E553E8"/>
    <w:rsid w:val="00E56005"/>
    <w:rsid w:val="00E560DF"/>
    <w:rsid w:val="00E56199"/>
    <w:rsid w:val="00E561C5"/>
    <w:rsid w:val="00E561F3"/>
    <w:rsid w:val="00E5685A"/>
    <w:rsid w:val="00E56F2D"/>
    <w:rsid w:val="00E573F3"/>
    <w:rsid w:val="00E57AD1"/>
    <w:rsid w:val="00E60714"/>
    <w:rsid w:val="00E61950"/>
    <w:rsid w:val="00E6381A"/>
    <w:rsid w:val="00E63D5F"/>
    <w:rsid w:val="00E6534A"/>
    <w:rsid w:val="00E655C4"/>
    <w:rsid w:val="00E65F8D"/>
    <w:rsid w:val="00E668BA"/>
    <w:rsid w:val="00E66E0E"/>
    <w:rsid w:val="00E67229"/>
    <w:rsid w:val="00E675B8"/>
    <w:rsid w:val="00E70262"/>
    <w:rsid w:val="00E7028E"/>
    <w:rsid w:val="00E7064B"/>
    <w:rsid w:val="00E70655"/>
    <w:rsid w:val="00E70B4A"/>
    <w:rsid w:val="00E71B80"/>
    <w:rsid w:val="00E72305"/>
    <w:rsid w:val="00E7261C"/>
    <w:rsid w:val="00E731C3"/>
    <w:rsid w:val="00E735FD"/>
    <w:rsid w:val="00E73F79"/>
    <w:rsid w:val="00E743BF"/>
    <w:rsid w:val="00E753EC"/>
    <w:rsid w:val="00E758EA"/>
    <w:rsid w:val="00E75C39"/>
    <w:rsid w:val="00E76A34"/>
    <w:rsid w:val="00E774A4"/>
    <w:rsid w:val="00E7794B"/>
    <w:rsid w:val="00E77A17"/>
    <w:rsid w:val="00E8027A"/>
    <w:rsid w:val="00E80A65"/>
    <w:rsid w:val="00E80C9E"/>
    <w:rsid w:val="00E81E71"/>
    <w:rsid w:val="00E820EF"/>
    <w:rsid w:val="00E83F26"/>
    <w:rsid w:val="00E83FAC"/>
    <w:rsid w:val="00E857B4"/>
    <w:rsid w:val="00E85D13"/>
    <w:rsid w:val="00E87719"/>
    <w:rsid w:val="00E878A6"/>
    <w:rsid w:val="00E90131"/>
    <w:rsid w:val="00E90998"/>
    <w:rsid w:val="00E914E8"/>
    <w:rsid w:val="00E915DE"/>
    <w:rsid w:val="00E91CBB"/>
    <w:rsid w:val="00E92757"/>
    <w:rsid w:val="00E93AAC"/>
    <w:rsid w:val="00E941F3"/>
    <w:rsid w:val="00E94CB4"/>
    <w:rsid w:val="00E95123"/>
    <w:rsid w:val="00E95324"/>
    <w:rsid w:val="00E958AC"/>
    <w:rsid w:val="00E966C6"/>
    <w:rsid w:val="00E969CA"/>
    <w:rsid w:val="00E96AB1"/>
    <w:rsid w:val="00E975E7"/>
    <w:rsid w:val="00EA02C9"/>
    <w:rsid w:val="00EA0A58"/>
    <w:rsid w:val="00EA17AD"/>
    <w:rsid w:val="00EA1A42"/>
    <w:rsid w:val="00EA1E87"/>
    <w:rsid w:val="00EA35FA"/>
    <w:rsid w:val="00EA4AFE"/>
    <w:rsid w:val="00EA4D3D"/>
    <w:rsid w:val="00EA4E10"/>
    <w:rsid w:val="00EA5092"/>
    <w:rsid w:val="00EA53F3"/>
    <w:rsid w:val="00EA586E"/>
    <w:rsid w:val="00EA5FC7"/>
    <w:rsid w:val="00EA6231"/>
    <w:rsid w:val="00EA6E50"/>
    <w:rsid w:val="00EA6FD2"/>
    <w:rsid w:val="00EA7185"/>
    <w:rsid w:val="00EA7298"/>
    <w:rsid w:val="00EA75EC"/>
    <w:rsid w:val="00EB08F6"/>
    <w:rsid w:val="00EB09CE"/>
    <w:rsid w:val="00EB108E"/>
    <w:rsid w:val="00EB12B2"/>
    <w:rsid w:val="00EB34F5"/>
    <w:rsid w:val="00EB398F"/>
    <w:rsid w:val="00EB45E8"/>
    <w:rsid w:val="00EB5ABE"/>
    <w:rsid w:val="00EB67A2"/>
    <w:rsid w:val="00EB67FC"/>
    <w:rsid w:val="00EB69B2"/>
    <w:rsid w:val="00EB736D"/>
    <w:rsid w:val="00EB7BD1"/>
    <w:rsid w:val="00EC008B"/>
    <w:rsid w:val="00EC03C8"/>
    <w:rsid w:val="00EC0C2B"/>
    <w:rsid w:val="00EC0C3A"/>
    <w:rsid w:val="00EC108B"/>
    <w:rsid w:val="00EC1552"/>
    <w:rsid w:val="00EC16A4"/>
    <w:rsid w:val="00EC17ED"/>
    <w:rsid w:val="00EC21FE"/>
    <w:rsid w:val="00EC23ED"/>
    <w:rsid w:val="00EC2730"/>
    <w:rsid w:val="00EC3034"/>
    <w:rsid w:val="00EC309F"/>
    <w:rsid w:val="00EC3F24"/>
    <w:rsid w:val="00EC3F40"/>
    <w:rsid w:val="00EC4B30"/>
    <w:rsid w:val="00EC5C82"/>
    <w:rsid w:val="00EC698D"/>
    <w:rsid w:val="00EC6C5C"/>
    <w:rsid w:val="00EC6F3F"/>
    <w:rsid w:val="00ED1074"/>
    <w:rsid w:val="00ED126A"/>
    <w:rsid w:val="00ED2485"/>
    <w:rsid w:val="00ED2E3E"/>
    <w:rsid w:val="00ED3C83"/>
    <w:rsid w:val="00ED4602"/>
    <w:rsid w:val="00ED4B1E"/>
    <w:rsid w:val="00ED4D00"/>
    <w:rsid w:val="00ED6BC0"/>
    <w:rsid w:val="00ED6BC2"/>
    <w:rsid w:val="00ED6DB9"/>
    <w:rsid w:val="00ED6E2A"/>
    <w:rsid w:val="00ED74D8"/>
    <w:rsid w:val="00ED779B"/>
    <w:rsid w:val="00EE0C24"/>
    <w:rsid w:val="00EE1F6D"/>
    <w:rsid w:val="00EE2F32"/>
    <w:rsid w:val="00EE32A8"/>
    <w:rsid w:val="00EE3783"/>
    <w:rsid w:val="00EE39D7"/>
    <w:rsid w:val="00EE3C22"/>
    <w:rsid w:val="00EE3CFA"/>
    <w:rsid w:val="00EE3DBE"/>
    <w:rsid w:val="00EE4D62"/>
    <w:rsid w:val="00EE5294"/>
    <w:rsid w:val="00EE5784"/>
    <w:rsid w:val="00EE6C0B"/>
    <w:rsid w:val="00EE7583"/>
    <w:rsid w:val="00EF011F"/>
    <w:rsid w:val="00EF0590"/>
    <w:rsid w:val="00EF09E6"/>
    <w:rsid w:val="00EF229B"/>
    <w:rsid w:val="00EF2CC3"/>
    <w:rsid w:val="00EF303D"/>
    <w:rsid w:val="00EF3D7A"/>
    <w:rsid w:val="00EF3F58"/>
    <w:rsid w:val="00EF567C"/>
    <w:rsid w:val="00EF575A"/>
    <w:rsid w:val="00EF5867"/>
    <w:rsid w:val="00EF5B03"/>
    <w:rsid w:val="00EF5D4E"/>
    <w:rsid w:val="00EF5F8A"/>
    <w:rsid w:val="00EF6029"/>
    <w:rsid w:val="00EF63F4"/>
    <w:rsid w:val="00EF6D37"/>
    <w:rsid w:val="00F016E2"/>
    <w:rsid w:val="00F01714"/>
    <w:rsid w:val="00F0305C"/>
    <w:rsid w:val="00F034C2"/>
    <w:rsid w:val="00F03AA5"/>
    <w:rsid w:val="00F04D5D"/>
    <w:rsid w:val="00F05458"/>
    <w:rsid w:val="00F065A4"/>
    <w:rsid w:val="00F06AAF"/>
    <w:rsid w:val="00F06B73"/>
    <w:rsid w:val="00F06BCF"/>
    <w:rsid w:val="00F07C4C"/>
    <w:rsid w:val="00F07EA9"/>
    <w:rsid w:val="00F10694"/>
    <w:rsid w:val="00F10D76"/>
    <w:rsid w:val="00F119E9"/>
    <w:rsid w:val="00F128EE"/>
    <w:rsid w:val="00F1378F"/>
    <w:rsid w:val="00F149CD"/>
    <w:rsid w:val="00F14AD4"/>
    <w:rsid w:val="00F14DC5"/>
    <w:rsid w:val="00F15748"/>
    <w:rsid w:val="00F16857"/>
    <w:rsid w:val="00F16A6D"/>
    <w:rsid w:val="00F1704B"/>
    <w:rsid w:val="00F17958"/>
    <w:rsid w:val="00F179A4"/>
    <w:rsid w:val="00F17ADF"/>
    <w:rsid w:val="00F17B06"/>
    <w:rsid w:val="00F2010E"/>
    <w:rsid w:val="00F20F40"/>
    <w:rsid w:val="00F22087"/>
    <w:rsid w:val="00F22BDD"/>
    <w:rsid w:val="00F22F09"/>
    <w:rsid w:val="00F23F09"/>
    <w:rsid w:val="00F24DA0"/>
    <w:rsid w:val="00F24E6D"/>
    <w:rsid w:val="00F2523C"/>
    <w:rsid w:val="00F25A59"/>
    <w:rsid w:val="00F263F0"/>
    <w:rsid w:val="00F2667F"/>
    <w:rsid w:val="00F274BD"/>
    <w:rsid w:val="00F27A2A"/>
    <w:rsid w:val="00F27B60"/>
    <w:rsid w:val="00F30D74"/>
    <w:rsid w:val="00F3116C"/>
    <w:rsid w:val="00F31468"/>
    <w:rsid w:val="00F31A57"/>
    <w:rsid w:val="00F31CCD"/>
    <w:rsid w:val="00F32C9A"/>
    <w:rsid w:val="00F33667"/>
    <w:rsid w:val="00F34A1C"/>
    <w:rsid w:val="00F34F33"/>
    <w:rsid w:val="00F361BA"/>
    <w:rsid w:val="00F36252"/>
    <w:rsid w:val="00F3646D"/>
    <w:rsid w:val="00F374E1"/>
    <w:rsid w:val="00F37D82"/>
    <w:rsid w:val="00F40007"/>
    <w:rsid w:val="00F40A97"/>
    <w:rsid w:val="00F42149"/>
    <w:rsid w:val="00F4267C"/>
    <w:rsid w:val="00F429F1"/>
    <w:rsid w:val="00F4307A"/>
    <w:rsid w:val="00F43973"/>
    <w:rsid w:val="00F43A3F"/>
    <w:rsid w:val="00F43AC3"/>
    <w:rsid w:val="00F43ED5"/>
    <w:rsid w:val="00F4406B"/>
    <w:rsid w:val="00F444A8"/>
    <w:rsid w:val="00F44E75"/>
    <w:rsid w:val="00F44F61"/>
    <w:rsid w:val="00F46154"/>
    <w:rsid w:val="00F46203"/>
    <w:rsid w:val="00F4621D"/>
    <w:rsid w:val="00F464D4"/>
    <w:rsid w:val="00F46638"/>
    <w:rsid w:val="00F46B36"/>
    <w:rsid w:val="00F46CB4"/>
    <w:rsid w:val="00F47167"/>
    <w:rsid w:val="00F4750E"/>
    <w:rsid w:val="00F47A6A"/>
    <w:rsid w:val="00F5009E"/>
    <w:rsid w:val="00F5037B"/>
    <w:rsid w:val="00F50FEB"/>
    <w:rsid w:val="00F51910"/>
    <w:rsid w:val="00F51F18"/>
    <w:rsid w:val="00F52072"/>
    <w:rsid w:val="00F5228D"/>
    <w:rsid w:val="00F52FB9"/>
    <w:rsid w:val="00F532E3"/>
    <w:rsid w:val="00F53DED"/>
    <w:rsid w:val="00F54C2F"/>
    <w:rsid w:val="00F5518F"/>
    <w:rsid w:val="00F55306"/>
    <w:rsid w:val="00F55715"/>
    <w:rsid w:val="00F560A2"/>
    <w:rsid w:val="00F56B5C"/>
    <w:rsid w:val="00F56ECC"/>
    <w:rsid w:val="00F56F51"/>
    <w:rsid w:val="00F6001B"/>
    <w:rsid w:val="00F605C9"/>
    <w:rsid w:val="00F607E0"/>
    <w:rsid w:val="00F6091B"/>
    <w:rsid w:val="00F60944"/>
    <w:rsid w:val="00F60C89"/>
    <w:rsid w:val="00F61724"/>
    <w:rsid w:val="00F618CC"/>
    <w:rsid w:val="00F6192B"/>
    <w:rsid w:val="00F6214C"/>
    <w:rsid w:val="00F6373A"/>
    <w:rsid w:val="00F63E2D"/>
    <w:rsid w:val="00F64420"/>
    <w:rsid w:val="00F65326"/>
    <w:rsid w:val="00F658C7"/>
    <w:rsid w:val="00F66822"/>
    <w:rsid w:val="00F67D47"/>
    <w:rsid w:val="00F706FC"/>
    <w:rsid w:val="00F7190A"/>
    <w:rsid w:val="00F71F5B"/>
    <w:rsid w:val="00F72A0C"/>
    <w:rsid w:val="00F730D5"/>
    <w:rsid w:val="00F735CE"/>
    <w:rsid w:val="00F7400A"/>
    <w:rsid w:val="00F750D3"/>
    <w:rsid w:val="00F757D4"/>
    <w:rsid w:val="00F75E2B"/>
    <w:rsid w:val="00F761C8"/>
    <w:rsid w:val="00F763A6"/>
    <w:rsid w:val="00F7682B"/>
    <w:rsid w:val="00F76D1D"/>
    <w:rsid w:val="00F77378"/>
    <w:rsid w:val="00F7778C"/>
    <w:rsid w:val="00F8022E"/>
    <w:rsid w:val="00F80571"/>
    <w:rsid w:val="00F80752"/>
    <w:rsid w:val="00F8171E"/>
    <w:rsid w:val="00F82FD1"/>
    <w:rsid w:val="00F8312B"/>
    <w:rsid w:val="00F83A3C"/>
    <w:rsid w:val="00F84F97"/>
    <w:rsid w:val="00F8573B"/>
    <w:rsid w:val="00F85E21"/>
    <w:rsid w:val="00F860E8"/>
    <w:rsid w:val="00F87698"/>
    <w:rsid w:val="00F902B0"/>
    <w:rsid w:val="00F90531"/>
    <w:rsid w:val="00F90598"/>
    <w:rsid w:val="00F90959"/>
    <w:rsid w:val="00F91731"/>
    <w:rsid w:val="00F91AE4"/>
    <w:rsid w:val="00F91D8E"/>
    <w:rsid w:val="00F91D9D"/>
    <w:rsid w:val="00F92A8B"/>
    <w:rsid w:val="00F92E48"/>
    <w:rsid w:val="00F936A9"/>
    <w:rsid w:val="00F94969"/>
    <w:rsid w:val="00F95A65"/>
    <w:rsid w:val="00F9602C"/>
    <w:rsid w:val="00F966D2"/>
    <w:rsid w:val="00F96BA1"/>
    <w:rsid w:val="00F970F4"/>
    <w:rsid w:val="00F9729C"/>
    <w:rsid w:val="00F9742D"/>
    <w:rsid w:val="00FA0319"/>
    <w:rsid w:val="00FA07D3"/>
    <w:rsid w:val="00FA0914"/>
    <w:rsid w:val="00FA0D15"/>
    <w:rsid w:val="00FA2DBE"/>
    <w:rsid w:val="00FA4F1C"/>
    <w:rsid w:val="00FA50CA"/>
    <w:rsid w:val="00FA68BA"/>
    <w:rsid w:val="00FA69DB"/>
    <w:rsid w:val="00FA7142"/>
    <w:rsid w:val="00FA73F0"/>
    <w:rsid w:val="00FA7753"/>
    <w:rsid w:val="00FA7A02"/>
    <w:rsid w:val="00FB00A9"/>
    <w:rsid w:val="00FB1329"/>
    <w:rsid w:val="00FB2249"/>
    <w:rsid w:val="00FB242A"/>
    <w:rsid w:val="00FB2C7B"/>
    <w:rsid w:val="00FB3497"/>
    <w:rsid w:val="00FB3C42"/>
    <w:rsid w:val="00FB42C1"/>
    <w:rsid w:val="00FB45A9"/>
    <w:rsid w:val="00FB4DB2"/>
    <w:rsid w:val="00FB51AA"/>
    <w:rsid w:val="00FB56B9"/>
    <w:rsid w:val="00FB56C9"/>
    <w:rsid w:val="00FB5B3D"/>
    <w:rsid w:val="00FB5DFC"/>
    <w:rsid w:val="00FB5F73"/>
    <w:rsid w:val="00FB6AC2"/>
    <w:rsid w:val="00FB6C7E"/>
    <w:rsid w:val="00FB6D43"/>
    <w:rsid w:val="00FB6DBD"/>
    <w:rsid w:val="00FB7878"/>
    <w:rsid w:val="00FB7DEC"/>
    <w:rsid w:val="00FC1F2C"/>
    <w:rsid w:val="00FC2089"/>
    <w:rsid w:val="00FC22B8"/>
    <w:rsid w:val="00FC2E1E"/>
    <w:rsid w:val="00FC48BF"/>
    <w:rsid w:val="00FC5558"/>
    <w:rsid w:val="00FC667A"/>
    <w:rsid w:val="00FC66AC"/>
    <w:rsid w:val="00FC6DDE"/>
    <w:rsid w:val="00FC783D"/>
    <w:rsid w:val="00FC7D48"/>
    <w:rsid w:val="00FD042C"/>
    <w:rsid w:val="00FD1386"/>
    <w:rsid w:val="00FD19FE"/>
    <w:rsid w:val="00FD1A98"/>
    <w:rsid w:val="00FD1ACC"/>
    <w:rsid w:val="00FD1F6B"/>
    <w:rsid w:val="00FD2285"/>
    <w:rsid w:val="00FD2EE5"/>
    <w:rsid w:val="00FD3192"/>
    <w:rsid w:val="00FD3293"/>
    <w:rsid w:val="00FD4A43"/>
    <w:rsid w:val="00FD51A6"/>
    <w:rsid w:val="00FD5219"/>
    <w:rsid w:val="00FD64C4"/>
    <w:rsid w:val="00FD6E53"/>
    <w:rsid w:val="00FD7841"/>
    <w:rsid w:val="00FD7FB0"/>
    <w:rsid w:val="00FE0082"/>
    <w:rsid w:val="00FE067B"/>
    <w:rsid w:val="00FE1A68"/>
    <w:rsid w:val="00FE1CA2"/>
    <w:rsid w:val="00FE1CBF"/>
    <w:rsid w:val="00FE2D72"/>
    <w:rsid w:val="00FE2F9A"/>
    <w:rsid w:val="00FE42B5"/>
    <w:rsid w:val="00FE4B97"/>
    <w:rsid w:val="00FE5D6B"/>
    <w:rsid w:val="00FE6898"/>
    <w:rsid w:val="00FE69B1"/>
    <w:rsid w:val="00FE71E0"/>
    <w:rsid w:val="00FE73F2"/>
    <w:rsid w:val="00FE7D49"/>
    <w:rsid w:val="00FF06B0"/>
    <w:rsid w:val="00FF09DA"/>
    <w:rsid w:val="00FF0B36"/>
    <w:rsid w:val="00FF0FFA"/>
    <w:rsid w:val="00FF2292"/>
    <w:rsid w:val="00FF3AEB"/>
    <w:rsid w:val="00FF3C96"/>
    <w:rsid w:val="00FF4F26"/>
    <w:rsid w:val="00FF57B9"/>
    <w:rsid w:val="00FF5AD6"/>
    <w:rsid w:val="00FF6695"/>
    <w:rsid w:val="00FF6B73"/>
    <w:rsid w:val="00FF70D6"/>
    <w:rsid w:val="00FF77C2"/>
    <w:rsid w:val="00FF79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12A92"/>
  <w15:docId w15:val="{7CDC2FEA-2888-47B3-91A5-82F703CE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240"/>
  </w:style>
  <w:style w:type="paragraph" w:styleId="Heading1">
    <w:name w:val="heading 1"/>
    <w:basedOn w:val="Normal"/>
    <w:next w:val="Normal"/>
    <w:link w:val="Heading1Char"/>
    <w:uiPriority w:val="9"/>
    <w:qFormat/>
    <w:rsid w:val="007265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1AE"/>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91D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0D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5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656B"/>
    <w:pPr>
      <w:outlineLvl w:val="9"/>
    </w:pPr>
    <w:rPr>
      <w:kern w:val="0"/>
      <w:lang w:val="en-US"/>
      <w14:ligatures w14:val="none"/>
    </w:rPr>
  </w:style>
  <w:style w:type="character" w:customStyle="1" w:styleId="Heading2Char">
    <w:name w:val="Heading 2 Char"/>
    <w:basedOn w:val="DefaultParagraphFont"/>
    <w:link w:val="Heading2"/>
    <w:uiPriority w:val="9"/>
    <w:rsid w:val="00D321AE"/>
    <w:rPr>
      <w:rFonts w:asciiTheme="majorHAnsi" w:eastAsiaTheme="majorEastAsia" w:hAnsiTheme="majorHAnsi" w:cstheme="majorBidi"/>
      <w:b/>
      <w:color w:val="2F5496" w:themeColor="accent1" w:themeShade="BF"/>
      <w:sz w:val="26"/>
      <w:szCs w:val="26"/>
    </w:rPr>
  </w:style>
  <w:style w:type="paragraph" w:styleId="ListParagraph">
    <w:name w:val="List Paragraph"/>
    <w:aliases w:val="bullets - top,Lettre d'introduction,List Paragraph1,List Paragraph - bullets,Bullet List 1,Unordered List Level 1,Indented Paragraph,Recommendation,List Paragraph11,Bullet list,Heading 4 test,Dot pt,F5 List Paragraph,b1,B1"/>
    <w:basedOn w:val="Normal"/>
    <w:link w:val="ListParagraphChar"/>
    <w:uiPriority w:val="34"/>
    <w:qFormat/>
    <w:rsid w:val="0072656B"/>
    <w:pPr>
      <w:ind w:left="720"/>
      <w:contextualSpacing/>
    </w:pPr>
  </w:style>
  <w:style w:type="paragraph" w:styleId="TOC1">
    <w:name w:val="toc 1"/>
    <w:basedOn w:val="Normal"/>
    <w:next w:val="Normal"/>
    <w:autoRedefine/>
    <w:uiPriority w:val="39"/>
    <w:unhideWhenUsed/>
    <w:rsid w:val="0023151B"/>
    <w:pPr>
      <w:spacing w:before="120" w:after="0"/>
    </w:pPr>
    <w:rPr>
      <w:rFonts w:cstheme="minorHAnsi"/>
      <w:b/>
      <w:bCs/>
      <w:i/>
      <w:iCs/>
      <w:sz w:val="24"/>
      <w:szCs w:val="24"/>
    </w:rPr>
  </w:style>
  <w:style w:type="paragraph" w:styleId="TOC2">
    <w:name w:val="toc 2"/>
    <w:basedOn w:val="Normal"/>
    <w:next w:val="Normal"/>
    <w:autoRedefine/>
    <w:uiPriority w:val="39"/>
    <w:unhideWhenUsed/>
    <w:rsid w:val="00DA3D9A"/>
    <w:pPr>
      <w:spacing w:before="120" w:after="0"/>
      <w:ind w:left="220"/>
    </w:pPr>
    <w:rPr>
      <w:rFonts w:cstheme="minorHAnsi"/>
      <w:b/>
      <w:bCs/>
    </w:rPr>
  </w:style>
  <w:style w:type="character" w:styleId="Hyperlink">
    <w:name w:val="Hyperlink"/>
    <w:basedOn w:val="DefaultParagraphFont"/>
    <w:uiPriority w:val="99"/>
    <w:unhideWhenUsed/>
    <w:rsid w:val="0023151B"/>
    <w:rPr>
      <w:color w:val="0563C1" w:themeColor="hyperlink"/>
      <w:u w:val="single"/>
    </w:rPr>
  </w:style>
  <w:style w:type="paragraph" w:styleId="FootnoteText">
    <w:name w:val="footnote text"/>
    <w:aliases w:val="alinéa de note,5_G,Footnotes,Note de bas de page2,fn,Fußnotentext RAXEN,Footnote Text Char2 Char,Footnote Text Char Char1 Char,Footnote Text Char2 Char Char Char,Footnote Text Char1 Char Char Char Char,footnotes,footnote text,Tex,Car,F"/>
    <w:basedOn w:val="Normal"/>
    <w:link w:val="FootnoteTextChar"/>
    <w:uiPriority w:val="99"/>
    <w:unhideWhenUsed/>
    <w:qFormat/>
    <w:rsid w:val="0060645D"/>
    <w:pPr>
      <w:spacing w:after="0" w:line="240" w:lineRule="auto"/>
    </w:pPr>
    <w:rPr>
      <w:sz w:val="20"/>
      <w:szCs w:val="20"/>
    </w:rPr>
  </w:style>
  <w:style w:type="character" w:customStyle="1" w:styleId="FootnoteTextChar">
    <w:name w:val="Footnote Text Char"/>
    <w:aliases w:val="alinéa de note Char,5_G Char,Footnotes Char,Note de bas de page2 Char,fn Char,Fußnotentext RAXEN Char,Footnote Text Char2 Char Char,Footnote Text Char Char1 Char Char,Footnote Text Char2 Char Char Char Char,footnotes Char,Tex Char"/>
    <w:basedOn w:val="DefaultParagraphFont"/>
    <w:link w:val="FootnoteText"/>
    <w:uiPriority w:val="99"/>
    <w:rsid w:val="0060645D"/>
    <w:rPr>
      <w:sz w:val="20"/>
      <w:szCs w:val="20"/>
    </w:rPr>
  </w:style>
  <w:style w:type="character" w:styleId="FootnoteReference">
    <w:name w:val="footnote reference"/>
    <w:aliases w:val="4_G,Footnotes refss,Footnote Ref,16 Point,Superscript 6 Point,callout,Ref,de nota al pie,Appel note de bas de p.,Footnote text,ftref,fr,oc-footreference,oc-footnoteref,oc-footreference1,oc-footnoteref1,(Diplomarbeit FZ),(Dipl..."/>
    <w:basedOn w:val="DefaultParagraphFont"/>
    <w:link w:val="FootnotesymbolCarZchnZchn"/>
    <w:uiPriority w:val="99"/>
    <w:unhideWhenUsed/>
    <w:qFormat/>
    <w:rsid w:val="0060645D"/>
    <w:rPr>
      <w:vertAlign w:val="superscript"/>
    </w:rPr>
  </w:style>
  <w:style w:type="character" w:customStyle="1" w:styleId="UnresolvedMention">
    <w:name w:val="Unresolved Mention"/>
    <w:basedOn w:val="DefaultParagraphFont"/>
    <w:uiPriority w:val="99"/>
    <w:semiHidden/>
    <w:unhideWhenUsed/>
    <w:rsid w:val="00D12036"/>
    <w:rPr>
      <w:color w:val="605E5C"/>
      <w:shd w:val="clear" w:color="auto" w:fill="E1DFDD"/>
    </w:rPr>
  </w:style>
  <w:style w:type="paragraph" w:styleId="Quote">
    <w:name w:val="Quote"/>
    <w:basedOn w:val="Normal"/>
    <w:next w:val="Normal"/>
    <w:link w:val="QuoteChar"/>
    <w:uiPriority w:val="29"/>
    <w:qFormat/>
    <w:rsid w:val="00FF09DA"/>
    <w:pPr>
      <w:spacing w:before="200"/>
      <w:ind w:left="567" w:right="713"/>
      <w:jc w:val="both"/>
    </w:pPr>
    <w:rPr>
      <w:color w:val="404040" w:themeColor="text1" w:themeTint="BF"/>
      <w:sz w:val="24"/>
      <w:szCs w:val="24"/>
    </w:rPr>
  </w:style>
  <w:style w:type="character" w:customStyle="1" w:styleId="QuoteChar">
    <w:name w:val="Quote Char"/>
    <w:basedOn w:val="DefaultParagraphFont"/>
    <w:link w:val="Quote"/>
    <w:uiPriority w:val="29"/>
    <w:rsid w:val="00FF09DA"/>
    <w:rPr>
      <w:color w:val="404040" w:themeColor="text1" w:themeTint="BF"/>
      <w:sz w:val="24"/>
      <w:szCs w:val="24"/>
    </w:rPr>
  </w:style>
  <w:style w:type="paragraph" w:styleId="Header">
    <w:name w:val="header"/>
    <w:basedOn w:val="Normal"/>
    <w:link w:val="HeaderChar"/>
    <w:uiPriority w:val="99"/>
    <w:unhideWhenUsed/>
    <w:rsid w:val="002F2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B4A"/>
  </w:style>
  <w:style w:type="paragraph" w:styleId="Footer">
    <w:name w:val="footer"/>
    <w:basedOn w:val="Normal"/>
    <w:link w:val="FooterChar"/>
    <w:uiPriority w:val="99"/>
    <w:unhideWhenUsed/>
    <w:rsid w:val="002F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B4A"/>
  </w:style>
  <w:style w:type="character" w:styleId="FollowedHyperlink">
    <w:name w:val="FollowedHyperlink"/>
    <w:basedOn w:val="DefaultParagraphFont"/>
    <w:uiPriority w:val="99"/>
    <w:semiHidden/>
    <w:unhideWhenUsed/>
    <w:rsid w:val="003459E5"/>
    <w:rPr>
      <w:color w:val="954F72" w:themeColor="followedHyperlink"/>
      <w:u w:val="single"/>
    </w:rPr>
  </w:style>
  <w:style w:type="character" w:customStyle="1" w:styleId="Heading3Char">
    <w:name w:val="Heading 3 Char"/>
    <w:basedOn w:val="DefaultParagraphFont"/>
    <w:link w:val="Heading3"/>
    <w:uiPriority w:val="9"/>
    <w:rsid w:val="00F91D9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A3E38"/>
    <w:pPr>
      <w:spacing w:after="0"/>
      <w:ind w:left="440"/>
    </w:pPr>
    <w:rPr>
      <w:rFonts w:cstheme="minorHAnsi"/>
      <w:sz w:val="20"/>
      <w:szCs w:val="20"/>
    </w:rPr>
  </w:style>
  <w:style w:type="character" w:styleId="CommentReference">
    <w:name w:val="annotation reference"/>
    <w:basedOn w:val="DefaultParagraphFont"/>
    <w:uiPriority w:val="99"/>
    <w:semiHidden/>
    <w:unhideWhenUsed/>
    <w:rsid w:val="00A13EA9"/>
    <w:rPr>
      <w:sz w:val="16"/>
      <w:szCs w:val="16"/>
    </w:rPr>
  </w:style>
  <w:style w:type="paragraph" w:styleId="CommentText">
    <w:name w:val="annotation text"/>
    <w:basedOn w:val="Normal"/>
    <w:link w:val="CommentTextChar"/>
    <w:uiPriority w:val="99"/>
    <w:unhideWhenUsed/>
    <w:rsid w:val="00A13EA9"/>
    <w:pPr>
      <w:spacing w:line="240" w:lineRule="auto"/>
    </w:pPr>
    <w:rPr>
      <w:sz w:val="20"/>
      <w:szCs w:val="20"/>
    </w:rPr>
  </w:style>
  <w:style w:type="character" w:customStyle="1" w:styleId="CommentTextChar">
    <w:name w:val="Comment Text Char"/>
    <w:basedOn w:val="DefaultParagraphFont"/>
    <w:link w:val="CommentText"/>
    <w:uiPriority w:val="99"/>
    <w:rsid w:val="00A13EA9"/>
    <w:rPr>
      <w:sz w:val="20"/>
      <w:szCs w:val="20"/>
    </w:rPr>
  </w:style>
  <w:style w:type="paragraph" w:styleId="CommentSubject">
    <w:name w:val="annotation subject"/>
    <w:basedOn w:val="CommentText"/>
    <w:next w:val="CommentText"/>
    <w:link w:val="CommentSubjectChar"/>
    <w:uiPriority w:val="99"/>
    <w:semiHidden/>
    <w:unhideWhenUsed/>
    <w:rsid w:val="00A13EA9"/>
    <w:rPr>
      <w:b/>
      <w:bCs/>
    </w:rPr>
  </w:style>
  <w:style w:type="character" w:customStyle="1" w:styleId="CommentSubjectChar">
    <w:name w:val="Comment Subject Char"/>
    <w:basedOn w:val="CommentTextChar"/>
    <w:link w:val="CommentSubject"/>
    <w:uiPriority w:val="99"/>
    <w:semiHidden/>
    <w:rsid w:val="00A13EA9"/>
    <w:rPr>
      <w:b/>
      <w:bCs/>
      <w:sz w:val="20"/>
      <w:szCs w:val="20"/>
    </w:rPr>
  </w:style>
  <w:style w:type="paragraph" w:styleId="Revision">
    <w:name w:val="Revision"/>
    <w:hidden/>
    <w:uiPriority w:val="99"/>
    <w:semiHidden/>
    <w:rsid w:val="00256822"/>
    <w:pPr>
      <w:spacing w:after="0" w:line="240" w:lineRule="auto"/>
    </w:pPr>
  </w:style>
  <w:style w:type="table" w:styleId="TableGrid">
    <w:name w:val="Table Grid"/>
    <w:basedOn w:val="TableNormal"/>
    <w:uiPriority w:val="39"/>
    <w:rsid w:val="0080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7420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A04329"/>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E475F"/>
    <w:pPr>
      <w:spacing w:after="0" w:line="240" w:lineRule="auto"/>
    </w:pPr>
    <w:rPr>
      <w:sz w:val="20"/>
      <w:szCs w:val="20"/>
    </w:rPr>
  </w:style>
  <w:style w:type="character" w:customStyle="1" w:styleId="EndnoteTextChar">
    <w:name w:val="Endnote Text Char"/>
    <w:basedOn w:val="DefaultParagraphFont"/>
    <w:link w:val="EndnoteText"/>
    <w:uiPriority w:val="99"/>
    <w:rsid w:val="000E475F"/>
    <w:rPr>
      <w:sz w:val="20"/>
      <w:szCs w:val="20"/>
    </w:rPr>
  </w:style>
  <w:style w:type="character" w:styleId="EndnoteReference">
    <w:name w:val="endnote reference"/>
    <w:basedOn w:val="DefaultParagraphFont"/>
    <w:uiPriority w:val="99"/>
    <w:semiHidden/>
    <w:unhideWhenUsed/>
    <w:rsid w:val="000E475F"/>
    <w:rPr>
      <w:vertAlign w:val="superscript"/>
    </w:rPr>
  </w:style>
  <w:style w:type="character" w:customStyle="1" w:styleId="Heading4Char">
    <w:name w:val="Heading 4 Char"/>
    <w:basedOn w:val="DefaultParagraphFont"/>
    <w:link w:val="Heading4"/>
    <w:uiPriority w:val="9"/>
    <w:semiHidden/>
    <w:rsid w:val="00840D07"/>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bullets - top Char,Lettre d'introduction Char,List Paragraph1 Char,List Paragraph - bullets Char,Bullet List 1 Char,Unordered List Level 1 Char,Indented Paragraph Char,Recommendation Char,List Paragraph11 Char,Bullet list Char"/>
    <w:basedOn w:val="DefaultParagraphFont"/>
    <w:link w:val="ListParagraph"/>
    <w:uiPriority w:val="34"/>
    <w:qFormat/>
    <w:rsid w:val="00695E1B"/>
  </w:style>
  <w:style w:type="table" w:styleId="GridTable1Light-Accent1">
    <w:name w:val="Grid Table 1 Light Accent 1"/>
    <w:basedOn w:val="TableNormal"/>
    <w:uiPriority w:val="46"/>
    <w:rsid w:val="000A115E"/>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yperlink0">
    <w:name w:val="Hyperlink.0"/>
    <w:basedOn w:val="Hyperlink"/>
    <w:rsid w:val="00324294"/>
    <w:rPr>
      <w:color w:val="0563C1"/>
      <w:u w:val="single" w:color="0563C1"/>
    </w:rPr>
  </w:style>
  <w:style w:type="character" w:customStyle="1" w:styleId="None">
    <w:name w:val="None"/>
    <w:rsid w:val="00324294"/>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link w:val="FootnoteReference"/>
    <w:uiPriority w:val="99"/>
    <w:rsid w:val="00324294"/>
    <w:pPr>
      <w:suppressAutoHyphens/>
      <w:spacing w:line="240" w:lineRule="exact"/>
      <w:jc w:val="both"/>
    </w:pPr>
    <w:rPr>
      <w:vertAlign w:val="superscript"/>
    </w:rPr>
  </w:style>
  <w:style w:type="paragraph" w:styleId="BodyText">
    <w:name w:val="Body Text"/>
    <w:basedOn w:val="Normal"/>
    <w:link w:val="BodyTextChar"/>
    <w:uiPriority w:val="1"/>
    <w:qFormat/>
    <w:rsid w:val="00324294"/>
    <w:pPr>
      <w:widowControl w:val="0"/>
      <w:autoSpaceDE w:val="0"/>
      <w:autoSpaceDN w:val="0"/>
      <w:spacing w:after="0" w:line="240" w:lineRule="auto"/>
    </w:pPr>
    <w:rPr>
      <w:rFonts w:ascii="Trebuchet MS" w:eastAsia="Trebuchet MS" w:hAnsi="Trebuchet MS" w:cs="Trebuchet MS"/>
      <w:kern w:val="0"/>
      <w:sz w:val="20"/>
      <w:szCs w:val="20"/>
      <w:lang w:val="en-US"/>
      <w14:ligatures w14:val="none"/>
    </w:rPr>
  </w:style>
  <w:style w:type="character" w:customStyle="1" w:styleId="BodyTextChar">
    <w:name w:val="Body Text Char"/>
    <w:basedOn w:val="DefaultParagraphFont"/>
    <w:link w:val="BodyText"/>
    <w:uiPriority w:val="1"/>
    <w:rsid w:val="00324294"/>
    <w:rPr>
      <w:rFonts w:ascii="Trebuchet MS" w:eastAsia="Trebuchet MS" w:hAnsi="Trebuchet MS" w:cs="Trebuchet MS"/>
      <w:kern w:val="0"/>
      <w:sz w:val="20"/>
      <w:szCs w:val="20"/>
      <w:lang w:val="en-US"/>
      <w14:ligatures w14:val="none"/>
    </w:rPr>
  </w:style>
  <w:style w:type="paragraph" w:customStyle="1" w:styleId="Body">
    <w:name w:val="Body"/>
    <w:rsid w:val="00851164"/>
    <w:pPr>
      <w:pBdr>
        <w:top w:val="nil"/>
        <w:left w:val="nil"/>
        <w:bottom w:val="nil"/>
        <w:right w:val="nil"/>
        <w:between w:val="nil"/>
        <w:bar w:val="nil"/>
      </w:pBdr>
    </w:pPr>
    <w:rPr>
      <w:rFonts w:ascii="Calibri" w:eastAsia="Calibri" w:hAnsi="Calibri" w:cs="Calibri"/>
      <w:color w:val="000000"/>
      <w:kern w:val="0"/>
      <w:u w:color="000000"/>
      <w:bdr w:val="nil"/>
      <w:lang w:val="en-US"/>
      <w14:ligatures w14:val="none"/>
    </w:rPr>
  </w:style>
  <w:style w:type="character" w:styleId="PageNumber">
    <w:name w:val="page number"/>
    <w:basedOn w:val="DefaultParagraphFont"/>
    <w:uiPriority w:val="99"/>
    <w:semiHidden/>
    <w:unhideWhenUsed/>
    <w:rsid w:val="002E5CBD"/>
  </w:style>
  <w:style w:type="character" w:styleId="Emphasis">
    <w:name w:val="Emphasis"/>
    <w:basedOn w:val="DefaultParagraphFont"/>
    <w:uiPriority w:val="20"/>
    <w:qFormat/>
    <w:rsid w:val="008169A3"/>
    <w:rPr>
      <w:i/>
      <w:iCs/>
    </w:rPr>
  </w:style>
  <w:style w:type="paragraph" w:styleId="TOC4">
    <w:name w:val="toc 4"/>
    <w:basedOn w:val="Normal"/>
    <w:next w:val="Normal"/>
    <w:autoRedefine/>
    <w:uiPriority w:val="39"/>
    <w:unhideWhenUsed/>
    <w:rsid w:val="00EA17AD"/>
    <w:pPr>
      <w:spacing w:after="0"/>
      <w:ind w:left="660"/>
    </w:pPr>
    <w:rPr>
      <w:rFonts w:cstheme="minorHAnsi"/>
      <w:sz w:val="20"/>
      <w:szCs w:val="20"/>
    </w:rPr>
  </w:style>
  <w:style w:type="paragraph" w:styleId="TOC5">
    <w:name w:val="toc 5"/>
    <w:basedOn w:val="Normal"/>
    <w:next w:val="Normal"/>
    <w:autoRedefine/>
    <w:uiPriority w:val="39"/>
    <w:unhideWhenUsed/>
    <w:rsid w:val="00EA17AD"/>
    <w:pPr>
      <w:spacing w:after="0"/>
      <w:ind w:left="880"/>
    </w:pPr>
    <w:rPr>
      <w:rFonts w:cstheme="minorHAnsi"/>
      <w:sz w:val="20"/>
      <w:szCs w:val="20"/>
    </w:rPr>
  </w:style>
  <w:style w:type="paragraph" w:styleId="TOC6">
    <w:name w:val="toc 6"/>
    <w:basedOn w:val="Normal"/>
    <w:next w:val="Normal"/>
    <w:autoRedefine/>
    <w:uiPriority w:val="39"/>
    <w:unhideWhenUsed/>
    <w:rsid w:val="00EA17AD"/>
    <w:pPr>
      <w:spacing w:after="0"/>
      <w:ind w:left="1100"/>
    </w:pPr>
    <w:rPr>
      <w:rFonts w:cstheme="minorHAnsi"/>
      <w:sz w:val="20"/>
      <w:szCs w:val="20"/>
    </w:rPr>
  </w:style>
  <w:style w:type="paragraph" w:styleId="TOC7">
    <w:name w:val="toc 7"/>
    <w:basedOn w:val="Normal"/>
    <w:next w:val="Normal"/>
    <w:autoRedefine/>
    <w:uiPriority w:val="39"/>
    <w:unhideWhenUsed/>
    <w:rsid w:val="00EA17AD"/>
    <w:pPr>
      <w:spacing w:after="0"/>
      <w:ind w:left="1320"/>
    </w:pPr>
    <w:rPr>
      <w:rFonts w:cstheme="minorHAnsi"/>
      <w:sz w:val="20"/>
      <w:szCs w:val="20"/>
    </w:rPr>
  </w:style>
  <w:style w:type="paragraph" w:styleId="TOC8">
    <w:name w:val="toc 8"/>
    <w:basedOn w:val="Normal"/>
    <w:next w:val="Normal"/>
    <w:autoRedefine/>
    <w:uiPriority w:val="39"/>
    <w:unhideWhenUsed/>
    <w:rsid w:val="00EA17AD"/>
    <w:pPr>
      <w:spacing w:after="0"/>
      <w:ind w:left="1540"/>
    </w:pPr>
    <w:rPr>
      <w:rFonts w:cstheme="minorHAnsi"/>
      <w:sz w:val="20"/>
      <w:szCs w:val="20"/>
    </w:rPr>
  </w:style>
  <w:style w:type="paragraph" w:styleId="TOC9">
    <w:name w:val="toc 9"/>
    <w:basedOn w:val="Normal"/>
    <w:next w:val="Normal"/>
    <w:autoRedefine/>
    <w:uiPriority w:val="39"/>
    <w:unhideWhenUsed/>
    <w:rsid w:val="00EA17AD"/>
    <w:pPr>
      <w:spacing w:after="0"/>
      <w:ind w:left="1760"/>
    </w:pPr>
    <w:rPr>
      <w:rFonts w:cstheme="minorHAnsi"/>
      <w:sz w:val="20"/>
      <w:szCs w:val="20"/>
    </w:rPr>
  </w:style>
  <w:style w:type="paragraph" w:customStyle="1" w:styleId="Footnote">
    <w:name w:val="Footnote"/>
    <w:basedOn w:val="Normal"/>
    <w:qFormat/>
    <w:rsid w:val="009F548E"/>
    <w:pPr>
      <w:spacing w:after="0" w:line="240" w:lineRule="auto"/>
    </w:pPr>
    <w:rPr>
      <w:rFonts w:eastAsia="Times New Roman" w:cs="Times New Roman"/>
      <w:kern w:val="0"/>
      <w:sz w:val="20"/>
      <w:szCs w:val="24"/>
      <w14:ligatures w14:val="none"/>
    </w:rPr>
  </w:style>
  <w:style w:type="paragraph" w:styleId="NormalWeb">
    <w:name w:val="Normal (Web)"/>
    <w:basedOn w:val="Normal"/>
    <w:uiPriority w:val="99"/>
    <w:semiHidden/>
    <w:unhideWhenUsed/>
    <w:rsid w:val="006668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1">
    <w:name w:val="Table Grid11"/>
    <w:basedOn w:val="TableNormal"/>
    <w:next w:val="TableGrid"/>
    <w:uiPriority w:val="39"/>
    <w:rsid w:val="0047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207A"/>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49F5"/>
    <w:pPr>
      <w:spacing w:after="0" w:line="240" w:lineRule="auto"/>
    </w:pPr>
  </w:style>
  <w:style w:type="numbering" w:customStyle="1" w:styleId="CurrentList1">
    <w:name w:val="Current List1"/>
    <w:uiPriority w:val="99"/>
    <w:rsid w:val="00F970F4"/>
    <w:pPr>
      <w:numPr>
        <w:numId w:val="26"/>
      </w:numPr>
    </w:pPr>
  </w:style>
  <w:style w:type="table" w:customStyle="1" w:styleId="TableGrid12">
    <w:name w:val="Table Grid12"/>
    <w:basedOn w:val="TableNormal"/>
    <w:next w:val="TableGrid"/>
    <w:uiPriority w:val="39"/>
    <w:rsid w:val="003012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2">
    <w:name w:val="Current List2"/>
    <w:uiPriority w:val="99"/>
    <w:rsid w:val="00AC6965"/>
    <w:pPr>
      <w:numPr>
        <w:numId w:val="39"/>
      </w:numPr>
    </w:pPr>
  </w:style>
  <w:style w:type="numbering" w:customStyle="1" w:styleId="CurrentList3">
    <w:name w:val="Current List3"/>
    <w:uiPriority w:val="99"/>
    <w:rsid w:val="00A2744F"/>
    <w:pPr>
      <w:numPr>
        <w:numId w:val="41"/>
      </w:numPr>
    </w:pPr>
  </w:style>
  <w:style w:type="table" w:customStyle="1" w:styleId="TableGrid13">
    <w:name w:val="Table Grid13"/>
    <w:basedOn w:val="TableNormal"/>
    <w:next w:val="TableGrid"/>
    <w:uiPriority w:val="39"/>
    <w:rsid w:val="00301E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844">
      <w:bodyDiv w:val="1"/>
      <w:marLeft w:val="0"/>
      <w:marRight w:val="0"/>
      <w:marTop w:val="0"/>
      <w:marBottom w:val="0"/>
      <w:divBdr>
        <w:top w:val="none" w:sz="0" w:space="0" w:color="auto"/>
        <w:left w:val="none" w:sz="0" w:space="0" w:color="auto"/>
        <w:bottom w:val="none" w:sz="0" w:space="0" w:color="auto"/>
        <w:right w:val="none" w:sz="0" w:space="0" w:color="auto"/>
      </w:divBdr>
    </w:div>
    <w:div w:id="9843767">
      <w:bodyDiv w:val="1"/>
      <w:marLeft w:val="0"/>
      <w:marRight w:val="0"/>
      <w:marTop w:val="0"/>
      <w:marBottom w:val="0"/>
      <w:divBdr>
        <w:top w:val="none" w:sz="0" w:space="0" w:color="auto"/>
        <w:left w:val="none" w:sz="0" w:space="0" w:color="auto"/>
        <w:bottom w:val="none" w:sz="0" w:space="0" w:color="auto"/>
        <w:right w:val="none" w:sz="0" w:space="0" w:color="auto"/>
      </w:divBdr>
    </w:div>
    <w:div w:id="47531039">
      <w:bodyDiv w:val="1"/>
      <w:marLeft w:val="0"/>
      <w:marRight w:val="0"/>
      <w:marTop w:val="0"/>
      <w:marBottom w:val="0"/>
      <w:divBdr>
        <w:top w:val="none" w:sz="0" w:space="0" w:color="auto"/>
        <w:left w:val="none" w:sz="0" w:space="0" w:color="auto"/>
        <w:bottom w:val="none" w:sz="0" w:space="0" w:color="auto"/>
        <w:right w:val="none" w:sz="0" w:space="0" w:color="auto"/>
      </w:divBdr>
    </w:div>
    <w:div w:id="91124168">
      <w:bodyDiv w:val="1"/>
      <w:marLeft w:val="0"/>
      <w:marRight w:val="0"/>
      <w:marTop w:val="0"/>
      <w:marBottom w:val="0"/>
      <w:divBdr>
        <w:top w:val="none" w:sz="0" w:space="0" w:color="auto"/>
        <w:left w:val="none" w:sz="0" w:space="0" w:color="auto"/>
        <w:bottom w:val="none" w:sz="0" w:space="0" w:color="auto"/>
        <w:right w:val="none" w:sz="0" w:space="0" w:color="auto"/>
      </w:divBdr>
    </w:div>
    <w:div w:id="120462619">
      <w:bodyDiv w:val="1"/>
      <w:marLeft w:val="0"/>
      <w:marRight w:val="0"/>
      <w:marTop w:val="0"/>
      <w:marBottom w:val="0"/>
      <w:divBdr>
        <w:top w:val="none" w:sz="0" w:space="0" w:color="auto"/>
        <w:left w:val="none" w:sz="0" w:space="0" w:color="auto"/>
        <w:bottom w:val="none" w:sz="0" w:space="0" w:color="auto"/>
        <w:right w:val="none" w:sz="0" w:space="0" w:color="auto"/>
      </w:divBdr>
    </w:div>
    <w:div w:id="143207859">
      <w:bodyDiv w:val="1"/>
      <w:marLeft w:val="0"/>
      <w:marRight w:val="0"/>
      <w:marTop w:val="0"/>
      <w:marBottom w:val="0"/>
      <w:divBdr>
        <w:top w:val="none" w:sz="0" w:space="0" w:color="auto"/>
        <w:left w:val="none" w:sz="0" w:space="0" w:color="auto"/>
        <w:bottom w:val="none" w:sz="0" w:space="0" w:color="auto"/>
        <w:right w:val="none" w:sz="0" w:space="0" w:color="auto"/>
      </w:divBdr>
    </w:div>
    <w:div w:id="153575684">
      <w:bodyDiv w:val="1"/>
      <w:marLeft w:val="0"/>
      <w:marRight w:val="0"/>
      <w:marTop w:val="0"/>
      <w:marBottom w:val="0"/>
      <w:divBdr>
        <w:top w:val="none" w:sz="0" w:space="0" w:color="auto"/>
        <w:left w:val="none" w:sz="0" w:space="0" w:color="auto"/>
        <w:bottom w:val="none" w:sz="0" w:space="0" w:color="auto"/>
        <w:right w:val="none" w:sz="0" w:space="0" w:color="auto"/>
      </w:divBdr>
    </w:div>
    <w:div w:id="158888786">
      <w:bodyDiv w:val="1"/>
      <w:marLeft w:val="0"/>
      <w:marRight w:val="0"/>
      <w:marTop w:val="0"/>
      <w:marBottom w:val="0"/>
      <w:divBdr>
        <w:top w:val="none" w:sz="0" w:space="0" w:color="auto"/>
        <w:left w:val="none" w:sz="0" w:space="0" w:color="auto"/>
        <w:bottom w:val="none" w:sz="0" w:space="0" w:color="auto"/>
        <w:right w:val="none" w:sz="0" w:space="0" w:color="auto"/>
      </w:divBdr>
    </w:div>
    <w:div w:id="171184356">
      <w:bodyDiv w:val="1"/>
      <w:marLeft w:val="0"/>
      <w:marRight w:val="0"/>
      <w:marTop w:val="0"/>
      <w:marBottom w:val="0"/>
      <w:divBdr>
        <w:top w:val="none" w:sz="0" w:space="0" w:color="auto"/>
        <w:left w:val="none" w:sz="0" w:space="0" w:color="auto"/>
        <w:bottom w:val="none" w:sz="0" w:space="0" w:color="auto"/>
        <w:right w:val="none" w:sz="0" w:space="0" w:color="auto"/>
      </w:divBdr>
    </w:div>
    <w:div w:id="217938690">
      <w:bodyDiv w:val="1"/>
      <w:marLeft w:val="0"/>
      <w:marRight w:val="0"/>
      <w:marTop w:val="0"/>
      <w:marBottom w:val="0"/>
      <w:divBdr>
        <w:top w:val="none" w:sz="0" w:space="0" w:color="auto"/>
        <w:left w:val="none" w:sz="0" w:space="0" w:color="auto"/>
        <w:bottom w:val="none" w:sz="0" w:space="0" w:color="auto"/>
        <w:right w:val="none" w:sz="0" w:space="0" w:color="auto"/>
      </w:divBdr>
    </w:div>
    <w:div w:id="228226316">
      <w:bodyDiv w:val="1"/>
      <w:marLeft w:val="0"/>
      <w:marRight w:val="0"/>
      <w:marTop w:val="0"/>
      <w:marBottom w:val="0"/>
      <w:divBdr>
        <w:top w:val="none" w:sz="0" w:space="0" w:color="auto"/>
        <w:left w:val="none" w:sz="0" w:space="0" w:color="auto"/>
        <w:bottom w:val="none" w:sz="0" w:space="0" w:color="auto"/>
        <w:right w:val="none" w:sz="0" w:space="0" w:color="auto"/>
      </w:divBdr>
    </w:div>
    <w:div w:id="232813147">
      <w:bodyDiv w:val="1"/>
      <w:marLeft w:val="0"/>
      <w:marRight w:val="0"/>
      <w:marTop w:val="0"/>
      <w:marBottom w:val="0"/>
      <w:divBdr>
        <w:top w:val="none" w:sz="0" w:space="0" w:color="auto"/>
        <w:left w:val="none" w:sz="0" w:space="0" w:color="auto"/>
        <w:bottom w:val="none" w:sz="0" w:space="0" w:color="auto"/>
        <w:right w:val="none" w:sz="0" w:space="0" w:color="auto"/>
      </w:divBdr>
      <w:divsChild>
        <w:div w:id="2072002734">
          <w:marLeft w:val="0"/>
          <w:marRight w:val="0"/>
          <w:marTop w:val="0"/>
          <w:marBottom w:val="0"/>
          <w:divBdr>
            <w:top w:val="none" w:sz="0" w:space="0" w:color="auto"/>
            <w:left w:val="none" w:sz="0" w:space="0" w:color="auto"/>
            <w:bottom w:val="none" w:sz="0" w:space="0" w:color="auto"/>
            <w:right w:val="none" w:sz="0" w:space="0" w:color="auto"/>
          </w:divBdr>
        </w:div>
        <w:div w:id="1044713747">
          <w:marLeft w:val="0"/>
          <w:marRight w:val="0"/>
          <w:marTop w:val="0"/>
          <w:marBottom w:val="0"/>
          <w:divBdr>
            <w:top w:val="none" w:sz="0" w:space="0" w:color="auto"/>
            <w:left w:val="none" w:sz="0" w:space="0" w:color="auto"/>
            <w:bottom w:val="none" w:sz="0" w:space="0" w:color="auto"/>
            <w:right w:val="none" w:sz="0" w:space="0" w:color="auto"/>
          </w:divBdr>
          <w:divsChild>
            <w:div w:id="1941602181">
              <w:marLeft w:val="0"/>
              <w:marRight w:val="0"/>
              <w:marTop w:val="0"/>
              <w:marBottom w:val="0"/>
              <w:divBdr>
                <w:top w:val="none" w:sz="0" w:space="0" w:color="auto"/>
                <w:left w:val="none" w:sz="0" w:space="0" w:color="auto"/>
                <w:bottom w:val="none" w:sz="0" w:space="0" w:color="auto"/>
                <w:right w:val="none" w:sz="0" w:space="0" w:color="auto"/>
              </w:divBdr>
            </w:div>
            <w:div w:id="10085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4110">
      <w:bodyDiv w:val="1"/>
      <w:marLeft w:val="0"/>
      <w:marRight w:val="0"/>
      <w:marTop w:val="0"/>
      <w:marBottom w:val="0"/>
      <w:divBdr>
        <w:top w:val="none" w:sz="0" w:space="0" w:color="auto"/>
        <w:left w:val="none" w:sz="0" w:space="0" w:color="auto"/>
        <w:bottom w:val="none" w:sz="0" w:space="0" w:color="auto"/>
        <w:right w:val="none" w:sz="0" w:space="0" w:color="auto"/>
      </w:divBdr>
    </w:div>
    <w:div w:id="312873780">
      <w:bodyDiv w:val="1"/>
      <w:marLeft w:val="0"/>
      <w:marRight w:val="0"/>
      <w:marTop w:val="0"/>
      <w:marBottom w:val="0"/>
      <w:divBdr>
        <w:top w:val="none" w:sz="0" w:space="0" w:color="auto"/>
        <w:left w:val="none" w:sz="0" w:space="0" w:color="auto"/>
        <w:bottom w:val="none" w:sz="0" w:space="0" w:color="auto"/>
        <w:right w:val="none" w:sz="0" w:space="0" w:color="auto"/>
      </w:divBdr>
    </w:div>
    <w:div w:id="319506424">
      <w:bodyDiv w:val="1"/>
      <w:marLeft w:val="0"/>
      <w:marRight w:val="0"/>
      <w:marTop w:val="0"/>
      <w:marBottom w:val="0"/>
      <w:divBdr>
        <w:top w:val="none" w:sz="0" w:space="0" w:color="auto"/>
        <w:left w:val="none" w:sz="0" w:space="0" w:color="auto"/>
        <w:bottom w:val="none" w:sz="0" w:space="0" w:color="auto"/>
        <w:right w:val="none" w:sz="0" w:space="0" w:color="auto"/>
      </w:divBdr>
    </w:div>
    <w:div w:id="329794734">
      <w:bodyDiv w:val="1"/>
      <w:marLeft w:val="0"/>
      <w:marRight w:val="0"/>
      <w:marTop w:val="0"/>
      <w:marBottom w:val="0"/>
      <w:divBdr>
        <w:top w:val="none" w:sz="0" w:space="0" w:color="auto"/>
        <w:left w:val="none" w:sz="0" w:space="0" w:color="auto"/>
        <w:bottom w:val="none" w:sz="0" w:space="0" w:color="auto"/>
        <w:right w:val="none" w:sz="0" w:space="0" w:color="auto"/>
      </w:divBdr>
    </w:div>
    <w:div w:id="372310786">
      <w:bodyDiv w:val="1"/>
      <w:marLeft w:val="0"/>
      <w:marRight w:val="0"/>
      <w:marTop w:val="0"/>
      <w:marBottom w:val="0"/>
      <w:divBdr>
        <w:top w:val="none" w:sz="0" w:space="0" w:color="auto"/>
        <w:left w:val="none" w:sz="0" w:space="0" w:color="auto"/>
        <w:bottom w:val="none" w:sz="0" w:space="0" w:color="auto"/>
        <w:right w:val="none" w:sz="0" w:space="0" w:color="auto"/>
      </w:divBdr>
    </w:div>
    <w:div w:id="372583638">
      <w:bodyDiv w:val="1"/>
      <w:marLeft w:val="0"/>
      <w:marRight w:val="0"/>
      <w:marTop w:val="0"/>
      <w:marBottom w:val="0"/>
      <w:divBdr>
        <w:top w:val="none" w:sz="0" w:space="0" w:color="auto"/>
        <w:left w:val="none" w:sz="0" w:space="0" w:color="auto"/>
        <w:bottom w:val="none" w:sz="0" w:space="0" w:color="auto"/>
        <w:right w:val="none" w:sz="0" w:space="0" w:color="auto"/>
      </w:divBdr>
    </w:div>
    <w:div w:id="372924415">
      <w:bodyDiv w:val="1"/>
      <w:marLeft w:val="0"/>
      <w:marRight w:val="0"/>
      <w:marTop w:val="0"/>
      <w:marBottom w:val="0"/>
      <w:divBdr>
        <w:top w:val="none" w:sz="0" w:space="0" w:color="auto"/>
        <w:left w:val="none" w:sz="0" w:space="0" w:color="auto"/>
        <w:bottom w:val="none" w:sz="0" w:space="0" w:color="auto"/>
        <w:right w:val="none" w:sz="0" w:space="0" w:color="auto"/>
      </w:divBdr>
    </w:div>
    <w:div w:id="395787620">
      <w:bodyDiv w:val="1"/>
      <w:marLeft w:val="0"/>
      <w:marRight w:val="0"/>
      <w:marTop w:val="0"/>
      <w:marBottom w:val="0"/>
      <w:divBdr>
        <w:top w:val="none" w:sz="0" w:space="0" w:color="auto"/>
        <w:left w:val="none" w:sz="0" w:space="0" w:color="auto"/>
        <w:bottom w:val="none" w:sz="0" w:space="0" w:color="auto"/>
        <w:right w:val="none" w:sz="0" w:space="0" w:color="auto"/>
      </w:divBdr>
    </w:div>
    <w:div w:id="432824547">
      <w:bodyDiv w:val="1"/>
      <w:marLeft w:val="0"/>
      <w:marRight w:val="0"/>
      <w:marTop w:val="0"/>
      <w:marBottom w:val="0"/>
      <w:divBdr>
        <w:top w:val="none" w:sz="0" w:space="0" w:color="auto"/>
        <w:left w:val="none" w:sz="0" w:space="0" w:color="auto"/>
        <w:bottom w:val="none" w:sz="0" w:space="0" w:color="auto"/>
        <w:right w:val="none" w:sz="0" w:space="0" w:color="auto"/>
      </w:divBdr>
    </w:div>
    <w:div w:id="461196898">
      <w:bodyDiv w:val="1"/>
      <w:marLeft w:val="0"/>
      <w:marRight w:val="0"/>
      <w:marTop w:val="0"/>
      <w:marBottom w:val="0"/>
      <w:divBdr>
        <w:top w:val="none" w:sz="0" w:space="0" w:color="auto"/>
        <w:left w:val="none" w:sz="0" w:space="0" w:color="auto"/>
        <w:bottom w:val="none" w:sz="0" w:space="0" w:color="auto"/>
        <w:right w:val="none" w:sz="0" w:space="0" w:color="auto"/>
      </w:divBdr>
    </w:div>
    <w:div w:id="470365327">
      <w:bodyDiv w:val="1"/>
      <w:marLeft w:val="0"/>
      <w:marRight w:val="0"/>
      <w:marTop w:val="0"/>
      <w:marBottom w:val="0"/>
      <w:divBdr>
        <w:top w:val="none" w:sz="0" w:space="0" w:color="auto"/>
        <w:left w:val="none" w:sz="0" w:space="0" w:color="auto"/>
        <w:bottom w:val="none" w:sz="0" w:space="0" w:color="auto"/>
        <w:right w:val="none" w:sz="0" w:space="0" w:color="auto"/>
      </w:divBdr>
    </w:div>
    <w:div w:id="501898973">
      <w:bodyDiv w:val="1"/>
      <w:marLeft w:val="0"/>
      <w:marRight w:val="0"/>
      <w:marTop w:val="0"/>
      <w:marBottom w:val="0"/>
      <w:divBdr>
        <w:top w:val="none" w:sz="0" w:space="0" w:color="auto"/>
        <w:left w:val="none" w:sz="0" w:space="0" w:color="auto"/>
        <w:bottom w:val="none" w:sz="0" w:space="0" w:color="auto"/>
        <w:right w:val="none" w:sz="0" w:space="0" w:color="auto"/>
      </w:divBdr>
    </w:div>
    <w:div w:id="507331681">
      <w:bodyDiv w:val="1"/>
      <w:marLeft w:val="0"/>
      <w:marRight w:val="0"/>
      <w:marTop w:val="0"/>
      <w:marBottom w:val="0"/>
      <w:divBdr>
        <w:top w:val="none" w:sz="0" w:space="0" w:color="auto"/>
        <w:left w:val="none" w:sz="0" w:space="0" w:color="auto"/>
        <w:bottom w:val="none" w:sz="0" w:space="0" w:color="auto"/>
        <w:right w:val="none" w:sz="0" w:space="0" w:color="auto"/>
      </w:divBdr>
    </w:div>
    <w:div w:id="521011320">
      <w:bodyDiv w:val="1"/>
      <w:marLeft w:val="0"/>
      <w:marRight w:val="0"/>
      <w:marTop w:val="0"/>
      <w:marBottom w:val="0"/>
      <w:divBdr>
        <w:top w:val="none" w:sz="0" w:space="0" w:color="auto"/>
        <w:left w:val="none" w:sz="0" w:space="0" w:color="auto"/>
        <w:bottom w:val="none" w:sz="0" w:space="0" w:color="auto"/>
        <w:right w:val="none" w:sz="0" w:space="0" w:color="auto"/>
      </w:divBdr>
    </w:div>
    <w:div w:id="528105466">
      <w:bodyDiv w:val="1"/>
      <w:marLeft w:val="0"/>
      <w:marRight w:val="0"/>
      <w:marTop w:val="0"/>
      <w:marBottom w:val="0"/>
      <w:divBdr>
        <w:top w:val="none" w:sz="0" w:space="0" w:color="auto"/>
        <w:left w:val="none" w:sz="0" w:space="0" w:color="auto"/>
        <w:bottom w:val="none" w:sz="0" w:space="0" w:color="auto"/>
        <w:right w:val="none" w:sz="0" w:space="0" w:color="auto"/>
      </w:divBdr>
    </w:div>
    <w:div w:id="573588826">
      <w:bodyDiv w:val="1"/>
      <w:marLeft w:val="0"/>
      <w:marRight w:val="0"/>
      <w:marTop w:val="0"/>
      <w:marBottom w:val="0"/>
      <w:divBdr>
        <w:top w:val="none" w:sz="0" w:space="0" w:color="auto"/>
        <w:left w:val="none" w:sz="0" w:space="0" w:color="auto"/>
        <w:bottom w:val="none" w:sz="0" w:space="0" w:color="auto"/>
        <w:right w:val="none" w:sz="0" w:space="0" w:color="auto"/>
      </w:divBdr>
    </w:div>
    <w:div w:id="579173559">
      <w:bodyDiv w:val="1"/>
      <w:marLeft w:val="0"/>
      <w:marRight w:val="0"/>
      <w:marTop w:val="0"/>
      <w:marBottom w:val="0"/>
      <w:divBdr>
        <w:top w:val="none" w:sz="0" w:space="0" w:color="auto"/>
        <w:left w:val="none" w:sz="0" w:space="0" w:color="auto"/>
        <w:bottom w:val="none" w:sz="0" w:space="0" w:color="auto"/>
        <w:right w:val="none" w:sz="0" w:space="0" w:color="auto"/>
      </w:divBdr>
    </w:div>
    <w:div w:id="579290360">
      <w:bodyDiv w:val="1"/>
      <w:marLeft w:val="0"/>
      <w:marRight w:val="0"/>
      <w:marTop w:val="0"/>
      <w:marBottom w:val="0"/>
      <w:divBdr>
        <w:top w:val="none" w:sz="0" w:space="0" w:color="auto"/>
        <w:left w:val="none" w:sz="0" w:space="0" w:color="auto"/>
        <w:bottom w:val="none" w:sz="0" w:space="0" w:color="auto"/>
        <w:right w:val="none" w:sz="0" w:space="0" w:color="auto"/>
      </w:divBdr>
    </w:div>
    <w:div w:id="587813251">
      <w:bodyDiv w:val="1"/>
      <w:marLeft w:val="0"/>
      <w:marRight w:val="0"/>
      <w:marTop w:val="0"/>
      <w:marBottom w:val="0"/>
      <w:divBdr>
        <w:top w:val="none" w:sz="0" w:space="0" w:color="auto"/>
        <w:left w:val="none" w:sz="0" w:space="0" w:color="auto"/>
        <w:bottom w:val="none" w:sz="0" w:space="0" w:color="auto"/>
        <w:right w:val="none" w:sz="0" w:space="0" w:color="auto"/>
      </w:divBdr>
    </w:div>
    <w:div w:id="606347817">
      <w:bodyDiv w:val="1"/>
      <w:marLeft w:val="0"/>
      <w:marRight w:val="0"/>
      <w:marTop w:val="0"/>
      <w:marBottom w:val="0"/>
      <w:divBdr>
        <w:top w:val="none" w:sz="0" w:space="0" w:color="auto"/>
        <w:left w:val="none" w:sz="0" w:space="0" w:color="auto"/>
        <w:bottom w:val="none" w:sz="0" w:space="0" w:color="auto"/>
        <w:right w:val="none" w:sz="0" w:space="0" w:color="auto"/>
      </w:divBdr>
    </w:div>
    <w:div w:id="629826046">
      <w:bodyDiv w:val="1"/>
      <w:marLeft w:val="0"/>
      <w:marRight w:val="0"/>
      <w:marTop w:val="0"/>
      <w:marBottom w:val="0"/>
      <w:divBdr>
        <w:top w:val="none" w:sz="0" w:space="0" w:color="auto"/>
        <w:left w:val="none" w:sz="0" w:space="0" w:color="auto"/>
        <w:bottom w:val="none" w:sz="0" w:space="0" w:color="auto"/>
        <w:right w:val="none" w:sz="0" w:space="0" w:color="auto"/>
      </w:divBdr>
    </w:div>
    <w:div w:id="694503036">
      <w:bodyDiv w:val="1"/>
      <w:marLeft w:val="0"/>
      <w:marRight w:val="0"/>
      <w:marTop w:val="0"/>
      <w:marBottom w:val="0"/>
      <w:divBdr>
        <w:top w:val="none" w:sz="0" w:space="0" w:color="auto"/>
        <w:left w:val="none" w:sz="0" w:space="0" w:color="auto"/>
        <w:bottom w:val="none" w:sz="0" w:space="0" w:color="auto"/>
        <w:right w:val="none" w:sz="0" w:space="0" w:color="auto"/>
      </w:divBdr>
    </w:div>
    <w:div w:id="702756358">
      <w:bodyDiv w:val="1"/>
      <w:marLeft w:val="0"/>
      <w:marRight w:val="0"/>
      <w:marTop w:val="0"/>
      <w:marBottom w:val="0"/>
      <w:divBdr>
        <w:top w:val="none" w:sz="0" w:space="0" w:color="auto"/>
        <w:left w:val="none" w:sz="0" w:space="0" w:color="auto"/>
        <w:bottom w:val="none" w:sz="0" w:space="0" w:color="auto"/>
        <w:right w:val="none" w:sz="0" w:space="0" w:color="auto"/>
      </w:divBdr>
    </w:div>
    <w:div w:id="725759401">
      <w:bodyDiv w:val="1"/>
      <w:marLeft w:val="0"/>
      <w:marRight w:val="0"/>
      <w:marTop w:val="0"/>
      <w:marBottom w:val="0"/>
      <w:divBdr>
        <w:top w:val="none" w:sz="0" w:space="0" w:color="auto"/>
        <w:left w:val="none" w:sz="0" w:space="0" w:color="auto"/>
        <w:bottom w:val="none" w:sz="0" w:space="0" w:color="auto"/>
        <w:right w:val="none" w:sz="0" w:space="0" w:color="auto"/>
      </w:divBdr>
    </w:div>
    <w:div w:id="729230826">
      <w:bodyDiv w:val="1"/>
      <w:marLeft w:val="0"/>
      <w:marRight w:val="0"/>
      <w:marTop w:val="0"/>
      <w:marBottom w:val="0"/>
      <w:divBdr>
        <w:top w:val="none" w:sz="0" w:space="0" w:color="auto"/>
        <w:left w:val="none" w:sz="0" w:space="0" w:color="auto"/>
        <w:bottom w:val="none" w:sz="0" w:space="0" w:color="auto"/>
        <w:right w:val="none" w:sz="0" w:space="0" w:color="auto"/>
      </w:divBdr>
    </w:div>
    <w:div w:id="739838068">
      <w:bodyDiv w:val="1"/>
      <w:marLeft w:val="0"/>
      <w:marRight w:val="0"/>
      <w:marTop w:val="0"/>
      <w:marBottom w:val="0"/>
      <w:divBdr>
        <w:top w:val="none" w:sz="0" w:space="0" w:color="auto"/>
        <w:left w:val="none" w:sz="0" w:space="0" w:color="auto"/>
        <w:bottom w:val="none" w:sz="0" w:space="0" w:color="auto"/>
        <w:right w:val="none" w:sz="0" w:space="0" w:color="auto"/>
      </w:divBdr>
    </w:div>
    <w:div w:id="786854594">
      <w:bodyDiv w:val="1"/>
      <w:marLeft w:val="0"/>
      <w:marRight w:val="0"/>
      <w:marTop w:val="0"/>
      <w:marBottom w:val="0"/>
      <w:divBdr>
        <w:top w:val="none" w:sz="0" w:space="0" w:color="auto"/>
        <w:left w:val="none" w:sz="0" w:space="0" w:color="auto"/>
        <w:bottom w:val="none" w:sz="0" w:space="0" w:color="auto"/>
        <w:right w:val="none" w:sz="0" w:space="0" w:color="auto"/>
      </w:divBdr>
    </w:div>
    <w:div w:id="806969155">
      <w:bodyDiv w:val="1"/>
      <w:marLeft w:val="0"/>
      <w:marRight w:val="0"/>
      <w:marTop w:val="0"/>
      <w:marBottom w:val="0"/>
      <w:divBdr>
        <w:top w:val="none" w:sz="0" w:space="0" w:color="auto"/>
        <w:left w:val="none" w:sz="0" w:space="0" w:color="auto"/>
        <w:bottom w:val="none" w:sz="0" w:space="0" w:color="auto"/>
        <w:right w:val="none" w:sz="0" w:space="0" w:color="auto"/>
      </w:divBdr>
    </w:div>
    <w:div w:id="827016297">
      <w:bodyDiv w:val="1"/>
      <w:marLeft w:val="0"/>
      <w:marRight w:val="0"/>
      <w:marTop w:val="0"/>
      <w:marBottom w:val="0"/>
      <w:divBdr>
        <w:top w:val="none" w:sz="0" w:space="0" w:color="auto"/>
        <w:left w:val="none" w:sz="0" w:space="0" w:color="auto"/>
        <w:bottom w:val="none" w:sz="0" w:space="0" w:color="auto"/>
        <w:right w:val="none" w:sz="0" w:space="0" w:color="auto"/>
      </w:divBdr>
    </w:div>
    <w:div w:id="833642608">
      <w:bodyDiv w:val="1"/>
      <w:marLeft w:val="0"/>
      <w:marRight w:val="0"/>
      <w:marTop w:val="0"/>
      <w:marBottom w:val="0"/>
      <w:divBdr>
        <w:top w:val="none" w:sz="0" w:space="0" w:color="auto"/>
        <w:left w:val="none" w:sz="0" w:space="0" w:color="auto"/>
        <w:bottom w:val="none" w:sz="0" w:space="0" w:color="auto"/>
        <w:right w:val="none" w:sz="0" w:space="0" w:color="auto"/>
      </w:divBdr>
    </w:div>
    <w:div w:id="837698540">
      <w:bodyDiv w:val="1"/>
      <w:marLeft w:val="0"/>
      <w:marRight w:val="0"/>
      <w:marTop w:val="0"/>
      <w:marBottom w:val="0"/>
      <w:divBdr>
        <w:top w:val="none" w:sz="0" w:space="0" w:color="auto"/>
        <w:left w:val="none" w:sz="0" w:space="0" w:color="auto"/>
        <w:bottom w:val="none" w:sz="0" w:space="0" w:color="auto"/>
        <w:right w:val="none" w:sz="0" w:space="0" w:color="auto"/>
      </w:divBdr>
    </w:div>
    <w:div w:id="877860290">
      <w:bodyDiv w:val="1"/>
      <w:marLeft w:val="0"/>
      <w:marRight w:val="0"/>
      <w:marTop w:val="0"/>
      <w:marBottom w:val="0"/>
      <w:divBdr>
        <w:top w:val="none" w:sz="0" w:space="0" w:color="auto"/>
        <w:left w:val="none" w:sz="0" w:space="0" w:color="auto"/>
        <w:bottom w:val="none" w:sz="0" w:space="0" w:color="auto"/>
        <w:right w:val="none" w:sz="0" w:space="0" w:color="auto"/>
      </w:divBdr>
    </w:div>
    <w:div w:id="948202849">
      <w:bodyDiv w:val="1"/>
      <w:marLeft w:val="0"/>
      <w:marRight w:val="0"/>
      <w:marTop w:val="0"/>
      <w:marBottom w:val="0"/>
      <w:divBdr>
        <w:top w:val="none" w:sz="0" w:space="0" w:color="auto"/>
        <w:left w:val="none" w:sz="0" w:space="0" w:color="auto"/>
        <w:bottom w:val="none" w:sz="0" w:space="0" w:color="auto"/>
        <w:right w:val="none" w:sz="0" w:space="0" w:color="auto"/>
      </w:divBdr>
    </w:div>
    <w:div w:id="948586874">
      <w:bodyDiv w:val="1"/>
      <w:marLeft w:val="0"/>
      <w:marRight w:val="0"/>
      <w:marTop w:val="0"/>
      <w:marBottom w:val="0"/>
      <w:divBdr>
        <w:top w:val="none" w:sz="0" w:space="0" w:color="auto"/>
        <w:left w:val="none" w:sz="0" w:space="0" w:color="auto"/>
        <w:bottom w:val="none" w:sz="0" w:space="0" w:color="auto"/>
        <w:right w:val="none" w:sz="0" w:space="0" w:color="auto"/>
      </w:divBdr>
    </w:div>
    <w:div w:id="988628494">
      <w:bodyDiv w:val="1"/>
      <w:marLeft w:val="0"/>
      <w:marRight w:val="0"/>
      <w:marTop w:val="0"/>
      <w:marBottom w:val="0"/>
      <w:divBdr>
        <w:top w:val="none" w:sz="0" w:space="0" w:color="auto"/>
        <w:left w:val="none" w:sz="0" w:space="0" w:color="auto"/>
        <w:bottom w:val="none" w:sz="0" w:space="0" w:color="auto"/>
        <w:right w:val="none" w:sz="0" w:space="0" w:color="auto"/>
      </w:divBdr>
    </w:div>
    <w:div w:id="999314790">
      <w:bodyDiv w:val="1"/>
      <w:marLeft w:val="0"/>
      <w:marRight w:val="0"/>
      <w:marTop w:val="0"/>
      <w:marBottom w:val="0"/>
      <w:divBdr>
        <w:top w:val="none" w:sz="0" w:space="0" w:color="auto"/>
        <w:left w:val="none" w:sz="0" w:space="0" w:color="auto"/>
        <w:bottom w:val="none" w:sz="0" w:space="0" w:color="auto"/>
        <w:right w:val="none" w:sz="0" w:space="0" w:color="auto"/>
      </w:divBdr>
    </w:div>
    <w:div w:id="1011833447">
      <w:bodyDiv w:val="1"/>
      <w:marLeft w:val="0"/>
      <w:marRight w:val="0"/>
      <w:marTop w:val="0"/>
      <w:marBottom w:val="0"/>
      <w:divBdr>
        <w:top w:val="none" w:sz="0" w:space="0" w:color="auto"/>
        <w:left w:val="none" w:sz="0" w:space="0" w:color="auto"/>
        <w:bottom w:val="none" w:sz="0" w:space="0" w:color="auto"/>
        <w:right w:val="none" w:sz="0" w:space="0" w:color="auto"/>
      </w:divBdr>
    </w:div>
    <w:div w:id="1028874313">
      <w:bodyDiv w:val="1"/>
      <w:marLeft w:val="0"/>
      <w:marRight w:val="0"/>
      <w:marTop w:val="0"/>
      <w:marBottom w:val="0"/>
      <w:divBdr>
        <w:top w:val="none" w:sz="0" w:space="0" w:color="auto"/>
        <w:left w:val="none" w:sz="0" w:space="0" w:color="auto"/>
        <w:bottom w:val="none" w:sz="0" w:space="0" w:color="auto"/>
        <w:right w:val="none" w:sz="0" w:space="0" w:color="auto"/>
      </w:divBdr>
    </w:div>
    <w:div w:id="1030299155">
      <w:bodyDiv w:val="1"/>
      <w:marLeft w:val="0"/>
      <w:marRight w:val="0"/>
      <w:marTop w:val="0"/>
      <w:marBottom w:val="0"/>
      <w:divBdr>
        <w:top w:val="none" w:sz="0" w:space="0" w:color="auto"/>
        <w:left w:val="none" w:sz="0" w:space="0" w:color="auto"/>
        <w:bottom w:val="none" w:sz="0" w:space="0" w:color="auto"/>
        <w:right w:val="none" w:sz="0" w:space="0" w:color="auto"/>
      </w:divBdr>
    </w:div>
    <w:div w:id="1092551494">
      <w:bodyDiv w:val="1"/>
      <w:marLeft w:val="0"/>
      <w:marRight w:val="0"/>
      <w:marTop w:val="0"/>
      <w:marBottom w:val="0"/>
      <w:divBdr>
        <w:top w:val="none" w:sz="0" w:space="0" w:color="auto"/>
        <w:left w:val="none" w:sz="0" w:space="0" w:color="auto"/>
        <w:bottom w:val="none" w:sz="0" w:space="0" w:color="auto"/>
        <w:right w:val="none" w:sz="0" w:space="0" w:color="auto"/>
      </w:divBdr>
    </w:div>
    <w:div w:id="1098911338">
      <w:bodyDiv w:val="1"/>
      <w:marLeft w:val="0"/>
      <w:marRight w:val="0"/>
      <w:marTop w:val="0"/>
      <w:marBottom w:val="0"/>
      <w:divBdr>
        <w:top w:val="none" w:sz="0" w:space="0" w:color="auto"/>
        <w:left w:val="none" w:sz="0" w:space="0" w:color="auto"/>
        <w:bottom w:val="none" w:sz="0" w:space="0" w:color="auto"/>
        <w:right w:val="none" w:sz="0" w:space="0" w:color="auto"/>
      </w:divBdr>
    </w:div>
    <w:div w:id="1121459832">
      <w:bodyDiv w:val="1"/>
      <w:marLeft w:val="0"/>
      <w:marRight w:val="0"/>
      <w:marTop w:val="0"/>
      <w:marBottom w:val="0"/>
      <w:divBdr>
        <w:top w:val="none" w:sz="0" w:space="0" w:color="auto"/>
        <w:left w:val="none" w:sz="0" w:space="0" w:color="auto"/>
        <w:bottom w:val="none" w:sz="0" w:space="0" w:color="auto"/>
        <w:right w:val="none" w:sz="0" w:space="0" w:color="auto"/>
      </w:divBdr>
    </w:div>
    <w:div w:id="1166439406">
      <w:bodyDiv w:val="1"/>
      <w:marLeft w:val="0"/>
      <w:marRight w:val="0"/>
      <w:marTop w:val="0"/>
      <w:marBottom w:val="0"/>
      <w:divBdr>
        <w:top w:val="none" w:sz="0" w:space="0" w:color="auto"/>
        <w:left w:val="none" w:sz="0" w:space="0" w:color="auto"/>
        <w:bottom w:val="none" w:sz="0" w:space="0" w:color="auto"/>
        <w:right w:val="none" w:sz="0" w:space="0" w:color="auto"/>
      </w:divBdr>
    </w:div>
    <w:div w:id="1168252131">
      <w:bodyDiv w:val="1"/>
      <w:marLeft w:val="0"/>
      <w:marRight w:val="0"/>
      <w:marTop w:val="0"/>
      <w:marBottom w:val="0"/>
      <w:divBdr>
        <w:top w:val="none" w:sz="0" w:space="0" w:color="auto"/>
        <w:left w:val="none" w:sz="0" w:space="0" w:color="auto"/>
        <w:bottom w:val="none" w:sz="0" w:space="0" w:color="auto"/>
        <w:right w:val="none" w:sz="0" w:space="0" w:color="auto"/>
      </w:divBdr>
    </w:div>
    <w:div w:id="1207989209">
      <w:bodyDiv w:val="1"/>
      <w:marLeft w:val="0"/>
      <w:marRight w:val="0"/>
      <w:marTop w:val="0"/>
      <w:marBottom w:val="0"/>
      <w:divBdr>
        <w:top w:val="none" w:sz="0" w:space="0" w:color="auto"/>
        <w:left w:val="none" w:sz="0" w:space="0" w:color="auto"/>
        <w:bottom w:val="none" w:sz="0" w:space="0" w:color="auto"/>
        <w:right w:val="none" w:sz="0" w:space="0" w:color="auto"/>
      </w:divBdr>
    </w:div>
    <w:div w:id="1234706958">
      <w:bodyDiv w:val="1"/>
      <w:marLeft w:val="0"/>
      <w:marRight w:val="0"/>
      <w:marTop w:val="0"/>
      <w:marBottom w:val="0"/>
      <w:divBdr>
        <w:top w:val="none" w:sz="0" w:space="0" w:color="auto"/>
        <w:left w:val="none" w:sz="0" w:space="0" w:color="auto"/>
        <w:bottom w:val="none" w:sz="0" w:space="0" w:color="auto"/>
        <w:right w:val="none" w:sz="0" w:space="0" w:color="auto"/>
      </w:divBdr>
    </w:div>
    <w:div w:id="1263685901">
      <w:bodyDiv w:val="1"/>
      <w:marLeft w:val="0"/>
      <w:marRight w:val="0"/>
      <w:marTop w:val="0"/>
      <w:marBottom w:val="0"/>
      <w:divBdr>
        <w:top w:val="none" w:sz="0" w:space="0" w:color="auto"/>
        <w:left w:val="none" w:sz="0" w:space="0" w:color="auto"/>
        <w:bottom w:val="none" w:sz="0" w:space="0" w:color="auto"/>
        <w:right w:val="none" w:sz="0" w:space="0" w:color="auto"/>
      </w:divBdr>
    </w:div>
    <w:div w:id="1283224882">
      <w:bodyDiv w:val="1"/>
      <w:marLeft w:val="0"/>
      <w:marRight w:val="0"/>
      <w:marTop w:val="0"/>
      <w:marBottom w:val="0"/>
      <w:divBdr>
        <w:top w:val="none" w:sz="0" w:space="0" w:color="auto"/>
        <w:left w:val="none" w:sz="0" w:space="0" w:color="auto"/>
        <w:bottom w:val="none" w:sz="0" w:space="0" w:color="auto"/>
        <w:right w:val="none" w:sz="0" w:space="0" w:color="auto"/>
      </w:divBdr>
    </w:div>
    <w:div w:id="1284268515">
      <w:bodyDiv w:val="1"/>
      <w:marLeft w:val="0"/>
      <w:marRight w:val="0"/>
      <w:marTop w:val="0"/>
      <w:marBottom w:val="0"/>
      <w:divBdr>
        <w:top w:val="none" w:sz="0" w:space="0" w:color="auto"/>
        <w:left w:val="none" w:sz="0" w:space="0" w:color="auto"/>
        <w:bottom w:val="none" w:sz="0" w:space="0" w:color="auto"/>
        <w:right w:val="none" w:sz="0" w:space="0" w:color="auto"/>
      </w:divBdr>
    </w:div>
    <w:div w:id="1292708309">
      <w:bodyDiv w:val="1"/>
      <w:marLeft w:val="0"/>
      <w:marRight w:val="0"/>
      <w:marTop w:val="0"/>
      <w:marBottom w:val="0"/>
      <w:divBdr>
        <w:top w:val="none" w:sz="0" w:space="0" w:color="auto"/>
        <w:left w:val="none" w:sz="0" w:space="0" w:color="auto"/>
        <w:bottom w:val="none" w:sz="0" w:space="0" w:color="auto"/>
        <w:right w:val="none" w:sz="0" w:space="0" w:color="auto"/>
      </w:divBdr>
    </w:div>
    <w:div w:id="1311210626">
      <w:bodyDiv w:val="1"/>
      <w:marLeft w:val="0"/>
      <w:marRight w:val="0"/>
      <w:marTop w:val="0"/>
      <w:marBottom w:val="0"/>
      <w:divBdr>
        <w:top w:val="none" w:sz="0" w:space="0" w:color="auto"/>
        <w:left w:val="none" w:sz="0" w:space="0" w:color="auto"/>
        <w:bottom w:val="none" w:sz="0" w:space="0" w:color="auto"/>
        <w:right w:val="none" w:sz="0" w:space="0" w:color="auto"/>
      </w:divBdr>
    </w:div>
    <w:div w:id="1328561125">
      <w:bodyDiv w:val="1"/>
      <w:marLeft w:val="0"/>
      <w:marRight w:val="0"/>
      <w:marTop w:val="0"/>
      <w:marBottom w:val="0"/>
      <w:divBdr>
        <w:top w:val="none" w:sz="0" w:space="0" w:color="auto"/>
        <w:left w:val="none" w:sz="0" w:space="0" w:color="auto"/>
        <w:bottom w:val="none" w:sz="0" w:space="0" w:color="auto"/>
        <w:right w:val="none" w:sz="0" w:space="0" w:color="auto"/>
      </w:divBdr>
    </w:div>
    <w:div w:id="1330720458">
      <w:bodyDiv w:val="1"/>
      <w:marLeft w:val="0"/>
      <w:marRight w:val="0"/>
      <w:marTop w:val="0"/>
      <w:marBottom w:val="0"/>
      <w:divBdr>
        <w:top w:val="none" w:sz="0" w:space="0" w:color="auto"/>
        <w:left w:val="none" w:sz="0" w:space="0" w:color="auto"/>
        <w:bottom w:val="none" w:sz="0" w:space="0" w:color="auto"/>
        <w:right w:val="none" w:sz="0" w:space="0" w:color="auto"/>
      </w:divBdr>
    </w:div>
    <w:div w:id="1340234256">
      <w:bodyDiv w:val="1"/>
      <w:marLeft w:val="0"/>
      <w:marRight w:val="0"/>
      <w:marTop w:val="0"/>
      <w:marBottom w:val="0"/>
      <w:divBdr>
        <w:top w:val="none" w:sz="0" w:space="0" w:color="auto"/>
        <w:left w:val="none" w:sz="0" w:space="0" w:color="auto"/>
        <w:bottom w:val="none" w:sz="0" w:space="0" w:color="auto"/>
        <w:right w:val="none" w:sz="0" w:space="0" w:color="auto"/>
      </w:divBdr>
    </w:div>
    <w:div w:id="1348361678">
      <w:bodyDiv w:val="1"/>
      <w:marLeft w:val="0"/>
      <w:marRight w:val="0"/>
      <w:marTop w:val="0"/>
      <w:marBottom w:val="0"/>
      <w:divBdr>
        <w:top w:val="none" w:sz="0" w:space="0" w:color="auto"/>
        <w:left w:val="none" w:sz="0" w:space="0" w:color="auto"/>
        <w:bottom w:val="none" w:sz="0" w:space="0" w:color="auto"/>
        <w:right w:val="none" w:sz="0" w:space="0" w:color="auto"/>
      </w:divBdr>
    </w:div>
    <w:div w:id="1351175177">
      <w:bodyDiv w:val="1"/>
      <w:marLeft w:val="0"/>
      <w:marRight w:val="0"/>
      <w:marTop w:val="0"/>
      <w:marBottom w:val="0"/>
      <w:divBdr>
        <w:top w:val="none" w:sz="0" w:space="0" w:color="auto"/>
        <w:left w:val="none" w:sz="0" w:space="0" w:color="auto"/>
        <w:bottom w:val="none" w:sz="0" w:space="0" w:color="auto"/>
        <w:right w:val="none" w:sz="0" w:space="0" w:color="auto"/>
      </w:divBdr>
    </w:div>
    <w:div w:id="1411807965">
      <w:bodyDiv w:val="1"/>
      <w:marLeft w:val="0"/>
      <w:marRight w:val="0"/>
      <w:marTop w:val="0"/>
      <w:marBottom w:val="0"/>
      <w:divBdr>
        <w:top w:val="none" w:sz="0" w:space="0" w:color="auto"/>
        <w:left w:val="none" w:sz="0" w:space="0" w:color="auto"/>
        <w:bottom w:val="none" w:sz="0" w:space="0" w:color="auto"/>
        <w:right w:val="none" w:sz="0" w:space="0" w:color="auto"/>
      </w:divBdr>
    </w:div>
    <w:div w:id="1420784168">
      <w:bodyDiv w:val="1"/>
      <w:marLeft w:val="0"/>
      <w:marRight w:val="0"/>
      <w:marTop w:val="0"/>
      <w:marBottom w:val="0"/>
      <w:divBdr>
        <w:top w:val="none" w:sz="0" w:space="0" w:color="auto"/>
        <w:left w:val="none" w:sz="0" w:space="0" w:color="auto"/>
        <w:bottom w:val="none" w:sz="0" w:space="0" w:color="auto"/>
        <w:right w:val="none" w:sz="0" w:space="0" w:color="auto"/>
      </w:divBdr>
    </w:div>
    <w:div w:id="1475296408">
      <w:bodyDiv w:val="1"/>
      <w:marLeft w:val="0"/>
      <w:marRight w:val="0"/>
      <w:marTop w:val="0"/>
      <w:marBottom w:val="0"/>
      <w:divBdr>
        <w:top w:val="none" w:sz="0" w:space="0" w:color="auto"/>
        <w:left w:val="none" w:sz="0" w:space="0" w:color="auto"/>
        <w:bottom w:val="none" w:sz="0" w:space="0" w:color="auto"/>
        <w:right w:val="none" w:sz="0" w:space="0" w:color="auto"/>
      </w:divBdr>
    </w:div>
    <w:div w:id="1484278580">
      <w:bodyDiv w:val="1"/>
      <w:marLeft w:val="0"/>
      <w:marRight w:val="0"/>
      <w:marTop w:val="0"/>
      <w:marBottom w:val="0"/>
      <w:divBdr>
        <w:top w:val="none" w:sz="0" w:space="0" w:color="auto"/>
        <w:left w:val="none" w:sz="0" w:space="0" w:color="auto"/>
        <w:bottom w:val="none" w:sz="0" w:space="0" w:color="auto"/>
        <w:right w:val="none" w:sz="0" w:space="0" w:color="auto"/>
      </w:divBdr>
    </w:div>
    <w:div w:id="1501501117">
      <w:bodyDiv w:val="1"/>
      <w:marLeft w:val="0"/>
      <w:marRight w:val="0"/>
      <w:marTop w:val="0"/>
      <w:marBottom w:val="0"/>
      <w:divBdr>
        <w:top w:val="none" w:sz="0" w:space="0" w:color="auto"/>
        <w:left w:val="none" w:sz="0" w:space="0" w:color="auto"/>
        <w:bottom w:val="none" w:sz="0" w:space="0" w:color="auto"/>
        <w:right w:val="none" w:sz="0" w:space="0" w:color="auto"/>
      </w:divBdr>
    </w:div>
    <w:div w:id="1536306607">
      <w:bodyDiv w:val="1"/>
      <w:marLeft w:val="0"/>
      <w:marRight w:val="0"/>
      <w:marTop w:val="0"/>
      <w:marBottom w:val="0"/>
      <w:divBdr>
        <w:top w:val="none" w:sz="0" w:space="0" w:color="auto"/>
        <w:left w:val="none" w:sz="0" w:space="0" w:color="auto"/>
        <w:bottom w:val="none" w:sz="0" w:space="0" w:color="auto"/>
        <w:right w:val="none" w:sz="0" w:space="0" w:color="auto"/>
      </w:divBdr>
    </w:div>
    <w:div w:id="1545142710">
      <w:bodyDiv w:val="1"/>
      <w:marLeft w:val="0"/>
      <w:marRight w:val="0"/>
      <w:marTop w:val="0"/>
      <w:marBottom w:val="0"/>
      <w:divBdr>
        <w:top w:val="none" w:sz="0" w:space="0" w:color="auto"/>
        <w:left w:val="none" w:sz="0" w:space="0" w:color="auto"/>
        <w:bottom w:val="none" w:sz="0" w:space="0" w:color="auto"/>
        <w:right w:val="none" w:sz="0" w:space="0" w:color="auto"/>
      </w:divBdr>
    </w:div>
    <w:div w:id="1597978156">
      <w:bodyDiv w:val="1"/>
      <w:marLeft w:val="0"/>
      <w:marRight w:val="0"/>
      <w:marTop w:val="0"/>
      <w:marBottom w:val="0"/>
      <w:divBdr>
        <w:top w:val="none" w:sz="0" w:space="0" w:color="auto"/>
        <w:left w:val="none" w:sz="0" w:space="0" w:color="auto"/>
        <w:bottom w:val="none" w:sz="0" w:space="0" w:color="auto"/>
        <w:right w:val="none" w:sz="0" w:space="0" w:color="auto"/>
      </w:divBdr>
    </w:div>
    <w:div w:id="1603613178">
      <w:bodyDiv w:val="1"/>
      <w:marLeft w:val="0"/>
      <w:marRight w:val="0"/>
      <w:marTop w:val="0"/>
      <w:marBottom w:val="0"/>
      <w:divBdr>
        <w:top w:val="none" w:sz="0" w:space="0" w:color="auto"/>
        <w:left w:val="none" w:sz="0" w:space="0" w:color="auto"/>
        <w:bottom w:val="none" w:sz="0" w:space="0" w:color="auto"/>
        <w:right w:val="none" w:sz="0" w:space="0" w:color="auto"/>
      </w:divBdr>
    </w:div>
    <w:div w:id="1604413535">
      <w:bodyDiv w:val="1"/>
      <w:marLeft w:val="0"/>
      <w:marRight w:val="0"/>
      <w:marTop w:val="0"/>
      <w:marBottom w:val="0"/>
      <w:divBdr>
        <w:top w:val="none" w:sz="0" w:space="0" w:color="auto"/>
        <w:left w:val="none" w:sz="0" w:space="0" w:color="auto"/>
        <w:bottom w:val="none" w:sz="0" w:space="0" w:color="auto"/>
        <w:right w:val="none" w:sz="0" w:space="0" w:color="auto"/>
      </w:divBdr>
    </w:div>
    <w:div w:id="1634602295">
      <w:bodyDiv w:val="1"/>
      <w:marLeft w:val="0"/>
      <w:marRight w:val="0"/>
      <w:marTop w:val="0"/>
      <w:marBottom w:val="0"/>
      <w:divBdr>
        <w:top w:val="none" w:sz="0" w:space="0" w:color="auto"/>
        <w:left w:val="none" w:sz="0" w:space="0" w:color="auto"/>
        <w:bottom w:val="none" w:sz="0" w:space="0" w:color="auto"/>
        <w:right w:val="none" w:sz="0" w:space="0" w:color="auto"/>
      </w:divBdr>
    </w:div>
    <w:div w:id="1658655315">
      <w:bodyDiv w:val="1"/>
      <w:marLeft w:val="0"/>
      <w:marRight w:val="0"/>
      <w:marTop w:val="0"/>
      <w:marBottom w:val="0"/>
      <w:divBdr>
        <w:top w:val="none" w:sz="0" w:space="0" w:color="auto"/>
        <w:left w:val="none" w:sz="0" w:space="0" w:color="auto"/>
        <w:bottom w:val="none" w:sz="0" w:space="0" w:color="auto"/>
        <w:right w:val="none" w:sz="0" w:space="0" w:color="auto"/>
      </w:divBdr>
    </w:div>
    <w:div w:id="1683314186">
      <w:bodyDiv w:val="1"/>
      <w:marLeft w:val="0"/>
      <w:marRight w:val="0"/>
      <w:marTop w:val="0"/>
      <w:marBottom w:val="0"/>
      <w:divBdr>
        <w:top w:val="none" w:sz="0" w:space="0" w:color="auto"/>
        <w:left w:val="none" w:sz="0" w:space="0" w:color="auto"/>
        <w:bottom w:val="none" w:sz="0" w:space="0" w:color="auto"/>
        <w:right w:val="none" w:sz="0" w:space="0" w:color="auto"/>
      </w:divBdr>
    </w:div>
    <w:div w:id="1775974551">
      <w:bodyDiv w:val="1"/>
      <w:marLeft w:val="0"/>
      <w:marRight w:val="0"/>
      <w:marTop w:val="0"/>
      <w:marBottom w:val="0"/>
      <w:divBdr>
        <w:top w:val="none" w:sz="0" w:space="0" w:color="auto"/>
        <w:left w:val="none" w:sz="0" w:space="0" w:color="auto"/>
        <w:bottom w:val="none" w:sz="0" w:space="0" w:color="auto"/>
        <w:right w:val="none" w:sz="0" w:space="0" w:color="auto"/>
      </w:divBdr>
    </w:div>
    <w:div w:id="1850944921">
      <w:bodyDiv w:val="1"/>
      <w:marLeft w:val="0"/>
      <w:marRight w:val="0"/>
      <w:marTop w:val="0"/>
      <w:marBottom w:val="0"/>
      <w:divBdr>
        <w:top w:val="none" w:sz="0" w:space="0" w:color="auto"/>
        <w:left w:val="none" w:sz="0" w:space="0" w:color="auto"/>
        <w:bottom w:val="none" w:sz="0" w:space="0" w:color="auto"/>
        <w:right w:val="none" w:sz="0" w:space="0" w:color="auto"/>
      </w:divBdr>
    </w:div>
    <w:div w:id="1883326108">
      <w:bodyDiv w:val="1"/>
      <w:marLeft w:val="0"/>
      <w:marRight w:val="0"/>
      <w:marTop w:val="0"/>
      <w:marBottom w:val="0"/>
      <w:divBdr>
        <w:top w:val="none" w:sz="0" w:space="0" w:color="auto"/>
        <w:left w:val="none" w:sz="0" w:space="0" w:color="auto"/>
        <w:bottom w:val="none" w:sz="0" w:space="0" w:color="auto"/>
        <w:right w:val="none" w:sz="0" w:space="0" w:color="auto"/>
      </w:divBdr>
    </w:div>
    <w:div w:id="1935169261">
      <w:bodyDiv w:val="1"/>
      <w:marLeft w:val="0"/>
      <w:marRight w:val="0"/>
      <w:marTop w:val="0"/>
      <w:marBottom w:val="0"/>
      <w:divBdr>
        <w:top w:val="none" w:sz="0" w:space="0" w:color="auto"/>
        <w:left w:val="none" w:sz="0" w:space="0" w:color="auto"/>
        <w:bottom w:val="none" w:sz="0" w:space="0" w:color="auto"/>
        <w:right w:val="none" w:sz="0" w:space="0" w:color="auto"/>
      </w:divBdr>
    </w:div>
    <w:div w:id="2078046923">
      <w:bodyDiv w:val="1"/>
      <w:marLeft w:val="0"/>
      <w:marRight w:val="0"/>
      <w:marTop w:val="0"/>
      <w:marBottom w:val="0"/>
      <w:divBdr>
        <w:top w:val="none" w:sz="0" w:space="0" w:color="auto"/>
        <w:left w:val="none" w:sz="0" w:space="0" w:color="auto"/>
        <w:bottom w:val="none" w:sz="0" w:space="0" w:color="auto"/>
        <w:right w:val="none" w:sz="0" w:space="0" w:color="auto"/>
      </w:divBdr>
    </w:div>
    <w:div w:id="2090807841">
      <w:bodyDiv w:val="1"/>
      <w:marLeft w:val="0"/>
      <w:marRight w:val="0"/>
      <w:marTop w:val="0"/>
      <w:marBottom w:val="0"/>
      <w:divBdr>
        <w:top w:val="none" w:sz="0" w:space="0" w:color="auto"/>
        <w:left w:val="none" w:sz="0" w:space="0" w:color="auto"/>
        <w:bottom w:val="none" w:sz="0" w:space="0" w:color="auto"/>
        <w:right w:val="none" w:sz="0" w:space="0" w:color="auto"/>
      </w:divBdr>
      <w:divsChild>
        <w:div w:id="122231897">
          <w:marLeft w:val="0"/>
          <w:marRight w:val="0"/>
          <w:marTop w:val="0"/>
          <w:marBottom w:val="0"/>
          <w:divBdr>
            <w:top w:val="none" w:sz="0" w:space="0" w:color="auto"/>
            <w:left w:val="none" w:sz="0" w:space="0" w:color="auto"/>
            <w:bottom w:val="none" w:sz="0" w:space="0" w:color="auto"/>
            <w:right w:val="none" w:sz="0" w:space="0" w:color="auto"/>
          </w:divBdr>
        </w:div>
        <w:div w:id="477260781">
          <w:marLeft w:val="0"/>
          <w:marRight w:val="0"/>
          <w:marTop w:val="0"/>
          <w:marBottom w:val="0"/>
          <w:divBdr>
            <w:top w:val="none" w:sz="0" w:space="0" w:color="auto"/>
            <w:left w:val="none" w:sz="0" w:space="0" w:color="auto"/>
            <w:bottom w:val="none" w:sz="0" w:space="0" w:color="auto"/>
            <w:right w:val="none" w:sz="0" w:space="0" w:color="auto"/>
          </w:divBdr>
          <w:divsChild>
            <w:div w:id="368184435">
              <w:marLeft w:val="0"/>
              <w:marRight w:val="0"/>
              <w:marTop w:val="0"/>
              <w:marBottom w:val="0"/>
              <w:divBdr>
                <w:top w:val="none" w:sz="0" w:space="0" w:color="auto"/>
                <w:left w:val="none" w:sz="0" w:space="0" w:color="auto"/>
                <w:bottom w:val="none" w:sz="0" w:space="0" w:color="auto"/>
                <w:right w:val="none" w:sz="0" w:space="0" w:color="auto"/>
              </w:divBdr>
            </w:div>
            <w:div w:id="592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0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co-cdo.org/fr/nos-projets-en-cours/intelligence-artificielle-pda-et-systeme-de-justice/reglementer-lintelligence-artificielle-enjeux-et-choix-essentiels/" TargetMode="External"/><Relationship Id="rId18" Type="http://schemas.openxmlformats.org/officeDocument/2006/relationships/hyperlink" Target="mailto:LawCommission@lco-cdo.org" TargetMode="External"/><Relationship Id="rId26" Type="http://schemas.openxmlformats.org/officeDocument/2006/relationships/hyperlink" Target="https://www.lco-cdo.org/fr/nos-projets-en-cours/lia-dans-le-systeme-de-justice-penale/" TargetMode="External"/><Relationship Id="rId39" Type="http://schemas.openxmlformats.org/officeDocument/2006/relationships/hyperlink" Target="https://bsky.app/profile/lco-cdo.bsky.social" TargetMode="External"/><Relationship Id="rId3" Type="http://schemas.openxmlformats.org/officeDocument/2006/relationships/styles" Target="styles.xml"/><Relationship Id="rId21" Type="http://schemas.openxmlformats.org/officeDocument/2006/relationships/hyperlink" Target="https://bsky.app/profile/lco-cdo.bsky.social" TargetMode="External"/><Relationship Id="rId34" Type="http://schemas.openxmlformats.org/officeDocument/2006/relationships/hyperlink" Target="mailto:rfritsch@lco-cdo.org"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lco-cdo.org/en/our-current-projects/ai-adm-and-the-justice-system/ai-and-adm-in-the-civil-administrative-justice-system/" TargetMode="External"/><Relationship Id="rId17" Type="http://schemas.openxmlformats.org/officeDocument/2006/relationships/hyperlink" Target="https://www.lco-cdo.org/fr" TargetMode="External"/><Relationship Id="rId25" Type="http://schemas.openxmlformats.org/officeDocument/2006/relationships/hyperlink" Target="http://www.lco-cdo.org/fr/nos-projets-en-cours/lia-dans-le-systeme-de-justice-penale" TargetMode="External"/><Relationship Id="rId33" Type="http://schemas.openxmlformats.org/officeDocument/2006/relationships/hyperlink" Target="https://www.lco-cdo.org/fr/nos-projets-en-cours/lia-dans-le-systeme-de-justice-penale/" TargetMode="External"/><Relationship Id="rId38" Type="http://schemas.openxmlformats.org/officeDocument/2006/relationships/hyperlink" Target="https://linkedin.com/company/lco-cdo" TargetMode="External"/><Relationship Id="rId2" Type="http://schemas.openxmlformats.org/officeDocument/2006/relationships/numbering" Target="numbering.xml"/><Relationship Id="rId16" Type="http://schemas.openxmlformats.org/officeDocument/2006/relationships/hyperlink" Target="https://www.lco-cdo.org/en/our-current-projects/crimai/ai-in-criminal-justice-in-ontario/" TargetMode="External"/><Relationship Id="rId20" Type="http://schemas.openxmlformats.org/officeDocument/2006/relationships/hyperlink" Target="https://linkedin.com/company/lco-cdo" TargetMode="External"/><Relationship Id="rId29" Type="http://schemas.openxmlformats.org/officeDocument/2006/relationships/hyperlink" Target="https://www.lco-cdo.org/en/our-current-projects/ai-adm-and-the-justice-system/ai-and-adm-in-the-civil-administrative-justice-system/" TargetMode="External"/><Relationship Id="rId41" Type="http://schemas.openxmlformats.org/officeDocument/2006/relationships/hyperlink" Target="https://www.youtube.com/@lawcommissionofontario87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co-cdo.org/en/our-current-projects/ai-adm-and-the-justice-system/" TargetMode="External"/><Relationship Id="rId24" Type="http://schemas.openxmlformats.org/officeDocument/2006/relationships/image" Target="media/image3.png"/><Relationship Id="rId32" Type="http://schemas.openxmlformats.org/officeDocument/2006/relationships/hyperlink" Target="https://www.lco-cdo.org/en/our-current-projects/crimai/ai-in-criminal-justice-in-ontario/" TargetMode="External"/><Relationship Id="rId37" Type="http://schemas.openxmlformats.org/officeDocument/2006/relationships/hyperlink" Target="https://www.lco-cdo.org" TargetMode="External"/><Relationship Id="rId40" Type="http://schemas.openxmlformats.org/officeDocument/2006/relationships/hyperlink" Target="https://x.com/LCO_CDO/status/167187386227802112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co-cdo.org/en/our-current-projects/ai-adm-and-the-justice-system/" TargetMode="External"/><Relationship Id="rId23" Type="http://schemas.openxmlformats.org/officeDocument/2006/relationships/hyperlink" Target="https://www.youtube.com/@lawcommissionofontario8724" TargetMode="External"/><Relationship Id="rId28" Type="http://schemas.openxmlformats.org/officeDocument/2006/relationships/hyperlink" Target="https://www.lco-cdo.org/fr/nos-projets-en-cours/intelligence-artificielle-pda-et-systeme-de-justice/evaluation-de-limpact-de-lintelligence-artificielle-sur-les-droits-de-la-personne/" TargetMode="External"/><Relationship Id="rId36" Type="http://schemas.openxmlformats.org/officeDocument/2006/relationships/hyperlink" Target="mailto:LawCommission@lco-cdo.org" TargetMode="External"/><Relationship Id="rId10" Type="http://schemas.openxmlformats.org/officeDocument/2006/relationships/hyperlink" Target="https://www.lco-cdo.org/fr/nos-projets-en-cours/intelligence-artificielle-pda-et-systeme-de-justice/evaluation-de-limpact-de-lintelligence-artificielle-sur-les-droits-de-la-personne/" TargetMode="External"/><Relationship Id="rId19" Type="http://schemas.openxmlformats.org/officeDocument/2006/relationships/hyperlink" Target="https://www.lco-cdo.org" TargetMode="External"/><Relationship Id="rId31" Type="http://schemas.openxmlformats.org/officeDocument/2006/relationships/hyperlink" Target="https://www.lco-cdo.org/en/our-current-projects/ai-adm-and-the-justice-syste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co-cdo.org/fr/nos-projets-en-cours/intelligence-artificielle-pda-et-systeme-de-justice/reglementer-lintelligence-artificielle-enjeux-et-choix-essentiels/" TargetMode="External"/><Relationship Id="rId22" Type="http://schemas.openxmlformats.org/officeDocument/2006/relationships/hyperlink" Target="https://x.com/LCO_CDO/status/1671873862278021121" TargetMode="External"/><Relationship Id="rId27" Type="http://schemas.openxmlformats.org/officeDocument/2006/relationships/hyperlink" Target="https://www.lco-cdo.org/" TargetMode="External"/><Relationship Id="rId30" Type="http://schemas.openxmlformats.org/officeDocument/2006/relationships/hyperlink" Target="https://www.lco-cdo.org/fr/nos-projets-en-cours/intelligence-artificielle-pda-et-systeme-de-justice/reglementer-lintelligence-artificielle-enjeux-et-choix-essentiels/" TargetMode="External"/><Relationship Id="rId35" Type="http://schemas.openxmlformats.org/officeDocument/2006/relationships/hyperlink" Target="https://www.lco-cdo.org/fr/nos-projets-en-cours/lia-dans-le-systeme-de-justice-penale/" TargetMode="External"/><Relationship Id="rId43"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www.europol.europa.eu/publication-events/main-reports/ai-and-policing" TargetMode="External"/><Relationship Id="rId13" Type="http://schemas.openxmlformats.org/officeDocument/2006/relationships/hyperlink" Target="https://www.courtinnovation.org/sites/default/files/media/document/2019/Beyond_The_Algorithm.pdf" TargetMode="External"/><Relationship Id="rId18" Type="http://schemas.openxmlformats.org/officeDocument/2006/relationships/hyperlink" Target="https://www.brennancenter.org/our-work/research-reports/new-york-city-police-department-surveillance-technology" TargetMode="External"/><Relationship Id="rId26" Type="http://schemas.openxmlformats.org/officeDocument/2006/relationships/hyperlink" Target="https://pacc-ccap.ca/aida-open-letter/" TargetMode="External"/><Relationship Id="rId3" Type="http://schemas.openxmlformats.org/officeDocument/2006/relationships/hyperlink" Target="https://nap.nationalacademies.org/catalog/28037/law-enforcement-use-of-predictive-policing-approaches-proceedings-of-a" TargetMode="External"/><Relationship Id="rId21" Type="http://schemas.openxmlformats.org/officeDocument/2006/relationships/hyperlink" Target="https://www.federalregister.gov/documents/2023/11/01/2023-24283/safe-secure-and-trustworthy-development-and-use-of-artificial-intelligence" TargetMode="External"/><Relationship Id="rId34" Type="http://schemas.openxmlformats.org/officeDocument/2006/relationships/hyperlink" Target="https://www.albertacourts.ca/kb/resources/announcements/notice-to-the-profession-public---use-of-ai-in-citations-submissions" TargetMode="External"/><Relationship Id="rId7" Type="http://schemas.openxmlformats.org/officeDocument/2006/relationships/hyperlink" Target="https://www.ipc.on.ca/wp-content/uploads/2024/01/2024-01-19-la-reconnaissance-faciale-et-les-bases-de-donnees-de-photos-signaletiques-document-d-orientation-a-l-intention-des-services-de-police-en-ontario-f.pdf" TargetMode="External"/><Relationship Id="rId12" Type="http://schemas.openxmlformats.org/officeDocument/2006/relationships/hyperlink" Target="https://www.nacdl.org/Article/June2018-MakingSenseofPretrialRiskAsses" TargetMode="External"/><Relationship Id="rId17" Type="http://schemas.openxmlformats.org/officeDocument/2006/relationships/hyperlink" Target="https://www.stopspying.org/seeing-is-misbelieving" TargetMode="External"/><Relationship Id="rId25" Type="http://schemas.openxmlformats.org/officeDocument/2006/relationships/hyperlink" Target="https://bccla.org/policy-submission/joint-letter-of-concern-regarding-the-artificial-intelligence-and-data-act-aida/" TargetMode="External"/><Relationship Id="rId33" Type="http://schemas.openxmlformats.org/officeDocument/2006/relationships/hyperlink" Target="https://www.fct-cf.ca/Content/assets/pdf/base/2023-12-20-avis-utilisation-ia-procedures-judiciairess.pdf" TargetMode="External"/><Relationship Id="rId2" Type="http://schemas.openxmlformats.org/officeDocument/2006/relationships/hyperlink" Target="https://ssrn.com/abstract=3516382" TargetMode="External"/><Relationship Id="rId16" Type="http://schemas.openxmlformats.org/officeDocument/2006/relationships/hyperlink" Target="https://www.policingproject.org/regulating-police-use-of-face-recognition-technology%20at%201-2" TargetMode="External"/><Relationship Id="rId20" Type="http://schemas.openxmlformats.org/officeDocument/2006/relationships/hyperlink" Target="https://eur-lex.europa.eu/legal-content/FR/TXT/?uri=CELEX%3A32024R1689" TargetMode="External"/><Relationship Id="rId29" Type="http://schemas.openxmlformats.org/officeDocument/2006/relationships/hyperlink" Target="https://tpsb.ca/jdownloads-categories?task=download.send&amp;id=813:january-11-2024-public-agenda&amp;catid=32" TargetMode="External"/><Relationship Id="rId1" Type="http://schemas.openxmlformats.org/officeDocument/2006/relationships/hyperlink" Target="https://www.lco-cdo.org/fr/nos-projets-en-cours/lia-dans-le-systeme-de-justice-penale/" TargetMode="External"/><Relationship Id="rId6" Type="http://schemas.openxmlformats.org/officeDocument/2006/relationships/hyperlink" Target="https://inclo.net/pillars/surveillance-and-digital-rights/principles-for-use-of-frt/" TargetMode="External"/><Relationship Id="rId11" Type="http://schemas.openxmlformats.org/officeDocument/2006/relationships/hyperlink" Target="https://www.lco-cdo.org/wp-content/uploads/2020/10/Criminal-AI-Paper-Final-Oct-28-2020.pdf" TargetMode="External"/><Relationship Id="rId24" Type="http://schemas.openxmlformats.org/officeDocument/2006/relationships/hyperlink" Target="https://www.policingproject.org/regulating-police-use-of-face-recognition-technology" TargetMode="External"/><Relationship Id="rId32" Type="http://schemas.openxmlformats.org/officeDocument/2006/relationships/hyperlink" Target="https://www.priv.gc.ca/fr/mesures-et-decisions-prises-par-le-commissariat/ar_index/202021/sr_grc/" TargetMode="External"/><Relationship Id="rId5" Type="http://schemas.openxmlformats.org/officeDocument/2006/relationships/hyperlink" Target="https://unicri.org/A-Policy-Framework%20-for-Responsible-Limits-on-Facial-Recognition" TargetMode="External"/><Relationship Id="rId15" Type="http://schemas.openxmlformats.org/officeDocument/2006/relationships/hyperlink" Target="https://www.partnershiponai.org/report-on-machine-learning-in-risk-assessment-tools-in-the-u-s-criminal-justice-system/" TargetMode="External"/><Relationship Id="rId23" Type="http://schemas.openxmlformats.org/officeDocument/2006/relationships/hyperlink" Target="https://www.nyc.gov/site/nypd/about/about-nypd/equipment-tech/facial-recognition.page" TargetMode="External"/><Relationship Id="rId28" Type="http://schemas.openxmlformats.org/officeDocument/2006/relationships/hyperlink" Target="https://tpsb.ca/policies-by-laws/board-policies/195-use-of-artificial-intelligence-technology" TargetMode="External"/><Relationship Id="rId10" Type="http://schemas.openxmlformats.org/officeDocument/2006/relationships/hyperlink" Target="https://tpsb.ca/jdownloads-categories?task=download.send&amp;id=813:january-11-2024-public-agenda&amp;catid=32" TargetMode="External"/><Relationship Id="rId19" Type="http://schemas.openxmlformats.org/officeDocument/2006/relationships/hyperlink" Target="https://www.ipc.on.ca/wp-content/uploads/2024/01/2024-01-19-la-reconnaissance-faciale-et-les-bases-de-donnees-de-photos-signaletiques-document-d-orientation-a-l-intention-des-services-de-police-en-ontario-f.pdf" TargetMode="External"/><Relationship Id="rId31" Type="http://schemas.openxmlformats.org/officeDocument/2006/relationships/hyperlink" Target="https://www.ipc.on.ca/resource/letter-to-the-toronto-police-services-board-about-facial-recognition-mugshot-database-program/" TargetMode="External"/><Relationship Id="rId4" Type="http://schemas.openxmlformats.org/officeDocument/2006/relationships/hyperlink" Target="https://citizenlab.ca/wp-content/uploads/2020/09/To-Surveil-and-Predict.pdf" TargetMode="External"/><Relationship Id="rId9" Type="http://schemas.openxmlformats.org/officeDocument/2006/relationships/hyperlink" Target="https://www.gao.gov/assets/gao-21-518.pdf" TargetMode="External"/><Relationship Id="rId14" Type="http://schemas.openxmlformats.org/officeDocument/2006/relationships/hyperlink" Target="https://nvlpubs.nist.gov/nistpubs/ir/2019/NIST.IR.8280.pdf" TargetMode="External"/><Relationship Id="rId22" Type="http://schemas.openxmlformats.org/officeDocument/2006/relationships/hyperlink" Target="https://ainowinstitute.org/publication/regulating-biometrics-global-approaches-and-open-questions" TargetMode="External"/><Relationship Id="rId27" Type="http://schemas.openxmlformats.org/officeDocument/2006/relationships/hyperlink" Target="https://www.lco-cdo.org/en/lco-releases-bill-194-submission/" TargetMode="External"/><Relationship Id="rId30" Type="http://schemas.openxmlformats.org/officeDocument/2006/relationships/hyperlink" Target="https://durhampoliceboard.ca/policies-and-bylaws/" TargetMode="External"/><Relationship Id="rId35" Type="http://schemas.openxmlformats.org/officeDocument/2006/relationships/hyperlink" Target="https://www.manitobacourts.mb.ca/site/assets/files/2045/practice_direction_-_use_of_artificial_intelligence_in_court_submiss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7C646-D4E5-4B38-8AAE-13F38381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11650</Words>
  <Characters>66409</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Fritsch</dc:creator>
  <cp:keywords/>
  <dc:description/>
  <cp:lastModifiedBy>OWNER</cp:lastModifiedBy>
  <cp:revision>4</cp:revision>
  <cp:lastPrinted>2025-04-07T22:02:00Z</cp:lastPrinted>
  <dcterms:created xsi:type="dcterms:W3CDTF">2025-05-08T16:26:00Z</dcterms:created>
  <dcterms:modified xsi:type="dcterms:W3CDTF">2025-05-08T16:31:00Z</dcterms:modified>
</cp:coreProperties>
</file>