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9F8BF" w14:textId="602D8589" w:rsidR="003012E0" w:rsidRPr="00D6562E" w:rsidRDefault="002D6CF7" w:rsidP="003012E0">
      <w:pPr>
        <w:rPr>
          <w:lang w:eastAsia="en-CA"/>
        </w:rPr>
      </w:pPr>
      <w:bookmarkStart w:id="0" w:name="_Toc173918235"/>
      <w:bookmarkStart w:id="1" w:name="_Toc188900883"/>
      <w:r w:rsidRPr="002D6CF7">
        <w:rPr>
          <w:noProof/>
          <w:lang w:eastAsia="en-CA"/>
        </w:rPr>
        <w:drawing>
          <wp:anchor distT="0" distB="0" distL="114300" distR="114300" simplePos="0" relativeHeight="251659264" behindDoc="0" locked="0" layoutInCell="1" allowOverlap="1" wp14:anchorId="59FEB5E5" wp14:editId="2211DFF3">
            <wp:simplePos x="0" y="0"/>
            <wp:positionH relativeFrom="margin">
              <wp:align>right</wp:align>
            </wp:positionH>
            <wp:positionV relativeFrom="paragraph">
              <wp:posOffset>0</wp:posOffset>
            </wp:positionV>
            <wp:extent cx="5943600" cy="5943600"/>
            <wp:effectExtent l="0" t="0" r="0" b="0"/>
            <wp:wrapTight wrapText="bothSides">
              <wp:wrapPolygon edited="0">
                <wp:start x="0" y="0"/>
                <wp:lineTo x="0" y="21531"/>
                <wp:lineTo x="21531" y="21531"/>
                <wp:lineTo x="21531" y="0"/>
                <wp:lineTo x="0" y="0"/>
              </wp:wrapPolygon>
            </wp:wrapTight>
            <wp:docPr id="20278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3335" name=""/>
                    <pic:cNvPicPr/>
                  </pic:nvPicPr>
                  <pic:blipFill>
                    <a:blip r:embed="rId8"/>
                    <a:stretch>
                      <a:fillRect/>
                    </a:stretch>
                  </pic:blipFill>
                  <pic:spPr>
                    <a:xfrm>
                      <a:off x="0" y="0"/>
                      <a:ext cx="5943600" cy="5943600"/>
                    </a:xfrm>
                    <a:prstGeom prst="rect">
                      <a:avLst/>
                    </a:prstGeom>
                  </pic:spPr>
                </pic:pic>
              </a:graphicData>
            </a:graphic>
            <wp14:sizeRelV relativeFrom="margin">
              <wp14:pctHeight>0</wp14:pctHeight>
            </wp14:sizeRelV>
          </wp:anchor>
        </w:drawing>
      </w:r>
    </w:p>
    <w:p w14:paraId="6553E077" w14:textId="4B2E7424" w:rsidR="003012E0" w:rsidRPr="00214AFA" w:rsidRDefault="003012E0" w:rsidP="00D17576">
      <w:pPr>
        <w:jc w:val="center"/>
        <w:rPr>
          <w:rFonts w:ascii="Calibri" w:eastAsia="Calibri" w:hAnsi="Calibri" w:cs="Calibri"/>
          <w:b/>
          <w:lang w:eastAsia="en-CA"/>
        </w:rPr>
      </w:pPr>
      <w:r w:rsidRPr="006B091D">
        <w:rPr>
          <w:rFonts w:ascii="Calibri" w:eastAsia="Calibri" w:hAnsi="Calibri" w:cs="Calibri"/>
          <w:b/>
          <w:lang w:eastAsia="en-CA"/>
        </w:rPr>
        <w:t>AI IN CRIMINAL JUSTICE PROJECT</w:t>
      </w:r>
      <w:r w:rsidR="00D17576">
        <w:rPr>
          <w:rFonts w:ascii="Calibri" w:eastAsia="Calibri" w:hAnsi="Calibri" w:cs="Calibri"/>
          <w:b/>
          <w:lang w:eastAsia="en-CA"/>
        </w:rPr>
        <w:t xml:space="preserve"> | ANNEX A</w:t>
      </w:r>
    </w:p>
    <w:p w14:paraId="5DD71BA8" w14:textId="310C0CF5" w:rsidR="003012E0" w:rsidRPr="00214AFA" w:rsidRDefault="003012E0" w:rsidP="00D17576">
      <w:pPr>
        <w:jc w:val="center"/>
        <w:rPr>
          <w:rFonts w:ascii="Calibri" w:eastAsia="Calibri" w:hAnsi="Calibri" w:cs="Calibri"/>
          <w:b/>
          <w:lang w:eastAsia="en-CA"/>
        </w:rPr>
      </w:pPr>
      <w:r>
        <w:rPr>
          <w:rFonts w:ascii="Calibri" w:eastAsia="Calibri" w:hAnsi="Calibri" w:cs="Calibri"/>
          <w:b/>
          <w:lang w:eastAsia="en-CA"/>
        </w:rPr>
        <w:t>Executive Summary and Consultation Questions</w:t>
      </w:r>
    </w:p>
    <w:p w14:paraId="407329A3" w14:textId="77777777" w:rsidR="003012E0" w:rsidRPr="00214AFA" w:rsidRDefault="003012E0" w:rsidP="00D17576">
      <w:pPr>
        <w:jc w:val="center"/>
        <w:rPr>
          <w:rFonts w:ascii="Calibri" w:eastAsia="Calibri" w:hAnsi="Calibri" w:cs="Calibri"/>
          <w:b/>
          <w:lang w:eastAsia="en-CA"/>
        </w:rPr>
      </w:pPr>
      <w:r>
        <w:rPr>
          <w:rFonts w:ascii="Calibri" w:eastAsia="Calibri" w:hAnsi="Calibri" w:cs="Calibri"/>
          <w:b/>
          <w:lang w:eastAsia="en-CA"/>
        </w:rPr>
        <w:t>April 2025</w:t>
      </w:r>
    </w:p>
    <w:p w14:paraId="1D113905" w14:textId="77777777" w:rsidR="003012E0" w:rsidRPr="00214AFA" w:rsidRDefault="003012E0" w:rsidP="003012E0">
      <w:pPr>
        <w:rPr>
          <w:rFonts w:ascii="Calibri" w:eastAsia="Calibri" w:hAnsi="Calibri" w:cs="Calibri"/>
          <w:b/>
          <w:lang w:eastAsia="en-CA"/>
        </w:rPr>
      </w:pPr>
    </w:p>
    <w:p w14:paraId="38C53063" w14:textId="22C92D58" w:rsidR="003012E0" w:rsidRPr="00214AFA" w:rsidRDefault="002D6CF7" w:rsidP="003012E0">
      <w:pPr>
        <w:rPr>
          <w:rFonts w:ascii="Calibri" w:eastAsia="Calibri" w:hAnsi="Calibri" w:cs="Calibri"/>
          <w:b/>
          <w:lang w:eastAsia="en-CA"/>
        </w:rPr>
      </w:pPr>
      <w:r w:rsidRPr="00A720D0">
        <w:rPr>
          <w:rFonts w:cstheme="minorHAnsi"/>
          <w:b/>
          <w:noProof/>
          <w:sz w:val="24"/>
          <w:szCs w:val="24"/>
        </w:rPr>
        <w:drawing>
          <wp:anchor distT="0" distB="0" distL="114300" distR="114300" simplePos="0" relativeHeight="251661312" behindDoc="0" locked="0" layoutInCell="1" allowOverlap="1" wp14:anchorId="1ADD4810" wp14:editId="32ED2AFF">
            <wp:simplePos x="0" y="0"/>
            <wp:positionH relativeFrom="margin">
              <wp:align>center</wp:align>
            </wp:positionH>
            <wp:positionV relativeFrom="paragraph">
              <wp:posOffset>10795</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9"/>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p>
    <w:p w14:paraId="7FDE08F2" w14:textId="77777777" w:rsidR="003012E0" w:rsidRPr="00214AFA" w:rsidRDefault="003012E0" w:rsidP="003012E0">
      <w:pPr>
        <w:rPr>
          <w:rFonts w:ascii="Calibri" w:eastAsia="Calibri" w:hAnsi="Calibri" w:cs="Calibri"/>
          <w:b/>
          <w:lang w:eastAsia="en-CA"/>
        </w:rPr>
      </w:pPr>
    </w:p>
    <w:p w14:paraId="040A3AF5" w14:textId="77777777" w:rsidR="003012E0" w:rsidRPr="00214AFA" w:rsidRDefault="003012E0" w:rsidP="003012E0">
      <w:pPr>
        <w:rPr>
          <w:rFonts w:ascii="Calibri" w:eastAsia="Calibri" w:hAnsi="Calibri" w:cs="Calibri"/>
          <w:b/>
          <w:lang w:eastAsia="en-CA"/>
        </w:rPr>
      </w:pPr>
    </w:p>
    <w:p w14:paraId="22B298AB" w14:textId="77777777" w:rsidR="003012E0" w:rsidRPr="006B091D" w:rsidRDefault="003012E0" w:rsidP="003012E0">
      <w:pPr>
        <w:rPr>
          <w:rFonts w:ascii="Calibri" w:eastAsia="Calibri" w:hAnsi="Calibri" w:cs="Calibri"/>
          <w:b/>
          <w:lang w:eastAsia="en-CA"/>
        </w:rPr>
      </w:pPr>
      <w:r w:rsidRPr="006B091D">
        <w:rPr>
          <w:rFonts w:ascii="Calibri" w:eastAsia="Calibri" w:hAnsi="Calibri" w:cs="Calibri"/>
          <w:b/>
          <w:lang w:eastAsia="en-CA"/>
        </w:rPr>
        <w:lastRenderedPageBreak/>
        <w:t>ABOUT THE LAW COMMISSION OF ONTARIO</w:t>
      </w:r>
    </w:p>
    <w:p w14:paraId="38978CCC" w14:textId="77777777" w:rsidR="003012E0" w:rsidRDefault="003012E0" w:rsidP="005E0126">
      <w:pPr>
        <w:spacing w:after="0"/>
        <w:rPr>
          <w:rFonts w:ascii="Calibri" w:eastAsia="Calibri" w:hAnsi="Calibri" w:cs="Calibri"/>
          <w:lang w:val="en-US" w:eastAsia="en-CA"/>
        </w:rPr>
      </w:pPr>
      <w:r w:rsidRPr="00D651FB">
        <w:rPr>
          <w:rFonts w:ascii="Calibri" w:eastAsia="Calibri" w:hAnsi="Calibri" w:cs="Calibri"/>
          <w:lang w:val="en-US" w:eastAsia="en-CA"/>
        </w:rPr>
        <w:t xml:space="preserve">The Law Commission of Ontario (LCO) is Ontario’s leading law reform agency. </w:t>
      </w:r>
    </w:p>
    <w:p w14:paraId="276B1B5A" w14:textId="77777777" w:rsidR="005E0126" w:rsidRPr="00D651FB" w:rsidRDefault="005E0126" w:rsidP="005E0126">
      <w:pPr>
        <w:spacing w:after="0"/>
        <w:rPr>
          <w:rFonts w:ascii="Calibri" w:eastAsia="Calibri" w:hAnsi="Calibri" w:cs="Calibri"/>
          <w:lang w:val="en-US" w:eastAsia="en-CA"/>
        </w:rPr>
      </w:pPr>
    </w:p>
    <w:p w14:paraId="29013C30" w14:textId="77777777" w:rsidR="003012E0" w:rsidRPr="00D651FB" w:rsidRDefault="003012E0" w:rsidP="005E0126">
      <w:pPr>
        <w:spacing w:after="0"/>
        <w:rPr>
          <w:rFonts w:ascii="Calibri" w:eastAsia="Calibri" w:hAnsi="Calibri" w:cs="Calibri"/>
          <w:lang w:val="en-US" w:eastAsia="en-CA"/>
        </w:rPr>
      </w:pPr>
      <w:r w:rsidRPr="00D651FB">
        <w:rPr>
          <w:rFonts w:ascii="Calibri" w:eastAsia="Calibri" w:hAnsi="Calibri" w:cs="Calibri"/>
          <w:lang w:val="en-US" w:eastAsia="en-CA"/>
        </w:rPr>
        <w:t>The LCO provides independent, balanced, and authoritative advice on complex and important legal policy issues. Through this work, the LCO promotes access to justice, evidence-based legislation and policies, and public engagement on important law reform issues. The LCO is independent of stakeholder interests and is committed to a public interest perspective for every project.</w:t>
      </w:r>
    </w:p>
    <w:p w14:paraId="06F3D0A7" w14:textId="77777777" w:rsidR="005E0126" w:rsidRDefault="005E0126" w:rsidP="005E0126">
      <w:pPr>
        <w:spacing w:after="0"/>
        <w:rPr>
          <w:rFonts w:ascii="Calibri" w:eastAsia="Calibri" w:hAnsi="Calibri" w:cs="Calibri"/>
          <w:lang w:val="en-US" w:eastAsia="en-CA"/>
        </w:rPr>
      </w:pPr>
    </w:p>
    <w:p w14:paraId="2F6EBB41" w14:textId="530521F0" w:rsidR="003012E0" w:rsidRDefault="003012E0" w:rsidP="005E0126">
      <w:pPr>
        <w:spacing w:after="0"/>
        <w:rPr>
          <w:rFonts w:ascii="Calibri" w:eastAsia="Calibri" w:hAnsi="Calibri" w:cs="Calibri"/>
          <w:lang w:val="en-US" w:eastAsia="en-CA"/>
        </w:rPr>
      </w:pPr>
      <w:r w:rsidRPr="00D651FB">
        <w:rPr>
          <w:rFonts w:ascii="Calibri" w:eastAsia="Calibri" w:hAnsi="Calibri" w:cs="Calibri"/>
          <w:lang w:val="en-US" w:eastAsia="en-CA"/>
        </w:rPr>
        <w:t>Recent LCO reports and submissions addressing AI issues include:</w:t>
      </w:r>
    </w:p>
    <w:p w14:paraId="3835F58B" w14:textId="77777777" w:rsidR="005E0126" w:rsidRDefault="005E0126" w:rsidP="005E0126">
      <w:pPr>
        <w:spacing w:after="0"/>
        <w:rPr>
          <w:rFonts w:ascii="Calibri" w:eastAsia="Calibri" w:hAnsi="Calibri" w:cs="Calibri"/>
          <w:lang w:val="en-US" w:eastAsia="en-CA"/>
        </w:rPr>
      </w:pPr>
    </w:p>
    <w:p w14:paraId="461280D5" w14:textId="77777777" w:rsidR="003012E0" w:rsidRPr="00D651FB" w:rsidRDefault="003012E0" w:rsidP="005E0126">
      <w:pPr>
        <w:pStyle w:val="ListParagraph"/>
        <w:numPr>
          <w:ilvl w:val="0"/>
          <w:numId w:val="2"/>
        </w:numPr>
        <w:spacing w:after="0" w:line="240" w:lineRule="auto"/>
        <w:rPr>
          <w:rFonts w:ascii="Calibri" w:eastAsia="Calibri" w:hAnsi="Calibri" w:cs="Calibri"/>
          <w:lang w:val="en-US" w:eastAsia="en-CA"/>
        </w:rPr>
      </w:pPr>
      <w:hyperlink r:id="rId10" w:history="1">
        <w:r w:rsidRPr="00D651FB">
          <w:rPr>
            <w:rFonts w:ascii="Calibri" w:eastAsia="Calibri" w:hAnsi="Calibri" w:cs="Calibri"/>
            <w:color w:val="0563C1"/>
            <w:u w:val="single"/>
            <w:lang w:val="en-US" w:eastAsia="en-CA"/>
          </w:rPr>
          <w:t>Human Rights AI Impact Assessment</w:t>
        </w:r>
      </w:hyperlink>
      <w:r w:rsidRPr="00D651FB">
        <w:rPr>
          <w:rFonts w:ascii="Calibri" w:eastAsia="Calibri" w:hAnsi="Calibri" w:cs="Calibri"/>
          <w:lang w:val="en-US" w:eastAsia="en-CA"/>
        </w:rPr>
        <w:t xml:space="preserve"> (with the Ontario Human Rights Commission, 2024)</w:t>
      </w:r>
    </w:p>
    <w:p w14:paraId="4EE54B83" w14:textId="77777777" w:rsidR="003012E0" w:rsidRPr="006B091D" w:rsidRDefault="003012E0" w:rsidP="005E0126">
      <w:pPr>
        <w:numPr>
          <w:ilvl w:val="0"/>
          <w:numId w:val="2"/>
        </w:numPr>
        <w:spacing w:after="0" w:line="240" w:lineRule="auto"/>
        <w:ind w:left="714" w:hanging="357"/>
        <w:rPr>
          <w:rFonts w:ascii="Calibri" w:eastAsia="Calibri" w:hAnsi="Calibri" w:cs="Calibri"/>
          <w:lang w:val="en-US" w:eastAsia="en-CA"/>
        </w:rPr>
      </w:pPr>
      <w:hyperlink r:id="rId11" w:anchor="bill194" w:history="1">
        <w:r w:rsidRPr="006B091D">
          <w:rPr>
            <w:rFonts w:ascii="Calibri" w:eastAsia="Calibri" w:hAnsi="Calibri" w:cs="Calibri"/>
            <w:color w:val="0563C1"/>
            <w:u w:val="single"/>
            <w:lang w:val="en-US" w:eastAsia="en-CA"/>
          </w:rPr>
          <w:t>Submission to Government of Ontario Re Bill 194</w:t>
        </w:r>
      </w:hyperlink>
      <w:r w:rsidRPr="006B091D">
        <w:rPr>
          <w:rFonts w:ascii="Calibri" w:eastAsia="Calibri" w:hAnsi="Calibri" w:cs="Calibri"/>
          <w:lang w:val="en-US" w:eastAsia="en-CA"/>
        </w:rPr>
        <w:t xml:space="preserve"> (2024)</w:t>
      </w:r>
    </w:p>
    <w:p w14:paraId="4D8EBC27" w14:textId="77777777" w:rsidR="003012E0" w:rsidRPr="006B091D" w:rsidRDefault="003012E0" w:rsidP="005E0126">
      <w:pPr>
        <w:numPr>
          <w:ilvl w:val="0"/>
          <w:numId w:val="2"/>
        </w:numPr>
        <w:spacing w:after="0" w:line="240" w:lineRule="auto"/>
        <w:ind w:left="714" w:hanging="357"/>
        <w:rPr>
          <w:rFonts w:ascii="Calibri" w:eastAsia="Calibri" w:hAnsi="Calibri" w:cs="Calibri"/>
          <w:lang w:val="en-US" w:eastAsia="en-CA"/>
        </w:rPr>
      </w:pPr>
      <w:hyperlink r:id="rId12" w:history="1">
        <w:r w:rsidRPr="006B091D">
          <w:rPr>
            <w:rFonts w:ascii="Calibri" w:eastAsia="Calibri" w:hAnsi="Calibri" w:cs="Calibri"/>
            <w:i/>
            <w:iCs/>
            <w:color w:val="0563C1"/>
            <w:u w:val="single"/>
            <w:lang w:val="en-US" w:eastAsia="en-CA"/>
          </w:rPr>
          <w:t>Accountable AI</w:t>
        </w:r>
      </w:hyperlink>
      <w:r w:rsidRPr="006B091D">
        <w:rPr>
          <w:rFonts w:ascii="Calibri" w:eastAsia="Calibri" w:hAnsi="Calibri" w:cs="Calibri"/>
          <w:i/>
          <w:iCs/>
          <w:lang w:val="en-US" w:eastAsia="en-CA"/>
        </w:rPr>
        <w:t xml:space="preserve"> </w:t>
      </w:r>
      <w:r w:rsidRPr="006B091D">
        <w:rPr>
          <w:rFonts w:ascii="Calibri" w:eastAsia="Calibri" w:hAnsi="Calibri" w:cs="Calibri"/>
          <w:lang w:val="en-US" w:eastAsia="en-CA"/>
        </w:rPr>
        <w:t>(2022)</w:t>
      </w:r>
    </w:p>
    <w:p w14:paraId="77D4FCA8" w14:textId="77777777" w:rsidR="003012E0" w:rsidRPr="006B091D" w:rsidRDefault="003012E0" w:rsidP="005E0126">
      <w:pPr>
        <w:numPr>
          <w:ilvl w:val="0"/>
          <w:numId w:val="2"/>
        </w:numPr>
        <w:spacing w:after="0" w:line="240" w:lineRule="auto"/>
        <w:ind w:left="714" w:hanging="357"/>
        <w:rPr>
          <w:rFonts w:ascii="Calibri" w:eastAsia="Calibri" w:hAnsi="Calibri" w:cs="Calibri"/>
          <w:lang w:val="en-US" w:eastAsia="en-CA"/>
        </w:rPr>
      </w:pPr>
      <w:hyperlink r:id="rId13" w:history="1">
        <w:r w:rsidRPr="006B091D">
          <w:rPr>
            <w:rFonts w:ascii="Calibri" w:eastAsia="Calibri" w:hAnsi="Calibri" w:cs="Calibri"/>
            <w:i/>
            <w:iCs/>
            <w:color w:val="0563C1"/>
            <w:u w:val="single"/>
            <w:lang w:eastAsia="en-CA"/>
          </w:rPr>
          <w:t>Regulating AI: Critical Issues and Choices</w:t>
        </w:r>
      </w:hyperlink>
      <w:r w:rsidRPr="006B091D">
        <w:rPr>
          <w:rFonts w:ascii="Calibri" w:eastAsia="Calibri" w:hAnsi="Calibri" w:cs="Calibri"/>
          <w:lang w:val="en-US" w:eastAsia="en-CA"/>
        </w:rPr>
        <w:t xml:space="preserve"> (2021) </w:t>
      </w:r>
    </w:p>
    <w:p w14:paraId="40EDA6BA" w14:textId="77777777" w:rsidR="003012E0" w:rsidRPr="006B091D" w:rsidRDefault="003012E0" w:rsidP="005E0126">
      <w:pPr>
        <w:numPr>
          <w:ilvl w:val="0"/>
          <w:numId w:val="2"/>
        </w:numPr>
        <w:spacing w:after="0" w:line="240" w:lineRule="auto"/>
        <w:ind w:left="714" w:hanging="357"/>
        <w:rPr>
          <w:rFonts w:ascii="Calibri" w:eastAsia="Calibri" w:hAnsi="Calibri" w:cs="Calibri"/>
          <w:lang w:val="en-US" w:eastAsia="en-CA"/>
        </w:rPr>
      </w:pPr>
      <w:hyperlink r:id="rId14" w:history="1">
        <w:r w:rsidRPr="006B091D">
          <w:rPr>
            <w:rFonts w:ascii="Calibri" w:eastAsia="Calibri" w:hAnsi="Calibri" w:cs="Calibri"/>
            <w:i/>
            <w:iCs/>
            <w:color w:val="0563C1"/>
            <w:u w:val="single"/>
            <w:lang w:val="en-US" w:eastAsia="en-CA"/>
          </w:rPr>
          <w:t>Legal Issues and Government AI Development</w:t>
        </w:r>
      </w:hyperlink>
      <w:r w:rsidRPr="006B091D">
        <w:rPr>
          <w:rFonts w:ascii="Calibri" w:eastAsia="Calibri" w:hAnsi="Calibri" w:cs="Calibri"/>
          <w:lang w:val="en-US" w:eastAsia="en-CA"/>
        </w:rPr>
        <w:t xml:space="preserve"> (2021)</w:t>
      </w:r>
    </w:p>
    <w:p w14:paraId="78220469" w14:textId="77777777" w:rsidR="003012E0" w:rsidRPr="006B091D" w:rsidRDefault="003012E0" w:rsidP="005E0126">
      <w:pPr>
        <w:numPr>
          <w:ilvl w:val="0"/>
          <w:numId w:val="2"/>
        </w:numPr>
        <w:spacing w:after="0" w:line="240" w:lineRule="auto"/>
        <w:ind w:left="714" w:hanging="357"/>
        <w:rPr>
          <w:rFonts w:ascii="Calibri" w:eastAsia="Calibri" w:hAnsi="Calibri" w:cs="Calibri"/>
          <w:lang w:eastAsia="en-CA"/>
        </w:rPr>
      </w:pPr>
      <w:hyperlink r:id="rId15" w:history="1">
        <w:r w:rsidRPr="006B091D">
          <w:rPr>
            <w:rFonts w:ascii="Calibri" w:eastAsia="Calibri" w:hAnsi="Calibri" w:cs="Calibri"/>
            <w:color w:val="0563C1"/>
            <w:u w:val="single"/>
            <w:lang w:val="en-US" w:eastAsia="en-CA"/>
          </w:rPr>
          <w:t>The Rise and Fall of Algorithms in the American Justice System: Lessons for Canada</w:t>
        </w:r>
      </w:hyperlink>
      <w:r w:rsidRPr="006B091D">
        <w:rPr>
          <w:rFonts w:ascii="Calibri" w:eastAsia="Calibri" w:hAnsi="Calibri" w:cs="Calibri"/>
          <w:lang w:val="en-US" w:eastAsia="en-CA"/>
        </w:rPr>
        <w:t xml:space="preserve"> (2020) </w:t>
      </w:r>
    </w:p>
    <w:p w14:paraId="4C101DFD" w14:textId="77777777" w:rsidR="003012E0" w:rsidRPr="00214AFA" w:rsidRDefault="003012E0" w:rsidP="005E0126">
      <w:pPr>
        <w:spacing w:after="0"/>
        <w:rPr>
          <w:rFonts w:ascii="Calibri" w:eastAsia="Calibri" w:hAnsi="Calibri" w:cs="Calibri"/>
          <w:b/>
          <w:lang w:eastAsia="en-CA"/>
        </w:rPr>
      </w:pPr>
      <w:r w:rsidRPr="006B091D">
        <w:rPr>
          <w:rFonts w:ascii="Calibri" w:eastAsia="Calibri" w:hAnsi="Calibri" w:cs="Calibri"/>
          <w:lang w:val="en-US" w:eastAsia="en-CA"/>
        </w:rPr>
        <w:br/>
        <w:t>More information about the LCO and this project is available at:</w:t>
      </w:r>
      <w:r w:rsidRPr="006B091D">
        <w:rPr>
          <w:rFonts w:ascii="Calibri" w:eastAsia="Calibri" w:hAnsi="Calibri" w:cs="Calibri"/>
          <w:bCs/>
          <w:lang w:eastAsia="en-CA"/>
        </w:rPr>
        <w:t xml:space="preserve"> </w:t>
      </w:r>
      <w:hyperlink r:id="rId16" w:history="1">
        <w:r w:rsidRPr="006B091D">
          <w:rPr>
            <w:rFonts w:ascii="Calibri" w:eastAsia="Calibri" w:hAnsi="Calibri" w:cs="Calibri"/>
            <w:bCs/>
            <w:color w:val="0563C1"/>
            <w:u w:val="single"/>
            <w:lang w:eastAsia="en-CA"/>
          </w:rPr>
          <w:t>https://www.lco-cdo.org</w:t>
        </w:r>
      </w:hyperlink>
      <w:r w:rsidRPr="006B091D">
        <w:rPr>
          <w:rFonts w:ascii="Calibri" w:eastAsia="Calibri" w:hAnsi="Calibri" w:cs="Calibri"/>
          <w:bCs/>
          <w:lang w:eastAsia="en-CA"/>
        </w:rPr>
        <w:t>.</w:t>
      </w:r>
    </w:p>
    <w:p w14:paraId="78654813" w14:textId="77777777" w:rsidR="005E0126" w:rsidRDefault="005E0126" w:rsidP="005E0126">
      <w:pPr>
        <w:rPr>
          <w:rFonts w:ascii="Calibri" w:eastAsia="Calibri" w:hAnsi="Calibri" w:cs="Calibri"/>
          <w:b/>
          <w:bCs/>
          <w:lang w:eastAsia="en-CA"/>
        </w:rPr>
      </w:pPr>
    </w:p>
    <w:p w14:paraId="06015BEC" w14:textId="4270B1E4" w:rsidR="005E0126" w:rsidRPr="005D2DBA" w:rsidRDefault="005E0126" w:rsidP="005E0126">
      <w:pPr>
        <w:rPr>
          <w:rFonts w:ascii="Calibri" w:eastAsia="Calibri" w:hAnsi="Calibri" w:cs="Calibri"/>
          <w:b/>
          <w:bCs/>
          <w:lang w:eastAsia="en-CA"/>
        </w:rPr>
      </w:pPr>
      <w:r w:rsidRPr="005D2DBA">
        <w:rPr>
          <w:rFonts w:ascii="Calibri" w:eastAsia="Calibri" w:hAnsi="Calibri" w:cs="Calibri"/>
          <w:b/>
          <w:bCs/>
          <w:lang w:eastAsia="en-CA"/>
        </w:rPr>
        <w:t>CONTACT</w:t>
      </w:r>
    </w:p>
    <w:p w14:paraId="7D301651" w14:textId="77777777" w:rsidR="005E0126" w:rsidRPr="005D2DBA" w:rsidRDefault="005E0126" w:rsidP="005E0126">
      <w:pPr>
        <w:rPr>
          <w:rFonts w:ascii="Calibri" w:eastAsia="Calibri" w:hAnsi="Calibri" w:cs="Calibri"/>
          <w:lang w:eastAsia="en-CA"/>
        </w:rPr>
      </w:pPr>
      <w:r w:rsidRPr="005D2DBA">
        <w:rPr>
          <w:rFonts w:ascii="Calibri" w:eastAsia="Calibri" w:hAnsi="Calibri" w:cs="Calibri"/>
          <w:lang w:eastAsia="en-CA"/>
        </w:rPr>
        <w:t>Law Commission of Ontario</w:t>
      </w:r>
      <w:r w:rsidRPr="005D2DBA">
        <w:rPr>
          <w:rFonts w:ascii="Calibri" w:eastAsia="Calibri" w:hAnsi="Calibri" w:cs="Calibri"/>
          <w:lang w:eastAsia="en-CA"/>
        </w:rPr>
        <w:br/>
        <w:t>2032 Ignat Kaneff Building</w:t>
      </w:r>
      <w:r w:rsidRPr="005D2DBA">
        <w:rPr>
          <w:rFonts w:ascii="Calibri" w:eastAsia="Calibri" w:hAnsi="Calibri" w:cs="Calibri"/>
          <w:lang w:eastAsia="en-CA"/>
        </w:rPr>
        <w:br/>
        <w:t>Osgoode Hall Law School, York University</w:t>
      </w:r>
      <w:r w:rsidRPr="005D2DBA">
        <w:rPr>
          <w:rFonts w:ascii="Calibri" w:eastAsia="Calibri" w:hAnsi="Calibri" w:cs="Calibri"/>
          <w:lang w:eastAsia="en-CA"/>
        </w:rPr>
        <w:br/>
        <w:t>4700 Keele Street, Toronto, ON, M3J 1P3</w:t>
      </w:r>
    </w:p>
    <w:p w14:paraId="38D51A5C" w14:textId="77777777" w:rsidR="005E0126" w:rsidRPr="005D2DBA" w:rsidRDefault="005E0126" w:rsidP="005E0126">
      <w:pPr>
        <w:rPr>
          <w:rFonts w:ascii="Calibri" w:eastAsia="Calibri" w:hAnsi="Calibri" w:cs="Calibri"/>
          <w:lang w:eastAsia="en-CA"/>
        </w:rPr>
      </w:pPr>
      <w:r w:rsidRPr="005D2DBA">
        <w:rPr>
          <w:rFonts w:ascii="Calibri" w:eastAsia="Calibri" w:hAnsi="Calibri" w:cs="Calibri"/>
          <w:lang w:eastAsia="en-CA"/>
        </w:rPr>
        <w:t xml:space="preserve">Tel: (416) 650-8406 </w:t>
      </w:r>
      <w:r w:rsidRPr="005D2DBA">
        <w:rPr>
          <w:rFonts w:ascii="Calibri" w:eastAsia="Calibri" w:hAnsi="Calibri" w:cs="Calibri"/>
          <w:lang w:eastAsia="en-CA"/>
        </w:rPr>
        <w:br/>
        <w:t xml:space="preserve">E-mail: </w:t>
      </w:r>
      <w:hyperlink r:id="rId17" w:history="1">
        <w:r w:rsidRPr="005D2DBA">
          <w:rPr>
            <w:rFonts w:ascii="Calibri" w:eastAsia="Calibri" w:hAnsi="Calibri" w:cs="Calibri"/>
            <w:color w:val="0563C1"/>
            <w:u w:val="single"/>
            <w:lang w:eastAsia="en-CA"/>
          </w:rPr>
          <w:t>LawCommission@lco-cdo.org</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Web: </w:t>
      </w:r>
      <w:hyperlink r:id="rId18" w:history="1">
        <w:r w:rsidRPr="005D2DBA">
          <w:rPr>
            <w:rFonts w:ascii="Calibri" w:eastAsia="Calibri" w:hAnsi="Calibri" w:cs="Calibri"/>
            <w:color w:val="0563C1"/>
            <w:u w:val="single"/>
            <w:lang w:eastAsia="en-CA"/>
          </w:rPr>
          <w:t>https://www.lco-cdo.org</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LinkedIn: </w:t>
      </w:r>
      <w:hyperlink r:id="rId19" w:history="1">
        <w:r w:rsidRPr="005D2DBA">
          <w:rPr>
            <w:rFonts w:ascii="Calibri" w:eastAsia="Calibri" w:hAnsi="Calibri" w:cs="Calibri"/>
            <w:color w:val="0563C1"/>
            <w:u w:val="single"/>
            <w:lang w:eastAsia="en-CA"/>
          </w:rPr>
          <w:t>https://linkedin.com/company/lco-cdo</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Bluesky: </w:t>
      </w:r>
      <w:hyperlink r:id="rId20" w:history="1">
        <w:r w:rsidRPr="005D2DBA">
          <w:rPr>
            <w:rFonts w:ascii="Calibri" w:eastAsia="Calibri" w:hAnsi="Calibri" w:cs="Calibri"/>
            <w:color w:val="0563C1"/>
            <w:u w:val="single"/>
            <w:lang w:eastAsia="en-CA"/>
          </w:rPr>
          <w:t>@lco-cdo.bsky.social</w:t>
        </w:r>
      </w:hyperlink>
      <w:r w:rsidRPr="005D2DBA">
        <w:rPr>
          <w:rFonts w:ascii="Calibri" w:eastAsia="Calibri" w:hAnsi="Calibri" w:cs="Calibri"/>
          <w:lang w:eastAsia="en-CA"/>
        </w:rPr>
        <w:br/>
        <w:t xml:space="preserve">Twitter: </w:t>
      </w:r>
      <w:hyperlink r:id="rId21" w:history="1">
        <w:r w:rsidRPr="005D2DBA">
          <w:rPr>
            <w:rFonts w:ascii="Calibri" w:eastAsia="Calibri" w:hAnsi="Calibri" w:cs="Calibri"/>
            <w:color w:val="0563C1"/>
            <w:u w:val="single"/>
            <w:lang w:eastAsia="en-CA"/>
          </w:rPr>
          <w:t>@LCO_CDO</w:t>
        </w:r>
      </w:hyperlink>
      <w:r w:rsidRPr="005D2DBA">
        <w:rPr>
          <w:rFonts w:ascii="Calibri" w:eastAsia="Calibri" w:hAnsi="Calibri" w:cs="Calibri"/>
          <w:lang w:eastAsia="en-CA"/>
        </w:rPr>
        <w:br/>
        <w:t xml:space="preserve">YouTube: </w:t>
      </w:r>
      <w:hyperlink r:id="rId22" w:history="1">
        <w:r w:rsidRPr="005D2DBA">
          <w:rPr>
            <w:rFonts w:ascii="Calibri" w:eastAsia="Calibri" w:hAnsi="Calibri" w:cs="Calibri"/>
            <w:color w:val="0563C1"/>
            <w:u w:val="single"/>
            <w:lang w:eastAsia="en-CA"/>
          </w:rPr>
          <w:t>@lawcommissionofontario8724</w:t>
        </w:r>
      </w:hyperlink>
      <w:r w:rsidRPr="005D2DBA">
        <w:rPr>
          <w:rFonts w:ascii="Calibri" w:eastAsia="Calibri" w:hAnsi="Calibri" w:cs="Calibri"/>
          <w:lang w:eastAsia="en-CA"/>
        </w:rPr>
        <w:t xml:space="preserve"> </w:t>
      </w:r>
    </w:p>
    <w:p w14:paraId="39A1C554" w14:textId="77777777" w:rsidR="005E0126" w:rsidRDefault="005E0126" w:rsidP="005E0126">
      <w:pPr>
        <w:rPr>
          <w:rFonts w:ascii="Calibri" w:eastAsia="Calibri" w:hAnsi="Calibri" w:cs="Calibri"/>
          <w:b/>
          <w:bCs/>
          <w:lang w:eastAsia="en-CA"/>
        </w:rPr>
      </w:pPr>
    </w:p>
    <w:p w14:paraId="13F9FF87" w14:textId="0919B0D6" w:rsidR="005E0126" w:rsidRPr="005D2DBA" w:rsidRDefault="005E0126" w:rsidP="005E0126">
      <w:pPr>
        <w:rPr>
          <w:rFonts w:ascii="Calibri" w:eastAsia="Calibri" w:hAnsi="Calibri" w:cs="Calibri"/>
          <w:b/>
          <w:bCs/>
          <w:lang w:eastAsia="en-CA"/>
        </w:rPr>
      </w:pPr>
      <w:r w:rsidRPr="005D2DBA">
        <w:rPr>
          <w:rFonts w:ascii="Calibri" w:eastAsia="Calibri" w:hAnsi="Calibri" w:cs="Calibri"/>
          <w:b/>
          <w:bCs/>
          <w:lang w:eastAsia="en-CA"/>
        </w:rPr>
        <w:t>FUNDERS</w:t>
      </w:r>
    </w:p>
    <w:p w14:paraId="78CCA7EB" w14:textId="77777777" w:rsidR="005E0126" w:rsidRPr="005D2DBA" w:rsidRDefault="005E0126" w:rsidP="005E0126">
      <w:pPr>
        <w:rPr>
          <w:rFonts w:ascii="Calibri" w:eastAsia="Calibri" w:hAnsi="Calibri" w:cs="Calibri"/>
          <w:lang w:eastAsia="en-CA"/>
        </w:rPr>
      </w:pPr>
      <w:r w:rsidRPr="005D2DBA">
        <w:rPr>
          <w:rFonts w:ascii="Calibri" w:eastAsia="Calibri" w:hAnsi="Calibri" w:cs="Calibri"/>
          <w:lang w:eastAsia="en-CA"/>
        </w:rPr>
        <w:t>Financial support is provided by the Law Foundation of Ontario, the Law Society of Ontario, and Osgoode Hall Law School. The LCO is located at Osgoode Hall Law School in Toronto.</w:t>
      </w:r>
    </w:p>
    <w:p w14:paraId="2D5AACAF" w14:textId="77777777" w:rsidR="005E0126" w:rsidRPr="005D2DBA" w:rsidRDefault="005E0126" w:rsidP="005E0126">
      <w:pPr>
        <w:jc w:val="center"/>
        <w:rPr>
          <w:rFonts w:ascii="Calibri" w:eastAsia="Calibri" w:hAnsi="Calibri" w:cs="Calibri"/>
          <w:lang w:eastAsia="en-CA"/>
        </w:rPr>
      </w:pPr>
      <w:r w:rsidRPr="005D2DBA">
        <w:rPr>
          <w:rFonts w:ascii="Calibri" w:eastAsia="Calibri" w:hAnsi="Calibri" w:cs="Calibri"/>
          <w:noProof/>
          <w:lang w:eastAsia="en-CA"/>
        </w:rPr>
        <w:drawing>
          <wp:inline distT="0" distB="0" distL="0" distR="0" wp14:anchorId="25259481" wp14:editId="2DBECE5D">
            <wp:extent cx="2658794" cy="997048"/>
            <wp:effectExtent l="0" t="0" r="0" b="6350"/>
            <wp:docPr id="780152041"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2041" name="Picture 1" descr="Several logos of various states&#10;&#10;AI-generated content may be incorrect."/>
                    <pic:cNvPicPr/>
                  </pic:nvPicPr>
                  <pic:blipFill>
                    <a:blip r:embed="rId23"/>
                    <a:stretch>
                      <a:fillRect/>
                    </a:stretch>
                  </pic:blipFill>
                  <pic:spPr>
                    <a:xfrm>
                      <a:off x="0" y="0"/>
                      <a:ext cx="2687021" cy="1007633"/>
                    </a:xfrm>
                    <a:prstGeom prst="rect">
                      <a:avLst/>
                    </a:prstGeom>
                  </pic:spPr>
                </pic:pic>
              </a:graphicData>
            </a:graphic>
          </wp:inline>
        </w:drawing>
      </w:r>
    </w:p>
    <w:p w14:paraId="74B178F3" w14:textId="0E1BFB37" w:rsidR="003012E0" w:rsidRPr="00D651FB" w:rsidRDefault="003012E0" w:rsidP="003012E0">
      <w:pPr>
        <w:rPr>
          <w:rFonts w:ascii="Calibri" w:eastAsia="Calibri" w:hAnsi="Calibri" w:cs="Calibri"/>
          <w:b/>
          <w:bCs/>
          <w:lang w:eastAsia="en-CA"/>
        </w:rPr>
      </w:pPr>
      <w:r w:rsidRPr="00D651FB">
        <w:rPr>
          <w:rFonts w:ascii="Calibri" w:eastAsia="Calibri" w:hAnsi="Calibri" w:cs="Calibri"/>
          <w:b/>
          <w:bCs/>
          <w:lang w:eastAsia="en-CA"/>
        </w:rPr>
        <w:lastRenderedPageBreak/>
        <w:t xml:space="preserve">THE LCO AI IN CRIMINAL JUSTICE PROJECT </w:t>
      </w:r>
      <w:r w:rsidRPr="00D651FB">
        <w:rPr>
          <w:rFonts w:ascii="Calibri" w:eastAsia="Calibri" w:hAnsi="Calibri" w:cs="Calibri"/>
          <w:b/>
          <w:bCs/>
          <w:lang w:eastAsia="en-C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7"/>
      </w:tblGrid>
      <w:tr w:rsidR="003012E0" w14:paraId="2DB1FD6B" w14:textId="77777777" w:rsidTr="00FF1B72">
        <w:tc>
          <w:tcPr>
            <w:tcW w:w="1413" w:type="dxa"/>
          </w:tcPr>
          <w:p w14:paraId="577A0B52" w14:textId="77777777" w:rsidR="003012E0" w:rsidRPr="005E0126" w:rsidRDefault="003012E0" w:rsidP="00FF1B72">
            <w:pPr>
              <w:rPr>
                <w:rFonts w:eastAsia="Calibri"/>
                <w:bCs/>
                <w:kern w:val="0"/>
                <w:sz w:val="24"/>
                <w:szCs w:val="24"/>
                <w:lang w:eastAsia="en-CA"/>
              </w:rPr>
            </w:pPr>
            <w:r w:rsidRPr="005E0126">
              <w:rPr>
                <w:rFonts w:eastAsia="Calibri"/>
                <w:bCs/>
                <w:kern w:val="0"/>
                <w:sz w:val="24"/>
                <w:szCs w:val="24"/>
                <w:lang w:eastAsia="en-CA"/>
              </w:rPr>
              <w:t>Paper 1</w:t>
            </w:r>
          </w:p>
        </w:tc>
        <w:tc>
          <w:tcPr>
            <w:tcW w:w="7937" w:type="dxa"/>
          </w:tcPr>
          <w:p w14:paraId="00112B2D" w14:textId="10F28C59" w:rsidR="003012E0" w:rsidRPr="00A63EC1" w:rsidRDefault="00D17576" w:rsidP="00FF1B72">
            <w:pPr>
              <w:rPr>
                <w:rFonts w:eastAsia="Calibri"/>
                <w:b/>
                <w:bCs/>
                <w:i/>
                <w:iCs/>
                <w:kern w:val="0"/>
                <w:sz w:val="24"/>
                <w:szCs w:val="24"/>
                <w:lang w:eastAsia="en-CA"/>
              </w:rPr>
            </w:pPr>
            <w:r w:rsidRPr="005E0126">
              <w:rPr>
                <w:rFonts w:eastAsia="Calibri"/>
                <w:b/>
                <w:bCs/>
                <w:i/>
                <w:iCs/>
                <w:kern w:val="0"/>
                <w:sz w:val="24"/>
                <w:szCs w:val="24"/>
                <w:lang w:eastAsia="en-CA"/>
              </w:rPr>
              <w:t>Introduction and Summary</w:t>
            </w:r>
            <w:r>
              <w:rPr>
                <w:rFonts w:eastAsia="Calibri"/>
                <w:b/>
                <w:bCs/>
                <w:i/>
                <w:iCs/>
                <w:kern w:val="0"/>
                <w:sz w:val="24"/>
                <w:szCs w:val="24"/>
                <w:lang w:eastAsia="en-CA"/>
              </w:rPr>
              <w:t xml:space="preserve">: </w:t>
            </w:r>
            <w:r w:rsidR="003012E0" w:rsidRPr="005E0126">
              <w:rPr>
                <w:rFonts w:eastAsia="Calibri"/>
                <w:b/>
                <w:bCs/>
                <w:i/>
                <w:iCs/>
                <w:kern w:val="0"/>
                <w:sz w:val="24"/>
                <w:szCs w:val="24"/>
                <w:lang w:eastAsia="en-CA"/>
              </w:rPr>
              <w:t>AI in Criminal Justice</w:t>
            </w:r>
            <w:r w:rsidR="005E0126" w:rsidRPr="005E0126">
              <w:rPr>
                <w:rFonts w:eastAsia="Calibri"/>
                <w:b/>
                <w:bCs/>
                <w:i/>
                <w:iCs/>
                <w:kern w:val="0"/>
                <w:sz w:val="24"/>
                <w:szCs w:val="24"/>
                <w:lang w:eastAsia="en-CA"/>
              </w:rPr>
              <w:t xml:space="preserve"> Project</w:t>
            </w:r>
            <w:r w:rsidR="003012E0" w:rsidRPr="005E0126">
              <w:rPr>
                <w:rFonts w:eastAsia="Calibri"/>
                <w:b/>
                <w:bCs/>
                <w:i/>
                <w:iCs/>
                <w:kern w:val="0"/>
                <w:sz w:val="24"/>
                <w:szCs w:val="24"/>
                <w:lang w:eastAsia="en-CA"/>
              </w:rPr>
              <w:t>:</w:t>
            </w:r>
          </w:p>
        </w:tc>
      </w:tr>
      <w:tr w:rsidR="003012E0" w14:paraId="458B6BAB" w14:textId="77777777" w:rsidTr="00FF1B72">
        <w:tc>
          <w:tcPr>
            <w:tcW w:w="1413" w:type="dxa"/>
          </w:tcPr>
          <w:p w14:paraId="2053C1D3" w14:textId="77777777" w:rsidR="003012E0" w:rsidRPr="007A29D1" w:rsidRDefault="003012E0" w:rsidP="00FF1B72">
            <w:pPr>
              <w:rPr>
                <w:rFonts w:eastAsia="Calibri"/>
                <w:bCs/>
                <w:kern w:val="0"/>
                <w:sz w:val="24"/>
                <w:szCs w:val="24"/>
                <w:lang w:eastAsia="en-CA"/>
              </w:rPr>
            </w:pPr>
          </w:p>
        </w:tc>
        <w:tc>
          <w:tcPr>
            <w:tcW w:w="7937" w:type="dxa"/>
          </w:tcPr>
          <w:p w14:paraId="483F757F" w14:textId="0D00AF55" w:rsidR="003012E0" w:rsidRPr="007A29D1" w:rsidRDefault="003012E0" w:rsidP="00FF1B72">
            <w:pPr>
              <w:rPr>
                <w:rFonts w:eastAsia="Calibri"/>
                <w:kern w:val="0"/>
                <w:sz w:val="24"/>
                <w:szCs w:val="24"/>
                <w:lang w:eastAsia="en-CA"/>
              </w:rPr>
            </w:pPr>
            <w:r w:rsidRPr="007A29D1">
              <w:rPr>
                <w:rFonts w:eastAsia="Calibri"/>
                <w:kern w:val="0"/>
                <w:sz w:val="24"/>
                <w:szCs w:val="24"/>
                <w:lang w:eastAsia="en-CA"/>
              </w:rPr>
              <w:t>Nye Thomas, Executive Director, LCO</w:t>
            </w:r>
            <w:r w:rsidR="002B1497">
              <w:rPr>
                <w:rFonts w:eastAsia="Calibri"/>
                <w:kern w:val="0"/>
                <w:sz w:val="24"/>
                <w:szCs w:val="24"/>
                <w:lang w:eastAsia="en-CA"/>
              </w:rPr>
              <w:br/>
              <w:t>Ryan Fritsch, Counsel, LCO</w:t>
            </w:r>
          </w:p>
        </w:tc>
      </w:tr>
      <w:tr w:rsidR="003012E0" w14:paraId="61DBD201" w14:textId="77777777" w:rsidTr="00FF1B72">
        <w:tc>
          <w:tcPr>
            <w:tcW w:w="1413" w:type="dxa"/>
          </w:tcPr>
          <w:p w14:paraId="10AE537E" w14:textId="77777777" w:rsidR="003012E0" w:rsidRPr="007A29D1" w:rsidRDefault="003012E0" w:rsidP="00FF1B72">
            <w:pPr>
              <w:rPr>
                <w:rFonts w:eastAsia="Calibri"/>
                <w:bCs/>
                <w:kern w:val="0"/>
                <w:sz w:val="24"/>
                <w:szCs w:val="24"/>
                <w:lang w:eastAsia="en-CA"/>
              </w:rPr>
            </w:pPr>
          </w:p>
        </w:tc>
        <w:tc>
          <w:tcPr>
            <w:tcW w:w="7937" w:type="dxa"/>
          </w:tcPr>
          <w:p w14:paraId="0AC5D07C" w14:textId="77777777" w:rsidR="003012E0" w:rsidRPr="007A29D1" w:rsidRDefault="003012E0" w:rsidP="00FF1B72">
            <w:pPr>
              <w:rPr>
                <w:rFonts w:eastAsia="Calibri"/>
                <w:kern w:val="0"/>
                <w:sz w:val="24"/>
                <w:szCs w:val="24"/>
                <w:lang w:eastAsia="en-CA"/>
              </w:rPr>
            </w:pPr>
          </w:p>
        </w:tc>
      </w:tr>
      <w:tr w:rsidR="003012E0" w14:paraId="2023E494" w14:textId="77777777" w:rsidTr="00FF1B72">
        <w:tc>
          <w:tcPr>
            <w:tcW w:w="1413" w:type="dxa"/>
          </w:tcPr>
          <w:p w14:paraId="4914499A" w14:textId="77777777" w:rsidR="003012E0" w:rsidRPr="007A29D1" w:rsidRDefault="003012E0" w:rsidP="00FF1B72">
            <w:pPr>
              <w:rPr>
                <w:rFonts w:eastAsia="Calibri"/>
                <w:bCs/>
                <w:kern w:val="0"/>
                <w:sz w:val="24"/>
                <w:szCs w:val="24"/>
                <w:lang w:eastAsia="en-CA"/>
              </w:rPr>
            </w:pPr>
            <w:r>
              <w:rPr>
                <w:rFonts w:eastAsia="Calibri"/>
                <w:bCs/>
                <w:kern w:val="0"/>
                <w:sz w:val="24"/>
                <w:szCs w:val="24"/>
                <w:lang w:eastAsia="en-CA"/>
              </w:rPr>
              <w:t>Paper 2</w:t>
            </w:r>
          </w:p>
        </w:tc>
        <w:tc>
          <w:tcPr>
            <w:tcW w:w="7937" w:type="dxa"/>
          </w:tcPr>
          <w:p w14:paraId="2A587F99" w14:textId="77777777" w:rsidR="003012E0" w:rsidRPr="00A63EC1" w:rsidRDefault="003012E0" w:rsidP="00FF1B72">
            <w:pPr>
              <w:rPr>
                <w:rFonts w:eastAsia="Calibri"/>
                <w:b/>
                <w:bCs/>
                <w:i/>
                <w:iCs/>
                <w:kern w:val="0"/>
                <w:sz w:val="24"/>
                <w:szCs w:val="24"/>
                <w:lang w:eastAsia="en-CA"/>
              </w:rPr>
            </w:pPr>
            <w:r w:rsidRPr="00A63EC1">
              <w:rPr>
                <w:rFonts w:eastAsia="Calibri"/>
                <w:b/>
                <w:bCs/>
                <w:i/>
                <w:iCs/>
                <w:kern w:val="0"/>
                <w:sz w:val="24"/>
                <w:szCs w:val="24"/>
                <w:lang w:eastAsia="en-CA"/>
              </w:rPr>
              <w:t>Use of AI by Law Enforcement</w:t>
            </w:r>
          </w:p>
        </w:tc>
      </w:tr>
      <w:tr w:rsidR="003012E0" w14:paraId="4BC8BFE5" w14:textId="77777777" w:rsidTr="00FF1B72">
        <w:tc>
          <w:tcPr>
            <w:tcW w:w="1413" w:type="dxa"/>
          </w:tcPr>
          <w:p w14:paraId="1C04CCFF" w14:textId="77777777" w:rsidR="003012E0" w:rsidRPr="007A29D1" w:rsidRDefault="003012E0" w:rsidP="00FF1B72">
            <w:pPr>
              <w:rPr>
                <w:rFonts w:eastAsia="Calibri"/>
                <w:bCs/>
                <w:kern w:val="0"/>
                <w:sz w:val="24"/>
                <w:szCs w:val="24"/>
                <w:lang w:eastAsia="en-CA"/>
              </w:rPr>
            </w:pPr>
          </w:p>
        </w:tc>
        <w:tc>
          <w:tcPr>
            <w:tcW w:w="7937" w:type="dxa"/>
          </w:tcPr>
          <w:p w14:paraId="7F391432" w14:textId="77777777" w:rsidR="003012E0" w:rsidRPr="007A29D1" w:rsidRDefault="003012E0" w:rsidP="00FF1B72">
            <w:pPr>
              <w:rPr>
                <w:rFonts w:eastAsia="Calibri"/>
                <w:kern w:val="0"/>
                <w:sz w:val="24"/>
                <w:szCs w:val="24"/>
                <w:lang w:eastAsia="en-CA"/>
              </w:rPr>
            </w:pPr>
            <w:r>
              <w:rPr>
                <w:rFonts w:eastAsia="Calibri"/>
                <w:kern w:val="0"/>
                <w:sz w:val="24"/>
                <w:szCs w:val="24"/>
                <w:lang w:eastAsia="en-CA"/>
              </w:rPr>
              <w:t>Ryan Fritsch, Counsel, LCO</w:t>
            </w:r>
          </w:p>
        </w:tc>
      </w:tr>
      <w:tr w:rsidR="003012E0" w14:paraId="579620BE" w14:textId="77777777" w:rsidTr="00FF1B72">
        <w:tc>
          <w:tcPr>
            <w:tcW w:w="1413" w:type="dxa"/>
          </w:tcPr>
          <w:p w14:paraId="6F768616" w14:textId="77777777" w:rsidR="003012E0" w:rsidRPr="007A29D1" w:rsidRDefault="003012E0" w:rsidP="00FF1B72">
            <w:pPr>
              <w:rPr>
                <w:rFonts w:eastAsia="Calibri"/>
                <w:bCs/>
                <w:kern w:val="0"/>
                <w:sz w:val="24"/>
                <w:szCs w:val="24"/>
                <w:lang w:eastAsia="en-CA"/>
              </w:rPr>
            </w:pPr>
          </w:p>
        </w:tc>
        <w:tc>
          <w:tcPr>
            <w:tcW w:w="7937" w:type="dxa"/>
          </w:tcPr>
          <w:p w14:paraId="3102E84A" w14:textId="77777777" w:rsidR="003012E0" w:rsidRPr="007A29D1" w:rsidRDefault="003012E0" w:rsidP="00FF1B72">
            <w:pPr>
              <w:rPr>
                <w:rFonts w:eastAsia="Calibri"/>
                <w:kern w:val="0"/>
                <w:sz w:val="24"/>
                <w:szCs w:val="24"/>
                <w:lang w:eastAsia="en-CA"/>
              </w:rPr>
            </w:pPr>
          </w:p>
        </w:tc>
      </w:tr>
      <w:tr w:rsidR="003012E0" w14:paraId="35839E54" w14:textId="77777777" w:rsidTr="00FF1B72">
        <w:tc>
          <w:tcPr>
            <w:tcW w:w="1413" w:type="dxa"/>
          </w:tcPr>
          <w:p w14:paraId="35730C44" w14:textId="77777777" w:rsidR="003012E0" w:rsidRPr="007A29D1" w:rsidRDefault="003012E0" w:rsidP="00FF1B72">
            <w:pPr>
              <w:rPr>
                <w:rFonts w:eastAsia="Calibri"/>
                <w:bCs/>
                <w:kern w:val="0"/>
                <w:sz w:val="24"/>
                <w:szCs w:val="24"/>
                <w:lang w:eastAsia="en-CA"/>
              </w:rPr>
            </w:pPr>
            <w:r>
              <w:rPr>
                <w:rFonts w:eastAsia="Calibri"/>
                <w:bCs/>
                <w:kern w:val="0"/>
                <w:sz w:val="24"/>
                <w:szCs w:val="24"/>
                <w:lang w:eastAsia="en-CA"/>
              </w:rPr>
              <w:t>Paper 3</w:t>
            </w:r>
          </w:p>
        </w:tc>
        <w:tc>
          <w:tcPr>
            <w:tcW w:w="7937" w:type="dxa"/>
          </w:tcPr>
          <w:p w14:paraId="19AA4E1E" w14:textId="77777777" w:rsidR="003012E0" w:rsidRPr="00A63EC1" w:rsidRDefault="003012E0" w:rsidP="00FF1B72">
            <w:pPr>
              <w:rPr>
                <w:rFonts w:eastAsia="Calibri"/>
                <w:b/>
                <w:bCs/>
                <w:i/>
                <w:iCs/>
                <w:kern w:val="0"/>
                <w:sz w:val="24"/>
                <w:szCs w:val="24"/>
                <w:lang w:eastAsia="en-CA"/>
              </w:rPr>
            </w:pPr>
            <w:r w:rsidRPr="00A63EC1">
              <w:rPr>
                <w:rFonts w:eastAsia="Calibri"/>
                <w:b/>
                <w:bCs/>
                <w:i/>
                <w:iCs/>
                <w:kern w:val="0"/>
                <w:sz w:val="24"/>
                <w:szCs w:val="24"/>
                <w:lang w:eastAsia="en-CA"/>
              </w:rPr>
              <w:t>AI and the Assessment of Risk in Bail, Sentencing, and Recidivism</w:t>
            </w:r>
          </w:p>
        </w:tc>
      </w:tr>
      <w:tr w:rsidR="003012E0" w14:paraId="51C1B0E3" w14:textId="77777777" w:rsidTr="00FF1B72">
        <w:tc>
          <w:tcPr>
            <w:tcW w:w="1413" w:type="dxa"/>
          </w:tcPr>
          <w:p w14:paraId="155DD6A8" w14:textId="77777777" w:rsidR="003012E0" w:rsidRPr="007A29D1" w:rsidRDefault="003012E0" w:rsidP="00FF1B72">
            <w:pPr>
              <w:rPr>
                <w:rFonts w:eastAsia="Calibri"/>
                <w:bCs/>
                <w:kern w:val="0"/>
                <w:sz w:val="24"/>
                <w:szCs w:val="24"/>
                <w:lang w:eastAsia="en-CA"/>
              </w:rPr>
            </w:pPr>
          </w:p>
        </w:tc>
        <w:tc>
          <w:tcPr>
            <w:tcW w:w="7937" w:type="dxa"/>
          </w:tcPr>
          <w:p w14:paraId="4C00B236" w14:textId="77777777" w:rsidR="003012E0" w:rsidRPr="007A29D1" w:rsidRDefault="003012E0" w:rsidP="00FF1B72">
            <w:pPr>
              <w:rPr>
                <w:rFonts w:eastAsia="Calibri"/>
                <w:kern w:val="0"/>
                <w:sz w:val="24"/>
                <w:szCs w:val="24"/>
                <w:lang w:eastAsia="en-CA"/>
              </w:rPr>
            </w:pPr>
            <w:r>
              <w:t>Armando D’Andrea, Staff Lawyer, Provincial Office, Legal Aid Ontario</w:t>
            </w:r>
            <w:r>
              <w:br/>
              <w:t>Gideon Christian, Professor of Law, Faculty of Law, University of Calgary</w:t>
            </w:r>
          </w:p>
        </w:tc>
      </w:tr>
      <w:tr w:rsidR="003012E0" w14:paraId="7D1946E0" w14:textId="77777777" w:rsidTr="00FF1B72">
        <w:tc>
          <w:tcPr>
            <w:tcW w:w="1413" w:type="dxa"/>
          </w:tcPr>
          <w:p w14:paraId="0EABC431" w14:textId="77777777" w:rsidR="003012E0" w:rsidRPr="007A29D1" w:rsidRDefault="003012E0" w:rsidP="00FF1B72">
            <w:pPr>
              <w:rPr>
                <w:rFonts w:eastAsia="Calibri"/>
                <w:bCs/>
                <w:kern w:val="0"/>
                <w:sz w:val="24"/>
                <w:szCs w:val="24"/>
                <w:lang w:eastAsia="en-CA"/>
              </w:rPr>
            </w:pPr>
          </w:p>
        </w:tc>
        <w:tc>
          <w:tcPr>
            <w:tcW w:w="7937" w:type="dxa"/>
          </w:tcPr>
          <w:p w14:paraId="6E924977" w14:textId="77777777" w:rsidR="003012E0" w:rsidRPr="007A29D1" w:rsidRDefault="003012E0" w:rsidP="00FF1B72">
            <w:pPr>
              <w:rPr>
                <w:rFonts w:eastAsia="Calibri"/>
                <w:kern w:val="0"/>
                <w:sz w:val="24"/>
                <w:szCs w:val="24"/>
                <w:lang w:eastAsia="en-CA"/>
              </w:rPr>
            </w:pPr>
          </w:p>
        </w:tc>
      </w:tr>
      <w:tr w:rsidR="003012E0" w14:paraId="7704D2B7" w14:textId="77777777" w:rsidTr="00FF1B72">
        <w:tc>
          <w:tcPr>
            <w:tcW w:w="1413" w:type="dxa"/>
          </w:tcPr>
          <w:p w14:paraId="4DC0E7C0" w14:textId="77777777" w:rsidR="003012E0" w:rsidRPr="007A29D1" w:rsidRDefault="003012E0" w:rsidP="00FF1B72">
            <w:pPr>
              <w:rPr>
                <w:rFonts w:eastAsia="Calibri"/>
                <w:bCs/>
                <w:kern w:val="0"/>
                <w:sz w:val="24"/>
                <w:szCs w:val="24"/>
                <w:lang w:eastAsia="en-CA"/>
              </w:rPr>
            </w:pPr>
            <w:r>
              <w:rPr>
                <w:rFonts w:eastAsia="Calibri"/>
                <w:bCs/>
                <w:kern w:val="0"/>
                <w:sz w:val="24"/>
                <w:szCs w:val="24"/>
                <w:lang w:eastAsia="en-CA"/>
              </w:rPr>
              <w:t>Paper 4</w:t>
            </w:r>
          </w:p>
        </w:tc>
        <w:tc>
          <w:tcPr>
            <w:tcW w:w="7937" w:type="dxa"/>
          </w:tcPr>
          <w:p w14:paraId="7C878BA2" w14:textId="77777777" w:rsidR="003012E0" w:rsidRPr="00A63EC1" w:rsidRDefault="003012E0" w:rsidP="00FF1B72">
            <w:pPr>
              <w:rPr>
                <w:rFonts w:eastAsia="Calibri"/>
                <w:b/>
                <w:bCs/>
                <w:i/>
                <w:iCs/>
                <w:kern w:val="0"/>
                <w:sz w:val="24"/>
                <w:szCs w:val="24"/>
                <w:lang w:eastAsia="en-CA"/>
              </w:rPr>
            </w:pPr>
            <w:r w:rsidRPr="00A63EC1">
              <w:rPr>
                <w:rFonts w:eastAsia="Calibri"/>
                <w:b/>
                <w:bCs/>
                <w:i/>
                <w:iCs/>
                <w:kern w:val="0"/>
                <w:sz w:val="24"/>
                <w:szCs w:val="24"/>
                <w:lang w:eastAsia="en-CA"/>
              </w:rPr>
              <w:t>AI at Trial and on Appeal</w:t>
            </w:r>
          </w:p>
        </w:tc>
      </w:tr>
      <w:tr w:rsidR="003012E0" w14:paraId="76EDDC02" w14:textId="77777777" w:rsidTr="00FF1B72">
        <w:tc>
          <w:tcPr>
            <w:tcW w:w="1413" w:type="dxa"/>
          </w:tcPr>
          <w:p w14:paraId="0F14A2E8" w14:textId="77777777" w:rsidR="003012E0" w:rsidRPr="007A29D1" w:rsidRDefault="003012E0" w:rsidP="00FF1B72">
            <w:pPr>
              <w:rPr>
                <w:rFonts w:eastAsia="Calibri"/>
                <w:bCs/>
                <w:kern w:val="0"/>
                <w:sz w:val="24"/>
                <w:szCs w:val="24"/>
                <w:lang w:eastAsia="en-CA"/>
              </w:rPr>
            </w:pPr>
          </w:p>
        </w:tc>
        <w:tc>
          <w:tcPr>
            <w:tcW w:w="7937" w:type="dxa"/>
          </w:tcPr>
          <w:p w14:paraId="25BA4B77" w14:textId="77777777" w:rsidR="003012E0" w:rsidRPr="007A29D1" w:rsidRDefault="003012E0" w:rsidP="00FF1B72">
            <w:pPr>
              <w:rPr>
                <w:rFonts w:eastAsia="Calibri"/>
                <w:kern w:val="0"/>
                <w:sz w:val="24"/>
                <w:szCs w:val="24"/>
                <w:lang w:eastAsia="en-CA"/>
              </w:rPr>
            </w:pPr>
            <w:r w:rsidRPr="007A29D1">
              <w:rPr>
                <w:rFonts w:eastAsia="Calibri"/>
                <w:kern w:val="0"/>
                <w:sz w:val="24"/>
                <w:szCs w:val="24"/>
                <w:lang w:eastAsia="en-CA"/>
              </w:rPr>
              <w:t>Paula Thompson, Strategic Initiatives, Ministry of the Attorney General</w:t>
            </w:r>
            <w:r>
              <w:rPr>
                <w:rFonts w:eastAsia="Calibri"/>
                <w:kern w:val="0"/>
                <w:sz w:val="24"/>
                <w:szCs w:val="24"/>
                <w:lang w:eastAsia="en-CA"/>
              </w:rPr>
              <w:br/>
            </w:r>
            <w:r>
              <w:t>Eric Neubauer, Defense Counsel, Neubauer Law, and Co-Chair, Criminal Lawyers Association Technology Committee</w:t>
            </w:r>
          </w:p>
        </w:tc>
      </w:tr>
      <w:tr w:rsidR="003012E0" w14:paraId="00D250F6" w14:textId="77777777" w:rsidTr="00FF1B72">
        <w:tc>
          <w:tcPr>
            <w:tcW w:w="1413" w:type="dxa"/>
          </w:tcPr>
          <w:p w14:paraId="1E1E3961" w14:textId="77777777" w:rsidR="003012E0" w:rsidRPr="007A29D1" w:rsidRDefault="003012E0" w:rsidP="00FF1B72">
            <w:pPr>
              <w:rPr>
                <w:rFonts w:eastAsia="Calibri"/>
                <w:bCs/>
                <w:kern w:val="0"/>
                <w:sz w:val="24"/>
                <w:szCs w:val="24"/>
                <w:lang w:eastAsia="en-CA"/>
              </w:rPr>
            </w:pPr>
          </w:p>
        </w:tc>
        <w:tc>
          <w:tcPr>
            <w:tcW w:w="7937" w:type="dxa"/>
          </w:tcPr>
          <w:p w14:paraId="088C136F" w14:textId="77777777" w:rsidR="003012E0" w:rsidRPr="007A29D1" w:rsidRDefault="003012E0" w:rsidP="00FF1B72">
            <w:pPr>
              <w:rPr>
                <w:rFonts w:eastAsia="Calibri"/>
                <w:kern w:val="0"/>
                <w:sz w:val="24"/>
                <w:szCs w:val="24"/>
                <w:lang w:eastAsia="en-CA"/>
              </w:rPr>
            </w:pPr>
          </w:p>
        </w:tc>
      </w:tr>
      <w:tr w:rsidR="003012E0" w14:paraId="49EFE5A6" w14:textId="77777777" w:rsidTr="00FF1B72">
        <w:tc>
          <w:tcPr>
            <w:tcW w:w="1413" w:type="dxa"/>
          </w:tcPr>
          <w:p w14:paraId="1F78935C" w14:textId="77777777" w:rsidR="003012E0" w:rsidRPr="007A29D1" w:rsidRDefault="003012E0" w:rsidP="00FF1B72">
            <w:pPr>
              <w:rPr>
                <w:rFonts w:eastAsia="Calibri"/>
                <w:bCs/>
                <w:kern w:val="0"/>
                <w:sz w:val="24"/>
                <w:szCs w:val="24"/>
                <w:lang w:eastAsia="en-CA"/>
              </w:rPr>
            </w:pPr>
            <w:r>
              <w:rPr>
                <w:rFonts w:eastAsia="Calibri"/>
                <w:bCs/>
                <w:kern w:val="0"/>
                <w:sz w:val="24"/>
                <w:szCs w:val="24"/>
                <w:lang w:eastAsia="en-CA"/>
              </w:rPr>
              <w:t>Paper 5</w:t>
            </w:r>
          </w:p>
        </w:tc>
        <w:tc>
          <w:tcPr>
            <w:tcW w:w="7937" w:type="dxa"/>
          </w:tcPr>
          <w:p w14:paraId="6FB9E76B" w14:textId="77777777" w:rsidR="003012E0" w:rsidRPr="00A63EC1" w:rsidRDefault="003012E0" w:rsidP="00FF1B72">
            <w:pPr>
              <w:rPr>
                <w:rFonts w:eastAsia="Calibri"/>
                <w:b/>
                <w:bCs/>
                <w:i/>
                <w:iCs/>
                <w:kern w:val="0"/>
                <w:sz w:val="24"/>
                <w:szCs w:val="24"/>
                <w:lang w:eastAsia="en-CA"/>
              </w:rPr>
            </w:pPr>
            <w:r w:rsidRPr="00A63EC1">
              <w:rPr>
                <w:rFonts w:eastAsia="Calibri"/>
                <w:b/>
                <w:bCs/>
                <w:i/>
                <w:iCs/>
                <w:kern w:val="0"/>
                <w:sz w:val="24"/>
                <w:szCs w:val="24"/>
                <w:lang w:eastAsia="en-CA"/>
              </w:rPr>
              <w:t>AI and Systemic Oversight Mechanisms in Criminal Justice</w:t>
            </w:r>
          </w:p>
        </w:tc>
      </w:tr>
      <w:tr w:rsidR="003012E0" w14:paraId="1EB61C94" w14:textId="77777777" w:rsidTr="00FF1B72">
        <w:tc>
          <w:tcPr>
            <w:tcW w:w="1413" w:type="dxa"/>
          </w:tcPr>
          <w:p w14:paraId="1349F76F" w14:textId="77777777" w:rsidR="003012E0" w:rsidRPr="007A29D1" w:rsidRDefault="003012E0" w:rsidP="00FF1B72">
            <w:pPr>
              <w:rPr>
                <w:rFonts w:eastAsia="Calibri"/>
                <w:bCs/>
                <w:kern w:val="0"/>
                <w:sz w:val="24"/>
                <w:szCs w:val="24"/>
                <w:lang w:eastAsia="en-CA"/>
              </w:rPr>
            </w:pPr>
          </w:p>
        </w:tc>
        <w:tc>
          <w:tcPr>
            <w:tcW w:w="7937" w:type="dxa"/>
          </w:tcPr>
          <w:p w14:paraId="17A626E8" w14:textId="77777777" w:rsidR="003012E0" w:rsidRDefault="003012E0" w:rsidP="00FF1B72">
            <w:pPr>
              <w:rPr>
                <w:rFonts w:eastAsia="Calibri"/>
                <w:kern w:val="0"/>
                <w:sz w:val="24"/>
                <w:szCs w:val="24"/>
                <w:lang w:eastAsia="en-CA"/>
              </w:rPr>
            </w:pPr>
            <w:r w:rsidRPr="007A29D1">
              <w:rPr>
                <w:rFonts w:eastAsia="Calibri"/>
                <w:kern w:val="0"/>
                <w:sz w:val="24"/>
                <w:szCs w:val="24"/>
                <w:lang w:eastAsia="en-CA"/>
              </w:rPr>
              <w:t>Brenda McPhail, Senior Technology &amp; Policy Advisor, Information and Privacy Commissioner of Ontario</w:t>
            </w:r>
            <w:r>
              <w:rPr>
                <w:rFonts w:eastAsia="Calibri"/>
                <w:kern w:val="0"/>
                <w:sz w:val="24"/>
                <w:szCs w:val="24"/>
                <w:lang w:eastAsia="en-CA"/>
              </w:rPr>
              <w:br/>
            </w:r>
            <w:r w:rsidRPr="007A29D1">
              <w:rPr>
                <w:rFonts w:eastAsia="Calibri"/>
                <w:kern w:val="0"/>
                <w:sz w:val="24"/>
                <w:szCs w:val="24"/>
                <w:lang w:eastAsia="en-CA"/>
              </w:rPr>
              <w:t>Marcus Pratt, Senior Advisor, Policy Department, Legal Aid Ontario, and Chair of the LAO Test Case Committee</w:t>
            </w:r>
          </w:p>
          <w:p w14:paraId="5C2F53FE" w14:textId="0BB7FCF9" w:rsidR="003012E0" w:rsidRPr="007A29D1" w:rsidRDefault="003012E0" w:rsidP="00FF1B72">
            <w:pPr>
              <w:rPr>
                <w:rFonts w:eastAsia="Calibri"/>
                <w:kern w:val="0"/>
                <w:sz w:val="24"/>
                <w:szCs w:val="24"/>
                <w:lang w:eastAsia="en-CA"/>
              </w:rPr>
            </w:pPr>
            <w:r w:rsidRPr="007A29D1">
              <w:rPr>
                <w:rFonts w:eastAsia="Calibri"/>
                <w:kern w:val="0"/>
                <w:sz w:val="24"/>
                <w:szCs w:val="24"/>
                <w:lang w:eastAsia="en-CA"/>
              </w:rPr>
              <w:t>Jagtaran Singh, Legal Counsel</w:t>
            </w:r>
            <w:r w:rsidR="002926D3">
              <w:rPr>
                <w:rFonts w:eastAsia="Calibri"/>
                <w:kern w:val="0"/>
                <w:sz w:val="24"/>
                <w:szCs w:val="24"/>
                <w:lang w:eastAsia="en-CA"/>
              </w:rPr>
              <w:t xml:space="preserve">, </w:t>
            </w:r>
            <w:r w:rsidRPr="007A29D1">
              <w:rPr>
                <w:rFonts w:eastAsia="Calibri"/>
                <w:kern w:val="0"/>
                <w:sz w:val="24"/>
                <w:szCs w:val="24"/>
                <w:lang w:eastAsia="en-CA"/>
              </w:rPr>
              <w:t>Ontario Human Rights Commission</w:t>
            </w:r>
          </w:p>
        </w:tc>
      </w:tr>
      <w:tr w:rsidR="003012E0" w14:paraId="1C9D2831" w14:textId="77777777" w:rsidTr="00FF1B72">
        <w:tc>
          <w:tcPr>
            <w:tcW w:w="1413" w:type="dxa"/>
          </w:tcPr>
          <w:p w14:paraId="4B73236B" w14:textId="77777777" w:rsidR="003012E0" w:rsidRPr="007A29D1" w:rsidRDefault="003012E0" w:rsidP="00FF1B72">
            <w:pPr>
              <w:rPr>
                <w:rFonts w:eastAsia="Calibri"/>
                <w:bCs/>
                <w:kern w:val="0"/>
                <w:sz w:val="24"/>
                <w:szCs w:val="24"/>
                <w:lang w:eastAsia="en-CA"/>
              </w:rPr>
            </w:pPr>
          </w:p>
        </w:tc>
        <w:tc>
          <w:tcPr>
            <w:tcW w:w="7937" w:type="dxa"/>
          </w:tcPr>
          <w:p w14:paraId="1B22AEEB" w14:textId="77777777" w:rsidR="003012E0" w:rsidRPr="007A29D1" w:rsidRDefault="003012E0" w:rsidP="00FF1B72">
            <w:pPr>
              <w:rPr>
                <w:rFonts w:eastAsia="Calibri"/>
                <w:kern w:val="0"/>
                <w:sz w:val="24"/>
                <w:szCs w:val="24"/>
                <w:lang w:eastAsia="en-CA"/>
              </w:rPr>
            </w:pPr>
          </w:p>
        </w:tc>
      </w:tr>
      <w:tr w:rsidR="003012E0" w14:paraId="28FA1BB6" w14:textId="77777777" w:rsidTr="00FF1B72">
        <w:tc>
          <w:tcPr>
            <w:tcW w:w="1413" w:type="dxa"/>
          </w:tcPr>
          <w:p w14:paraId="541BA9D4" w14:textId="77777777" w:rsidR="003012E0" w:rsidRPr="007A29D1" w:rsidRDefault="003012E0" w:rsidP="00FF1B72">
            <w:pPr>
              <w:rPr>
                <w:rFonts w:eastAsia="Calibri"/>
                <w:bCs/>
                <w:kern w:val="0"/>
                <w:sz w:val="24"/>
                <w:szCs w:val="24"/>
                <w:lang w:eastAsia="en-CA"/>
              </w:rPr>
            </w:pPr>
            <w:r>
              <w:rPr>
                <w:rFonts w:eastAsia="Calibri"/>
                <w:bCs/>
                <w:kern w:val="0"/>
                <w:sz w:val="24"/>
                <w:szCs w:val="24"/>
                <w:lang w:eastAsia="en-CA"/>
              </w:rPr>
              <w:t>Annex A</w:t>
            </w:r>
          </w:p>
        </w:tc>
        <w:tc>
          <w:tcPr>
            <w:tcW w:w="7937" w:type="dxa"/>
          </w:tcPr>
          <w:p w14:paraId="444F158A" w14:textId="6D598357" w:rsidR="003012E0" w:rsidRPr="00A63EC1" w:rsidRDefault="00E01FFF" w:rsidP="00FF1B72">
            <w:pPr>
              <w:rPr>
                <w:rFonts w:eastAsia="Calibri"/>
                <w:b/>
                <w:bCs/>
                <w:i/>
                <w:iCs/>
                <w:kern w:val="0"/>
                <w:sz w:val="24"/>
                <w:szCs w:val="24"/>
                <w:lang w:eastAsia="en-CA"/>
              </w:rPr>
            </w:pPr>
            <w:r w:rsidRPr="00A63EC1">
              <w:rPr>
                <w:rFonts w:eastAsia="Calibri"/>
                <w:b/>
                <w:bCs/>
                <w:i/>
                <w:iCs/>
                <w:kern w:val="0"/>
                <w:sz w:val="24"/>
                <w:szCs w:val="24"/>
                <w:lang w:eastAsia="en-CA"/>
              </w:rPr>
              <w:t xml:space="preserve">Executive Summary and </w:t>
            </w:r>
            <w:r w:rsidR="003012E0" w:rsidRPr="00A63EC1">
              <w:rPr>
                <w:rFonts w:eastAsia="Calibri"/>
                <w:b/>
                <w:bCs/>
                <w:i/>
                <w:iCs/>
                <w:kern w:val="0"/>
                <w:sz w:val="24"/>
                <w:szCs w:val="24"/>
                <w:lang w:eastAsia="en-CA"/>
              </w:rPr>
              <w:t>Consultation Questions</w:t>
            </w:r>
          </w:p>
        </w:tc>
      </w:tr>
      <w:tr w:rsidR="003012E0" w14:paraId="3C8A1C93" w14:textId="77777777" w:rsidTr="00FF1B72">
        <w:tc>
          <w:tcPr>
            <w:tcW w:w="1413" w:type="dxa"/>
          </w:tcPr>
          <w:p w14:paraId="019CC38C" w14:textId="7CC30F85" w:rsidR="005E0126" w:rsidRDefault="00D17576" w:rsidP="00FF1B72">
            <w:pPr>
              <w:rPr>
                <w:rFonts w:eastAsia="Calibri"/>
                <w:bCs/>
                <w:kern w:val="0"/>
                <w:sz w:val="24"/>
                <w:szCs w:val="24"/>
                <w:lang w:eastAsia="en-CA"/>
              </w:rPr>
            </w:pPr>
            <w:r>
              <w:rPr>
                <w:rFonts w:eastAsia="Calibri"/>
                <w:bCs/>
                <w:kern w:val="0"/>
                <w:sz w:val="24"/>
                <w:szCs w:val="24"/>
                <w:lang w:eastAsia="en-CA"/>
              </w:rPr>
              <w:br/>
              <w:t>Annex B</w:t>
            </w:r>
          </w:p>
          <w:p w14:paraId="1E05E106" w14:textId="35EDBEF2" w:rsidR="003012E0" w:rsidRPr="007A29D1" w:rsidRDefault="003012E0" w:rsidP="00FF1B72">
            <w:pPr>
              <w:rPr>
                <w:rFonts w:eastAsia="Calibri"/>
                <w:bCs/>
                <w:kern w:val="0"/>
                <w:sz w:val="24"/>
                <w:szCs w:val="24"/>
                <w:lang w:eastAsia="en-CA"/>
              </w:rPr>
            </w:pPr>
          </w:p>
        </w:tc>
        <w:tc>
          <w:tcPr>
            <w:tcW w:w="7937" w:type="dxa"/>
          </w:tcPr>
          <w:p w14:paraId="629656BB" w14:textId="623757B4" w:rsidR="003012E0" w:rsidRPr="00A63EC1" w:rsidRDefault="00D17576" w:rsidP="00FF1B72">
            <w:pPr>
              <w:rPr>
                <w:rFonts w:eastAsia="Calibri"/>
                <w:b/>
                <w:bCs/>
                <w:i/>
                <w:iCs/>
                <w:kern w:val="0"/>
                <w:sz w:val="24"/>
                <w:szCs w:val="24"/>
                <w:lang w:eastAsia="en-CA"/>
              </w:rPr>
            </w:pPr>
            <w:r>
              <w:rPr>
                <w:rFonts w:eastAsia="Calibri"/>
                <w:b/>
                <w:bCs/>
                <w:i/>
                <w:iCs/>
                <w:kern w:val="0"/>
                <w:sz w:val="24"/>
                <w:szCs w:val="24"/>
                <w:lang w:eastAsia="en-CA"/>
              </w:rPr>
              <w:br/>
            </w:r>
            <w:r w:rsidR="00E01FFF" w:rsidRPr="00A63EC1">
              <w:rPr>
                <w:rFonts w:eastAsia="Calibri"/>
                <w:b/>
                <w:bCs/>
                <w:i/>
                <w:iCs/>
                <w:kern w:val="0"/>
                <w:sz w:val="24"/>
                <w:szCs w:val="24"/>
                <w:lang w:eastAsia="en-CA"/>
              </w:rPr>
              <w:t>Project Case Studies</w:t>
            </w:r>
          </w:p>
        </w:tc>
      </w:tr>
    </w:tbl>
    <w:p w14:paraId="3381A6C0" w14:textId="77777777" w:rsidR="003012E0" w:rsidRPr="006B091D" w:rsidRDefault="003012E0" w:rsidP="003012E0">
      <w:pPr>
        <w:rPr>
          <w:rFonts w:ascii="Calibri" w:eastAsia="Calibri" w:hAnsi="Calibri" w:cs="Calibri"/>
          <w:lang w:eastAsia="en-CA"/>
        </w:rPr>
      </w:pPr>
      <w:r w:rsidRPr="006B091D">
        <w:rPr>
          <w:rFonts w:ascii="Calibri" w:eastAsia="Calibri" w:hAnsi="Calibri" w:cs="Calibri"/>
          <w:lang w:eastAsia="en-CA"/>
        </w:rPr>
        <w:t xml:space="preserve">Project materials are available online: </w:t>
      </w:r>
      <w:hyperlink r:id="rId24" w:history="1">
        <w:r w:rsidRPr="006B091D">
          <w:rPr>
            <w:rFonts w:ascii="Calibri" w:eastAsia="Calibri" w:hAnsi="Calibri" w:cs="Calibri"/>
            <w:color w:val="0563C1"/>
            <w:u w:val="single"/>
            <w:lang w:eastAsia="en-CA"/>
          </w:rPr>
          <w:t>https://www.lco-cdo.org/CrimAI</w:t>
        </w:r>
      </w:hyperlink>
      <w:r>
        <w:t>.</w:t>
      </w:r>
    </w:p>
    <w:p w14:paraId="7239114B" w14:textId="77777777" w:rsidR="005E0126" w:rsidRDefault="005E0126" w:rsidP="005E0126">
      <w:pPr>
        <w:spacing w:after="0"/>
        <w:rPr>
          <w:rFonts w:ascii="Calibri" w:eastAsia="Calibri" w:hAnsi="Calibri" w:cs="Calibri"/>
          <w:b/>
          <w:lang w:eastAsia="en-CA"/>
        </w:rPr>
      </w:pPr>
    </w:p>
    <w:p w14:paraId="6D23E7B1" w14:textId="76067EBD" w:rsidR="003E2307" w:rsidRPr="006B091D" w:rsidRDefault="003E2307" w:rsidP="005E0126">
      <w:pPr>
        <w:spacing w:after="0"/>
        <w:rPr>
          <w:rFonts w:ascii="Calibri" w:eastAsia="Calibri" w:hAnsi="Calibri" w:cs="Calibri"/>
          <w:b/>
          <w:lang w:eastAsia="en-CA"/>
        </w:rPr>
      </w:pPr>
      <w:r w:rsidRPr="006B091D">
        <w:rPr>
          <w:rFonts w:ascii="Calibri" w:eastAsia="Calibri" w:hAnsi="Calibri" w:cs="Calibri"/>
          <w:b/>
          <w:lang w:eastAsia="en-CA"/>
        </w:rPr>
        <w:t>SERIES EDITORS</w:t>
      </w:r>
    </w:p>
    <w:p w14:paraId="3AC4D059" w14:textId="77777777" w:rsidR="005E0126" w:rsidRDefault="005E0126" w:rsidP="005E0126">
      <w:pPr>
        <w:spacing w:after="0"/>
        <w:rPr>
          <w:rFonts w:ascii="Calibri" w:eastAsia="Calibri" w:hAnsi="Calibri" w:cs="Calibri"/>
          <w:lang w:eastAsia="en-CA"/>
        </w:rPr>
      </w:pPr>
    </w:p>
    <w:p w14:paraId="75E8A206" w14:textId="77777777" w:rsidR="005E0126" w:rsidRDefault="003E2307" w:rsidP="005E0126">
      <w:pPr>
        <w:spacing w:after="0"/>
        <w:rPr>
          <w:rFonts w:ascii="Calibri" w:eastAsia="Calibri" w:hAnsi="Calibri" w:cs="Calibri"/>
          <w:b/>
          <w:lang w:eastAsia="en-CA"/>
        </w:rPr>
      </w:pPr>
      <w:r w:rsidRPr="006B091D">
        <w:rPr>
          <w:rFonts w:ascii="Calibri" w:eastAsia="Calibri" w:hAnsi="Calibri" w:cs="Calibri"/>
          <w:lang w:eastAsia="en-CA"/>
        </w:rPr>
        <w:t>Nye Thomas, Executive Director, LCO</w:t>
      </w:r>
      <w:r w:rsidRPr="006B091D">
        <w:rPr>
          <w:rFonts w:ascii="Calibri" w:eastAsia="Calibri" w:hAnsi="Calibri" w:cs="Calibri"/>
          <w:lang w:eastAsia="en-CA"/>
        </w:rPr>
        <w:br/>
        <w:t>Ryan Fritsch, Counsel, LCO</w:t>
      </w:r>
      <w:r>
        <w:rPr>
          <w:rFonts w:ascii="Calibri" w:eastAsia="Calibri" w:hAnsi="Calibri" w:cs="Calibri"/>
          <w:lang w:eastAsia="en-CA"/>
        </w:rPr>
        <w:br/>
      </w:r>
    </w:p>
    <w:p w14:paraId="09DA2099" w14:textId="77777777" w:rsidR="005E0126" w:rsidRDefault="005E0126" w:rsidP="005E0126">
      <w:pPr>
        <w:spacing w:after="0"/>
        <w:rPr>
          <w:rFonts w:ascii="Calibri" w:eastAsia="Calibri" w:hAnsi="Calibri" w:cs="Calibri"/>
          <w:b/>
          <w:lang w:eastAsia="en-CA"/>
        </w:rPr>
      </w:pPr>
    </w:p>
    <w:p w14:paraId="279D5DE5" w14:textId="12596090" w:rsidR="003012E0" w:rsidRPr="006B091D" w:rsidRDefault="003012E0" w:rsidP="005E0126">
      <w:pPr>
        <w:spacing w:after="0"/>
        <w:rPr>
          <w:rFonts w:ascii="Calibri" w:eastAsia="Calibri" w:hAnsi="Calibri" w:cs="Calibri"/>
          <w:b/>
          <w:lang w:eastAsia="en-CA"/>
        </w:rPr>
      </w:pPr>
      <w:r w:rsidRPr="006B091D">
        <w:rPr>
          <w:rFonts w:ascii="Calibri" w:eastAsia="Calibri" w:hAnsi="Calibri" w:cs="Calibri"/>
          <w:b/>
          <w:lang w:eastAsia="en-CA"/>
        </w:rPr>
        <w:t>STUDENT RESEARCHERS</w:t>
      </w:r>
    </w:p>
    <w:tbl>
      <w:tblPr>
        <w:tblW w:w="942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3186"/>
        <w:gridCol w:w="3117"/>
        <w:gridCol w:w="3117"/>
      </w:tblGrid>
      <w:tr w:rsidR="003012E0" w:rsidRPr="006B091D" w14:paraId="5789B115" w14:textId="77777777" w:rsidTr="00FF1B72">
        <w:tc>
          <w:tcPr>
            <w:tcW w:w="3186" w:type="dxa"/>
          </w:tcPr>
          <w:p w14:paraId="68CC36F8" w14:textId="77777777" w:rsidR="005E0126" w:rsidRDefault="005E0126" w:rsidP="005E0126">
            <w:pPr>
              <w:spacing w:after="0"/>
              <w:rPr>
                <w:rFonts w:ascii="Calibri" w:eastAsia="Calibri" w:hAnsi="Calibri" w:cs="Calibri"/>
                <w:lang w:eastAsia="en-CA"/>
              </w:rPr>
            </w:pPr>
          </w:p>
          <w:p w14:paraId="5B27D6F5" w14:textId="10214E79" w:rsidR="003012E0" w:rsidRPr="006B091D" w:rsidRDefault="003012E0" w:rsidP="005E0126">
            <w:pPr>
              <w:spacing w:after="0"/>
              <w:rPr>
                <w:rFonts w:ascii="Calibri" w:eastAsia="Calibri" w:hAnsi="Calibri" w:cs="Calibri"/>
                <w:lang w:eastAsia="en-CA"/>
              </w:rPr>
            </w:pPr>
            <w:r w:rsidRPr="006B091D">
              <w:rPr>
                <w:rFonts w:ascii="Calibri" w:eastAsia="Calibri" w:hAnsi="Calibri" w:cs="Calibri"/>
                <w:lang w:eastAsia="en-CA"/>
              </w:rPr>
              <w:t xml:space="preserve">Thurka Brabaharan </w:t>
            </w:r>
          </w:p>
        </w:tc>
        <w:tc>
          <w:tcPr>
            <w:tcW w:w="3117" w:type="dxa"/>
          </w:tcPr>
          <w:p w14:paraId="43604D30" w14:textId="77777777" w:rsidR="005E0126" w:rsidRDefault="005E0126" w:rsidP="005E0126">
            <w:pPr>
              <w:spacing w:after="0"/>
              <w:rPr>
                <w:rFonts w:ascii="Calibri" w:eastAsia="Calibri" w:hAnsi="Calibri" w:cs="Calibri"/>
                <w:lang w:eastAsia="en-CA"/>
              </w:rPr>
            </w:pPr>
          </w:p>
          <w:p w14:paraId="226E5AC2" w14:textId="7D65BF14" w:rsidR="003012E0" w:rsidRPr="006B091D" w:rsidRDefault="003012E0" w:rsidP="005E0126">
            <w:pPr>
              <w:spacing w:after="0"/>
              <w:rPr>
                <w:rFonts w:ascii="Calibri" w:eastAsia="Calibri" w:hAnsi="Calibri" w:cs="Calibri"/>
                <w:highlight w:val="yellow"/>
                <w:lang w:eastAsia="en-CA"/>
              </w:rPr>
            </w:pPr>
            <w:r w:rsidRPr="006B091D">
              <w:rPr>
                <w:rFonts w:ascii="Calibri" w:eastAsia="Calibri" w:hAnsi="Calibri" w:cs="Calibri"/>
                <w:lang w:eastAsia="en-CA"/>
              </w:rPr>
              <w:t>Shahmurad Lodhi</w:t>
            </w:r>
          </w:p>
        </w:tc>
        <w:tc>
          <w:tcPr>
            <w:tcW w:w="3117" w:type="dxa"/>
          </w:tcPr>
          <w:p w14:paraId="5EA1DC03" w14:textId="77777777" w:rsidR="005E0126" w:rsidRDefault="005E0126" w:rsidP="005E0126">
            <w:pPr>
              <w:spacing w:after="0"/>
              <w:rPr>
                <w:rFonts w:ascii="Calibri" w:eastAsia="Calibri" w:hAnsi="Calibri" w:cs="Calibri"/>
                <w:lang w:eastAsia="en-CA"/>
              </w:rPr>
            </w:pPr>
          </w:p>
          <w:p w14:paraId="7E9C9193" w14:textId="607E0C11" w:rsidR="003012E0" w:rsidRPr="006B091D" w:rsidRDefault="003012E0" w:rsidP="005E0126">
            <w:pPr>
              <w:spacing w:after="0"/>
              <w:rPr>
                <w:rFonts w:ascii="Calibri" w:eastAsia="Calibri" w:hAnsi="Calibri" w:cs="Calibri"/>
                <w:lang w:eastAsia="en-CA"/>
              </w:rPr>
            </w:pPr>
            <w:r w:rsidRPr="006B091D">
              <w:rPr>
                <w:rFonts w:ascii="Calibri" w:eastAsia="Calibri" w:hAnsi="Calibri" w:cs="Calibri"/>
                <w:lang w:eastAsia="en-CA"/>
              </w:rPr>
              <w:t>John Nyman</w:t>
            </w:r>
          </w:p>
        </w:tc>
      </w:tr>
      <w:tr w:rsidR="003012E0" w:rsidRPr="006B091D" w14:paraId="5A0DB3E6" w14:textId="77777777" w:rsidTr="00FF1B72">
        <w:tc>
          <w:tcPr>
            <w:tcW w:w="3186" w:type="dxa"/>
          </w:tcPr>
          <w:p w14:paraId="585B560F" w14:textId="77777777" w:rsidR="003012E0" w:rsidRPr="006B091D" w:rsidRDefault="003012E0" w:rsidP="005E0126">
            <w:pPr>
              <w:spacing w:after="0"/>
              <w:rPr>
                <w:rFonts w:ascii="Calibri" w:eastAsia="Calibri" w:hAnsi="Calibri" w:cs="Calibri"/>
                <w:lang w:eastAsia="en-CA"/>
              </w:rPr>
            </w:pPr>
            <w:r w:rsidRPr="006B091D">
              <w:rPr>
                <w:rFonts w:ascii="Calibri" w:eastAsia="Calibri" w:hAnsi="Calibri" w:cs="Calibri"/>
                <w:lang w:eastAsia="en-CA"/>
              </w:rPr>
              <w:t>Dixon Emanuel</w:t>
            </w:r>
          </w:p>
          <w:p w14:paraId="430158B6" w14:textId="77777777" w:rsidR="003012E0" w:rsidRPr="006B091D" w:rsidRDefault="003012E0" w:rsidP="005E0126">
            <w:pPr>
              <w:spacing w:after="0"/>
              <w:rPr>
                <w:rFonts w:ascii="Calibri" w:eastAsia="Calibri" w:hAnsi="Calibri" w:cs="Calibri"/>
                <w:lang w:eastAsia="en-CA"/>
              </w:rPr>
            </w:pPr>
            <w:r w:rsidRPr="006B091D">
              <w:rPr>
                <w:rFonts w:ascii="Calibri" w:eastAsia="Calibri" w:hAnsi="Calibri" w:cs="Calibri"/>
                <w:lang w:eastAsia="en-CA"/>
              </w:rPr>
              <w:t xml:space="preserve">Nouran Hamzeh </w:t>
            </w:r>
          </w:p>
        </w:tc>
        <w:tc>
          <w:tcPr>
            <w:tcW w:w="3117" w:type="dxa"/>
          </w:tcPr>
          <w:p w14:paraId="25B52119" w14:textId="77777777" w:rsidR="003012E0" w:rsidRPr="006B091D" w:rsidRDefault="003012E0" w:rsidP="005E0126">
            <w:pPr>
              <w:spacing w:after="0"/>
              <w:rPr>
                <w:rFonts w:ascii="Calibri" w:eastAsia="Calibri" w:hAnsi="Calibri" w:cs="Calibri"/>
                <w:highlight w:val="yellow"/>
                <w:lang w:eastAsia="en-CA"/>
              </w:rPr>
            </w:pPr>
            <w:r w:rsidRPr="006B091D">
              <w:rPr>
                <w:rFonts w:ascii="Calibri" w:eastAsia="Calibri" w:hAnsi="Calibri" w:cs="Calibri"/>
                <w:lang w:eastAsia="en-CA"/>
              </w:rPr>
              <w:t>Masha Michouris</w:t>
            </w:r>
          </w:p>
        </w:tc>
        <w:tc>
          <w:tcPr>
            <w:tcW w:w="3117" w:type="dxa"/>
          </w:tcPr>
          <w:p w14:paraId="30C393E6" w14:textId="77777777" w:rsidR="003012E0" w:rsidRPr="006B091D" w:rsidRDefault="003012E0" w:rsidP="005E0126">
            <w:pPr>
              <w:spacing w:after="0"/>
              <w:rPr>
                <w:rFonts w:ascii="Calibri" w:eastAsia="Calibri" w:hAnsi="Calibri" w:cs="Calibri"/>
                <w:lang w:eastAsia="en-CA"/>
              </w:rPr>
            </w:pPr>
            <w:r w:rsidRPr="006B091D">
              <w:rPr>
                <w:rFonts w:ascii="Calibri" w:eastAsia="Calibri" w:hAnsi="Calibri" w:cs="Calibri"/>
                <w:lang w:eastAsia="en-CA"/>
              </w:rPr>
              <w:t>Ani Semanjaku</w:t>
            </w:r>
          </w:p>
        </w:tc>
      </w:tr>
    </w:tbl>
    <w:p w14:paraId="5ABB541F" w14:textId="77777777" w:rsidR="003012E0" w:rsidRPr="006B091D" w:rsidRDefault="003012E0" w:rsidP="003012E0">
      <w:pPr>
        <w:rPr>
          <w:rFonts w:ascii="Calibri" w:eastAsia="Calibri" w:hAnsi="Calibri" w:cs="Calibri"/>
          <w:b/>
          <w:bCs/>
          <w:lang w:eastAsia="en-CA"/>
        </w:rPr>
      </w:pPr>
    </w:p>
    <w:p w14:paraId="2D7C8495" w14:textId="77777777" w:rsidR="005E0126" w:rsidRDefault="005E0126" w:rsidP="003012E0">
      <w:pPr>
        <w:rPr>
          <w:rFonts w:ascii="Calibri" w:eastAsia="Calibri" w:hAnsi="Calibri" w:cs="Calibri"/>
          <w:b/>
          <w:bCs/>
          <w:lang w:eastAsia="en-CA"/>
        </w:rPr>
      </w:pPr>
    </w:p>
    <w:p w14:paraId="5F9713BC" w14:textId="73B58ADC" w:rsidR="003012E0" w:rsidRPr="006B091D" w:rsidRDefault="003012E0" w:rsidP="003012E0">
      <w:pPr>
        <w:rPr>
          <w:rFonts w:ascii="Calibri" w:eastAsia="Calibri" w:hAnsi="Calibri" w:cs="Calibri"/>
          <w:b/>
          <w:bCs/>
          <w:lang w:eastAsia="en-CA"/>
        </w:rPr>
      </w:pPr>
      <w:r w:rsidRPr="006B091D">
        <w:rPr>
          <w:rFonts w:ascii="Calibri" w:eastAsia="Calibri" w:hAnsi="Calibri" w:cs="Calibri"/>
          <w:b/>
          <w:bCs/>
          <w:lang w:eastAsia="en-CA"/>
        </w:rPr>
        <w:t>EXTERNAL ADVISORY COMMITTEE</w:t>
      </w:r>
    </w:p>
    <w:tbl>
      <w:tblPr>
        <w:tblStyle w:val="TableGrid13"/>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301EA7" w:rsidRPr="00301EA7" w14:paraId="274F7626" w14:textId="77777777" w:rsidTr="00176FCF">
        <w:tc>
          <w:tcPr>
            <w:tcW w:w="4932" w:type="dxa"/>
          </w:tcPr>
          <w:p w14:paraId="22AE38BB" w14:textId="77777777" w:rsidR="00301EA7" w:rsidRPr="00301EA7" w:rsidRDefault="00301EA7" w:rsidP="00301EA7">
            <w:pPr>
              <w:rPr>
                <w:rFonts w:cs="Calibri"/>
                <w:sz w:val="24"/>
                <w:szCs w:val="24"/>
              </w:rPr>
            </w:pPr>
            <w:r w:rsidRPr="00301EA7">
              <w:rPr>
                <w:rFonts w:cs="Calibri"/>
                <w:sz w:val="24"/>
                <w:szCs w:val="24"/>
              </w:rPr>
              <w:t>Alpha Chan, Chief Information Security Officer,</w:t>
            </w:r>
            <w:r w:rsidRPr="00301EA7">
              <w:rPr>
                <w:rFonts w:cs="Calibri"/>
                <w:sz w:val="24"/>
                <w:szCs w:val="24"/>
              </w:rPr>
              <w:br/>
              <w:t>Toronto Police Services</w:t>
            </w:r>
          </w:p>
          <w:p w14:paraId="10C325CB" w14:textId="77777777" w:rsidR="00301EA7" w:rsidRPr="00301EA7" w:rsidRDefault="00301EA7" w:rsidP="00301EA7">
            <w:pPr>
              <w:rPr>
                <w:rFonts w:cs="Calibri"/>
                <w:sz w:val="24"/>
                <w:szCs w:val="24"/>
              </w:rPr>
            </w:pPr>
          </w:p>
          <w:p w14:paraId="298D97A4" w14:textId="77777777" w:rsidR="00301EA7" w:rsidRPr="00301EA7" w:rsidRDefault="00301EA7" w:rsidP="00301EA7">
            <w:pPr>
              <w:rPr>
                <w:rFonts w:cs="Calibri"/>
                <w:sz w:val="24"/>
                <w:szCs w:val="24"/>
              </w:rPr>
            </w:pPr>
            <w:r w:rsidRPr="00301EA7">
              <w:rPr>
                <w:rFonts w:cs="Calibri"/>
                <w:sz w:val="24"/>
                <w:szCs w:val="24"/>
              </w:rPr>
              <w:t xml:space="preserve">Marco Galluzzo, Office of the Chief Justice, Ontario Superior Court of Justice </w:t>
            </w:r>
          </w:p>
          <w:p w14:paraId="37FF3F94" w14:textId="77777777" w:rsidR="00301EA7" w:rsidRPr="00301EA7" w:rsidRDefault="00301EA7" w:rsidP="00301EA7">
            <w:pPr>
              <w:rPr>
                <w:rFonts w:cs="Calibri"/>
                <w:sz w:val="24"/>
                <w:szCs w:val="24"/>
              </w:rPr>
            </w:pPr>
          </w:p>
          <w:p w14:paraId="5636D1CD" w14:textId="77777777" w:rsidR="00301EA7" w:rsidRPr="00301EA7" w:rsidRDefault="00301EA7" w:rsidP="00301EA7">
            <w:pPr>
              <w:rPr>
                <w:rFonts w:cs="Calibri"/>
                <w:sz w:val="24"/>
                <w:szCs w:val="24"/>
              </w:rPr>
            </w:pPr>
            <w:r w:rsidRPr="00301EA7">
              <w:rPr>
                <w:rFonts w:cs="Calibri"/>
                <w:sz w:val="24"/>
                <w:szCs w:val="24"/>
              </w:rPr>
              <w:t xml:space="preserve">Rosanna Giancristiano, Director, Court Operations, Ministry of the Attorney General </w:t>
            </w:r>
          </w:p>
          <w:p w14:paraId="101B98CA" w14:textId="77777777" w:rsidR="00301EA7" w:rsidRPr="00301EA7" w:rsidRDefault="00301EA7" w:rsidP="00301EA7">
            <w:pPr>
              <w:rPr>
                <w:rFonts w:cs="Calibri"/>
                <w:sz w:val="24"/>
                <w:szCs w:val="24"/>
              </w:rPr>
            </w:pPr>
          </w:p>
          <w:p w14:paraId="0DC145C4" w14:textId="77777777" w:rsidR="00301EA7" w:rsidRPr="00301EA7" w:rsidRDefault="00301EA7" w:rsidP="00301EA7">
            <w:pPr>
              <w:rPr>
                <w:rFonts w:cs="Calibri"/>
                <w:sz w:val="24"/>
                <w:szCs w:val="24"/>
              </w:rPr>
            </w:pPr>
            <w:r w:rsidRPr="00301EA7">
              <w:rPr>
                <w:rFonts w:cs="Calibri"/>
                <w:sz w:val="24"/>
                <w:szCs w:val="24"/>
              </w:rPr>
              <w:t>Rosemarie Juginovic, Office of the Chief Justice, Ontario Superior Court of Justice</w:t>
            </w:r>
          </w:p>
          <w:p w14:paraId="4A9E3583" w14:textId="77777777" w:rsidR="00301EA7" w:rsidRPr="00301EA7" w:rsidRDefault="00301EA7" w:rsidP="00301EA7">
            <w:pPr>
              <w:rPr>
                <w:rFonts w:cs="Calibri"/>
                <w:sz w:val="24"/>
                <w:szCs w:val="24"/>
              </w:rPr>
            </w:pPr>
          </w:p>
          <w:p w14:paraId="3277BD1B" w14:textId="77777777" w:rsidR="00301EA7" w:rsidRPr="00301EA7" w:rsidRDefault="00301EA7" w:rsidP="00301EA7">
            <w:pPr>
              <w:rPr>
                <w:rFonts w:cs="Calibri"/>
                <w:sz w:val="24"/>
                <w:szCs w:val="24"/>
              </w:rPr>
            </w:pPr>
            <w:r w:rsidRPr="00301EA7">
              <w:rPr>
                <w:rFonts w:cs="Calibri"/>
                <w:sz w:val="24"/>
                <w:szCs w:val="24"/>
              </w:rPr>
              <w:t xml:space="preserve">Associate Professor Daniel Konikoff, Department of Sociology, University of Alberta </w:t>
            </w:r>
          </w:p>
          <w:p w14:paraId="369E7878" w14:textId="77777777" w:rsidR="00301EA7" w:rsidRPr="00301EA7" w:rsidRDefault="00301EA7" w:rsidP="00301EA7">
            <w:pPr>
              <w:rPr>
                <w:rFonts w:cs="Calibri"/>
                <w:sz w:val="24"/>
                <w:szCs w:val="24"/>
              </w:rPr>
            </w:pPr>
          </w:p>
          <w:p w14:paraId="78806E41" w14:textId="77777777" w:rsidR="00301EA7" w:rsidRPr="00301EA7" w:rsidRDefault="00301EA7" w:rsidP="00301EA7">
            <w:pPr>
              <w:rPr>
                <w:rFonts w:cs="Calibri"/>
                <w:sz w:val="24"/>
                <w:szCs w:val="24"/>
              </w:rPr>
            </w:pPr>
            <w:r w:rsidRPr="00301EA7">
              <w:rPr>
                <w:rFonts w:cs="Calibri"/>
                <w:sz w:val="24"/>
                <w:szCs w:val="24"/>
              </w:rPr>
              <w:t>Michelina Longo, Director, External Relations, Ministry of the Solicitor General</w:t>
            </w:r>
          </w:p>
          <w:p w14:paraId="7212AB92" w14:textId="77777777" w:rsidR="00301EA7" w:rsidRPr="00301EA7" w:rsidRDefault="00301EA7" w:rsidP="00301EA7">
            <w:pPr>
              <w:rPr>
                <w:rFonts w:cs="Calibri"/>
                <w:sz w:val="24"/>
                <w:szCs w:val="24"/>
              </w:rPr>
            </w:pPr>
          </w:p>
          <w:p w14:paraId="514CF8E6" w14:textId="77777777" w:rsidR="00301EA7" w:rsidRPr="00301EA7" w:rsidRDefault="00301EA7" w:rsidP="00301EA7">
            <w:pPr>
              <w:rPr>
                <w:rFonts w:cs="Calibri"/>
                <w:sz w:val="24"/>
                <w:szCs w:val="24"/>
              </w:rPr>
            </w:pPr>
            <w:r w:rsidRPr="00301EA7">
              <w:rPr>
                <w:rFonts w:cs="Calibri"/>
                <w:sz w:val="24"/>
                <w:szCs w:val="24"/>
              </w:rPr>
              <w:t>Jessica Mahon, Policing Standards Section, Ministry of the Solicitor General</w:t>
            </w:r>
            <w:r w:rsidRPr="00301EA7">
              <w:rPr>
                <w:rFonts w:cs="Calibri"/>
                <w:sz w:val="24"/>
                <w:szCs w:val="24"/>
              </w:rPr>
              <w:br/>
            </w:r>
          </w:p>
        </w:tc>
        <w:tc>
          <w:tcPr>
            <w:tcW w:w="5098" w:type="dxa"/>
          </w:tcPr>
          <w:p w14:paraId="10F568F3" w14:textId="77777777" w:rsidR="00301EA7" w:rsidRPr="00301EA7" w:rsidRDefault="00301EA7" w:rsidP="00301EA7">
            <w:pPr>
              <w:rPr>
                <w:rFonts w:cs="Calibri"/>
                <w:sz w:val="24"/>
                <w:szCs w:val="24"/>
              </w:rPr>
            </w:pPr>
            <w:r w:rsidRPr="00301EA7">
              <w:rPr>
                <w:rFonts w:cs="Calibri"/>
                <w:sz w:val="24"/>
                <w:szCs w:val="24"/>
              </w:rPr>
              <w:t>Jane Mallen, Ministry of the Attorney General and LCO Board of Governors</w:t>
            </w:r>
          </w:p>
          <w:p w14:paraId="31C7DA24" w14:textId="77777777" w:rsidR="00301EA7" w:rsidRPr="00301EA7" w:rsidRDefault="00301EA7" w:rsidP="00301EA7">
            <w:pPr>
              <w:rPr>
                <w:rFonts w:cs="Calibri"/>
                <w:sz w:val="24"/>
                <w:szCs w:val="24"/>
              </w:rPr>
            </w:pPr>
          </w:p>
          <w:p w14:paraId="5B0862D4" w14:textId="77777777" w:rsidR="00301EA7" w:rsidRPr="00301EA7" w:rsidRDefault="00301EA7" w:rsidP="00301EA7">
            <w:pPr>
              <w:rPr>
                <w:rFonts w:cs="Calibri"/>
                <w:sz w:val="24"/>
                <w:szCs w:val="24"/>
              </w:rPr>
            </w:pPr>
            <w:r w:rsidRPr="00301EA7">
              <w:rPr>
                <w:rFonts w:cs="Calibri"/>
                <w:sz w:val="24"/>
                <w:szCs w:val="24"/>
              </w:rPr>
              <w:t>Elena Middelkamp, Crown Law Office Criminal,</w:t>
            </w:r>
            <w:r w:rsidRPr="00301EA7">
              <w:rPr>
                <w:rFonts w:cs="Calibri"/>
                <w:sz w:val="24"/>
                <w:szCs w:val="24"/>
              </w:rPr>
              <w:br/>
              <w:t>Ministry of the Attorney General</w:t>
            </w:r>
          </w:p>
          <w:p w14:paraId="6BC4515B" w14:textId="77777777" w:rsidR="00301EA7" w:rsidRPr="00301EA7" w:rsidRDefault="00301EA7" w:rsidP="00301EA7">
            <w:pPr>
              <w:rPr>
                <w:rFonts w:cs="Calibri"/>
                <w:sz w:val="24"/>
                <w:szCs w:val="24"/>
              </w:rPr>
            </w:pPr>
          </w:p>
          <w:p w14:paraId="6571F0F0" w14:textId="77777777" w:rsidR="00301EA7" w:rsidRPr="00301EA7" w:rsidRDefault="00301EA7" w:rsidP="00301EA7">
            <w:pPr>
              <w:rPr>
                <w:rFonts w:cs="Calibri"/>
                <w:sz w:val="24"/>
                <w:szCs w:val="24"/>
              </w:rPr>
            </w:pPr>
            <w:r w:rsidRPr="00301EA7">
              <w:rPr>
                <w:rFonts w:cs="Calibri"/>
                <w:sz w:val="24"/>
                <w:szCs w:val="24"/>
              </w:rPr>
              <w:t>Savio Pereira, Policing Standards Section, Ministry of the Solicitor General</w:t>
            </w:r>
          </w:p>
          <w:p w14:paraId="5F352225" w14:textId="77777777" w:rsidR="00301EA7" w:rsidRPr="00301EA7" w:rsidRDefault="00301EA7" w:rsidP="00301EA7">
            <w:pPr>
              <w:rPr>
                <w:rFonts w:cs="Calibri"/>
                <w:sz w:val="24"/>
                <w:szCs w:val="24"/>
              </w:rPr>
            </w:pPr>
          </w:p>
          <w:p w14:paraId="146BC20E" w14:textId="77777777" w:rsidR="00301EA7" w:rsidRPr="00301EA7" w:rsidRDefault="00301EA7" w:rsidP="00301EA7">
            <w:pPr>
              <w:rPr>
                <w:rFonts w:cs="Calibri"/>
                <w:sz w:val="24"/>
                <w:szCs w:val="24"/>
              </w:rPr>
            </w:pPr>
            <w:r w:rsidRPr="00301EA7">
              <w:rPr>
                <w:rFonts w:cs="Calibri"/>
                <w:sz w:val="24"/>
                <w:szCs w:val="24"/>
              </w:rPr>
              <w:t>Professor Ben Perrin, Faculty of Law, University of British Columbia</w:t>
            </w:r>
          </w:p>
          <w:p w14:paraId="05005A0C" w14:textId="77777777" w:rsidR="00301EA7" w:rsidRPr="00301EA7" w:rsidRDefault="00301EA7" w:rsidP="00301EA7">
            <w:pPr>
              <w:rPr>
                <w:rFonts w:cs="Calibri"/>
                <w:sz w:val="24"/>
                <w:szCs w:val="24"/>
              </w:rPr>
            </w:pPr>
          </w:p>
          <w:p w14:paraId="798B325B" w14:textId="77777777" w:rsidR="00301EA7" w:rsidRPr="00301EA7" w:rsidRDefault="00301EA7" w:rsidP="00301EA7">
            <w:pPr>
              <w:rPr>
                <w:rFonts w:cs="Calibri"/>
                <w:sz w:val="24"/>
                <w:szCs w:val="24"/>
              </w:rPr>
            </w:pPr>
            <w:r w:rsidRPr="00301EA7">
              <w:rPr>
                <w:rFonts w:cs="Calibri"/>
                <w:sz w:val="24"/>
                <w:szCs w:val="24"/>
              </w:rPr>
              <w:t>Michael Swinburne, Senior Policy Advisor, Canadian Human Rights Commission</w:t>
            </w:r>
          </w:p>
          <w:p w14:paraId="6C17CF82" w14:textId="77777777" w:rsidR="00301EA7" w:rsidRPr="00301EA7" w:rsidRDefault="00301EA7" w:rsidP="00301EA7">
            <w:pPr>
              <w:rPr>
                <w:rFonts w:cs="Calibri"/>
                <w:sz w:val="24"/>
                <w:szCs w:val="24"/>
              </w:rPr>
            </w:pPr>
          </w:p>
          <w:p w14:paraId="68809134" w14:textId="77777777" w:rsidR="00301EA7" w:rsidRPr="00301EA7" w:rsidRDefault="00301EA7" w:rsidP="00301EA7">
            <w:pPr>
              <w:rPr>
                <w:rFonts w:cs="Calibri"/>
                <w:sz w:val="24"/>
                <w:szCs w:val="24"/>
              </w:rPr>
            </w:pPr>
            <w:r w:rsidRPr="00301EA7">
              <w:rPr>
                <w:rFonts w:cs="Calibri"/>
                <w:sz w:val="24"/>
                <w:szCs w:val="24"/>
              </w:rPr>
              <w:t>Professor David Murakami Wood, Department of Criminology, University of Ottawa</w:t>
            </w:r>
          </w:p>
        </w:tc>
      </w:tr>
    </w:tbl>
    <w:p w14:paraId="24FA4919" w14:textId="77777777" w:rsidR="00301EA7" w:rsidRDefault="00301EA7" w:rsidP="003012E0">
      <w:pPr>
        <w:rPr>
          <w:rFonts w:ascii="Calibri" w:eastAsia="Calibri" w:hAnsi="Calibri" w:cs="Calibri"/>
          <w:b/>
          <w:bCs/>
          <w:lang w:eastAsia="en-CA"/>
        </w:rPr>
      </w:pPr>
    </w:p>
    <w:p w14:paraId="68ABF565" w14:textId="788F1A8B" w:rsidR="003012E0" w:rsidRPr="006B091D" w:rsidRDefault="003012E0" w:rsidP="003012E0">
      <w:pPr>
        <w:rPr>
          <w:rFonts w:ascii="Calibri" w:eastAsia="Calibri" w:hAnsi="Calibri" w:cs="Calibri"/>
          <w:b/>
          <w:bCs/>
          <w:lang w:eastAsia="en-CA"/>
        </w:rPr>
      </w:pPr>
      <w:r w:rsidRPr="006B091D">
        <w:rPr>
          <w:rFonts w:ascii="Calibri" w:eastAsia="Calibri" w:hAnsi="Calibri" w:cs="Calibri"/>
          <w:b/>
          <w:bCs/>
          <w:lang w:eastAsia="en-CA"/>
        </w:rPr>
        <w:t>DISCLAIMER</w:t>
      </w:r>
    </w:p>
    <w:p w14:paraId="0BE281B3" w14:textId="77777777" w:rsidR="003012E0" w:rsidRPr="00477AC8" w:rsidRDefault="003012E0" w:rsidP="003012E0">
      <w:pPr>
        <w:rPr>
          <w:rFonts w:eastAsia="Calibri"/>
          <w:lang w:eastAsia="en-CA"/>
        </w:rPr>
      </w:pPr>
      <w:r w:rsidRPr="00477AC8">
        <w:rPr>
          <w:rFonts w:eastAsia="Calibri"/>
          <w:lang w:eastAsia="en-CA"/>
        </w:rPr>
        <w:t>The analysis, findings, and recommendations in this paper do not necessarily represent the views of the LCO’s funders, supporters, Advisory Committee members, or Issue Paper authors.</w:t>
      </w:r>
      <w:r>
        <w:rPr>
          <w:rFonts w:eastAsia="Calibri"/>
          <w:lang w:eastAsia="en-CA"/>
        </w:rPr>
        <w:t xml:space="preserve"> </w:t>
      </w:r>
    </w:p>
    <w:p w14:paraId="23E1589F" w14:textId="77777777" w:rsidR="003012E0" w:rsidRPr="00477AC8" w:rsidRDefault="003012E0" w:rsidP="003012E0">
      <w:pPr>
        <w:rPr>
          <w:rFonts w:eastAsia="Calibri"/>
          <w:lang w:eastAsia="en-CA"/>
        </w:rPr>
      </w:pPr>
      <w:r w:rsidRPr="00477AC8">
        <w:rPr>
          <w:rFonts w:eastAsia="Calibri"/>
          <w:lang w:eastAsia="en-CA"/>
        </w:rPr>
        <w:t>The analysis, findings, and recommendations in the project Issue Papers do not necessarily represent the views of the LCO, its funders, supporters, or Advisory Committee members.</w:t>
      </w:r>
    </w:p>
    <w:p w14:paraId="5D805E13" w14:textId="77777777" w:rsidR="005E0126" w:rsidRDefault="005E0126" w:rsidP="003012E0">
      <w:pPr>
        <w:rPr>
          <w:rFonts w:ascii="Calibri" w:eastAsia="Calibri" w:hAnsi="Calibri" w:cs="Calibri"/>
          <w:b/>
          <w:bCs/>
          <w:lang w:eastAsia="en-CA"/>
        </w:rPr>
      </w:pPr>
    </w:p>
    <w:p w14:paraId="1A80DCD4" w14:textId="02825841" w:rsidR="003012E0" w:rsidRPr="00214AFA" w:rsidRDefault="003012E0" w:rsidP="003012E0">
      <w:pPr>
        <w:rPr>
          <w:rFonts w:ascii="Calibri" w:eastAsia="Calibri" w:hAnsi="Calibri" w:cs="Calibri"/>
          <w:b/>
          <w:bCs/>
          <w:lang w:eastAsia="en-CA"/>
        </w:rPr>
      </w:pPr>
      <w:r w:rsidRPr="00214AFA">
        <w:rPr>
          <w:rFonts w:ascii="Calibri" w:eastAsia="Calibri" w:hAnsi="Calibri" w:cs="Calibri"/>
          <w:b/>
          <w:bCs/>
          <w:lang w:eastAsia="en-CA"/>
        </w:rPr>
        <w:t>CITATION</w:t>
      </w:r>
    </w:p>
    <w:p w14:paraId="5CA46A09" w14:textId="239AF3C6" w:rsidR="003012E0" w:rsidRDefault="003012E0" w:rsidP="003012E0">
      <w:pPr>
        <w:rPr>
          <w:rFonts w:ascii="Calibri" w:eastAsia="Calibri" w:hAnsi="Calibri" w:cs="Calibri"/>
          <w:lang w:eastAsia="en-CA"/>
        </w:rPr>
      </w:pPr>
      <w:r w:rsidRPr="00214AFA">
        <w:rPr>
          <w:rFonts w:ascii="Calibri" w:eastAsia="Calibri" w:hAnsi="Calibri" w:cs="Calibri"/>
          <w:lang w:eastAsia="en-CA"/>
        </w:rPr>
        <w:t>Law Commission of Ontario,</w:t>
      </w:r>
      <w:r>
        <w:rPr>
          <w:rFonts w:ascii="Calibri" w:eastAsia="Calibri" w:hAnsi="Calibri" w:cs="Calibri"/>
          <w:lang w:eastAsia="en-CA"/>
        </w:rPr>
        <w:t xml:space="preserve"> </w:t>
      </w:r>
      <w:r w:rsidRPr="005E0126">
        <w:rPr>
          <w:rFonts w:ascii="Calibri" w:eastAsia="Calibri" w:hAnsi="Calibri" w:cs="Calibri"/>
          <w:i/>
          <w:iCs/>
          <w:lang w:eastAsia="en-CA"/>
        </w:rPr>
        <w:t>Executive Summary</w:t>
      </w:r>
      <w:r w:rsidR="00301EA7">
        <w:rPr>
          <w:rFonts w:ascii="Calibri" w:eastAsia="Calibri" w:hAnsi="Calibri" w:cs="Calibri"/>
          <w:i/>
          <w:iCs/>
          <w:lang w:eastAsia="en-CA"/>
        </w:rPr>
        <w:t xml:space="preserve"> and Consultation Questions</w:t>
      </w:r>
      <w:r w:rsidR="00965500" w:rsidRPr="005E0126">
        <w:rPr>
          <w:rFonts w:ascii="Calibri" w:eastAsia="Calibri" w:hAnsi="Calibri" w:cs="Calibri"/>
          <w:i/>
          <w:iCs/>
          <w:lang w:eastAsia="en-CA"/>
        </w:rPr>
        <w:t xml:space="preserve">, AI in Criminal Justice </w:t>
      </w:r>
      <w:r w:rsidR="003E2307" w:rsidRPr="005E0126">
        <w:rPr>
          <w:rFonts w:ascii="Calibri" w:eastAsia="Calibri" w:hAnsi="Calibri" w:cs="Calibri"/>
          <w:i/>
          <w:iCs/>
          <w:lang w:eastAsia="en-CA"/>
        </w:rPr>
        <w:t>Project</w:t>
      </w:r>
      <w:r w:rsidR="003E2307">
        <w:rPr>
          <w:rFonts w:ascii="Calibri" w:eastAsia="Calibri" w:hAnsi="Calibri" w:cs="Calibri"/>
          <w:b/>
          <w:bCs/>
          <w:i/>
          <w:iCs/>
          <w:lang w:eastAsia="en-CA"/>
        </w:rPr>
        <w:t xml:space="preserve"> </w:t>
      </w:r>
      <w:r w:rsidR="003E2307" w:rsidRPr="003E2307">
        <w:rPr>
          <w:rFonts w:ascii="Calibri" w:eastAsia="Calibri" w:hAnsi="Calibri" w:cs="Calibri"/>
          <w:lang w:eastAsia="en-CA"/>
        </w:rPr>
        <w:t>(</w:t>
      </w:r>
      <w:r>
        <w:rPr>
          <w:rFonts w:ascii="Calibri" w:eastAsia="Calibri" w:hAnsi="Calibri" w:cs="Calibri"/>
          <w:lang w:eastAsia="en-CA"/>
        </w:rPr>
        <w:t>April</w:t>
      </w:r>
      <w:r w:rsidRPr="00214AFA">
        <w:rPr>
          <w:rFonts w:ascii="Calibri" w:eastAsia="Calibri" w:hAnsi="Calibri" w:cs="Calibri"/>
          <w:lang w:eastAsia="en-CA"/>
        </w:rPr>
        <w:t xml:space="preserve"> 2025).</w:t>
      </w:r>
    </w:p>
    <w:p w14:paraId="472C2E4A" w14:textId="04F8B8B5" w:rsidR="00BE16D0" w:rsidRDefault="00BE16D0">
      <w:pPr>
        <w:rPr>
          <w:rFonts w:ascii="Calibri" w:eastAsia="Calibri" w:hAnsi="Calibri" w:cs="Calibri"/>
          <w:lang w:eastAsia="en-CA"/>
        </w:rPr>
      </w:pPr>
      <w:r>
        <w:rPr>
          <w:rFonts w:ascii="Calibri" w:eastAsia="Calibri" w:hAnsi="Calibri" w:cs="Calibri"/>
          <w:lang w:eastAsia="en-CA"/>
        </w:rPr>
        <w:br w:type="page"/>
      </w:r>
    </w:p>
    <w:sdt>
      <w:sdtPr>
        <w:rPr>
          <w:rFonts w:asciiTheme="minorHAnsi" w:eastAsiaTheme="minorHAnsi" w:hAnsiTheme="minorHAnsi" w:cstheme="minorBidi"/>
          <w:color w:val="auto"/>
          <w:kern w:val="2"/>
          <w:sz w:val="22"/>
          <w:szCs w:val="22"/>
          <w:lang w:val="en-CA"/>
          <w14:ligatures w14:val="standardContextual"/>
        </w:rPr>
        <w:id w:val="-1675565296"/>
        <w:docPartObj>
          <w:docPartGallery w:val="Table of Contents"/>
          <w:docPartUnique/>
        </w:docPartObj>
      </w:sdtPr>
      <w:sdtEndPr>
        <w:rPr>
          <w:b/>
          <w:bCs/>
          <w:noProof/>
        </w:rPr>
      </w:sdtEndPr>
      <w:sdtContent>
        <w:p w14:paraId="1775B01D" w14:textId="2700357D" w:rsidR="00BE16D0" w:rsidRDefault="00BE16D0">
          <w:pPr>
            <w:pStyle w:val="TOCHeading"/>
          </w:pPr>
          <w:r>
            <w:t>Contents</w:t>
          </w:r>
        </w:p>
        <w:p w14:paraId="6BC2BC2E" w14:textId="29D8D5C1" w:rsidR="0030253A" w:rsidRPr="0030253A" w:rsidRDefault="00BE16D0">
          <w:pPr>
            <w:pStyle w:val="TOC1"/>
            <w:tabs>
              <w:tab w:val="left" w:pos="440"/>
              <w:tab w:val="right" w:leader="dot" w:pos="9350"/>
            </w:tabs>
            <w:rPr>
              <w:rFonts w:eastAsiaTheme="minorEastAsia" w:cstheme="minorBidi"/>
              <w:b w:val="0"/>
              <w:bCs w:val="0"/>
              <w:i w:val="0"/>
              <w:iCs w:val="0"/>
              <w:noProof/>
              <w:lang w:eastAsia="en-CA"/>
            </w:rPr>
          </w:pPr>
          <w:r w:rsidRPr="0030253A">
            <w:rPr>
              <w:b w:val="0"/>
              <w:bCs w:val="0"/>
              <w:i w:val="0"/>
              <w:iCs w:val="0"/>
            </w:rPr>
            <w:fldChar w:fldCharType="begin"/>
          </w:r>
          <w:r w:rsidRPr="0030253A">
            <w:rPr>
              <w:b w:val="0"/>
              <w:bCs w:val="0"/>
              <w:i w:val="0"/>
              <w:iCs w:val="0"/>
            </w:rPr>
            <w:instrText xml:space="preserve"> TOC \o "1-3" \h \z \u </w:instrText>
          </w:r>
          <w:r w:rsidRPr="0030253A">
            <w:rPr>
              <w:b w:val="0"/>
              <w:bCs w:val="0"/>
              <w:i w:val="0"/>
              <w:iCs w:val="0"/>
            </w:rPr>
            <w:fldChar w:fldCharType="separate"/>
          </w:r>
          <w:hyperlink w:anchor="_Toc195604708" w:history="1">
            <w:r w:rsidR="0030253A" w:rsidRPr="0030253A">
              <w:rPr>
                <w:rStyle w:val="Hyperlink"/>
                <w:b w:val="0"/>
                <w:bCs w:val="0"/>
                <w:i w:val="0"/>
                <w:iCs w:val="0"/>
                <w:noProof/>
              </w:rPr>
              <w:t>1.</w:t>
            </w:r>
            <w:r w:rsidR="0030253A" w:rsidRPr="0030253A">
              <w:rPr>
                <w:rFonts w:eastAsiaTheme="minorEastAsia" w:cstheme="minorBidi"/>
                <w:b w:val="0"/>
                <w:bCs w:val="0"/>
                <w:i w:val="0"/>
                <w:iCs w:val="0"/>
                <w:noProof/>
                <w:lang w:eastAsia="en-CA"/>
              </w:rPr>
              <w:tab/>
            </w:r>
            <w:r w:rsidR="0030253A" w:rsidRPr="0030253A">
              <w:rPr>
                <w:rStyle w:val="Hyperlink"/>
                <w:b w:val="0"/>
                <w:bCs w:val="0"/>
                <w:i w:val="0"/>
                <w:iCs w:val="0"/>
                <w:noProof/>
              </w:rPr>
              <w:t>The LCO AI in Criminal Justice Project</w:t>
            </w:r>
            <w:r w:rsidR="0030253A" w:rsidRPr="0030253A">
              <w:rPr>
                <w:b w:val="0"/>
                <w:bCs w:val="0"/>
                <w:i w:val="0"/>
                <w:iCs w:val="0"/>
                <w:noProof/>
                <w:webHidden/>
              </w:rPr>
              <w:tab/>
            </w:r>
            <w:r w:rsidR="0030253A" w:rsidRPr="0030253A">
              <w:rPr>
                <w:b w:val="0"/>
                <w:bCs w:val="0"/>
                <w:i w:val="0"/>
                <w:iCs w:val="0"/>
                <w:noProof/>
                <w:webHidden/>
              </w:rPr>
              <w:fldChar w:fldCharType="begin"/>
            </w:r>
            <w:r w:rsidR="0030253A" w:rsidRPr="0030253A">
              <w:rPr>
                <w:b w:val="0"/>
                <w:bCs w:val="0"/>
                <w:i w:val="0"/>
                <w:iCs w:val="0"/>
                <w:noProof/>
                <w:webHidden/>
              </w:rPr>
              <w:instrText xml:space="preserve"> PAGEREF _Toc195604708 \h </w:instrText>
            </w:r>
            <w:r w:rsidR="0030253A" w:rsidRPr="0030253A">
              <w:rPr>
                <w:b w:val="0"/>
                <w:bCs w:val="0"/>
                <w:i w:val="0"/>
                <w:iCs w:val="0"/>
                <w:noProof/>
                <w:webHidden/>
              </w:rPr>
            </w:r>
            <w:r w:rsidR="0030253A" w:rsidRPr="0030253A">
              <w:rPr>
                <w:b w:val="0"/>
                <w:bCs w:val="0"/>
                <w:i w:val="0"/>
                <w:iCs w:val="0"/>
                <w:noProof/>
                <w:webHidden/>
              </w:rPr>
              <w:fldChar w:fldCharType="separate"/>
            </w:r>
            <w:r w:rsidR="0030253A" w:rsidRPr="0030253A">
              <w:rPr>
                <w:b w:val="0"/>
                <w:bCs w:val="0"/>
                <w:i w:val="0"/>
                <w:iCs w:val="0"/>
                <w:noProof/>
                <w:webHidden/>
              </w:rPr>
              <w:t>6</w:t>
            </w:r>
            <w:r w:rsidR="0030253A" w:rsidRPr="0030253A">
              <w:rPr>
                <w:b w:val="0"/>
                <w:bCs w:val="0"/>
                <w:i w:val="0"/>
                <w:iCs w:val="0"/>
                <w:noProof/>
                <w:webHidden/>
              </w:rPr>
              <w:fldChar w:fldCharType="end"/>
            </w:r>
          </w:hyperlink>
        </w:p>
        <w:p w14:paraId="28BA12F2" w14:textId="20FC01E3" w:rsidR="0030253A" w:rsidRPr="0030253A" w:rsidRDefault="0030253A">
          <w:pPr>
            <w:pStyle w:val="TOC1"/>
            <w:tabs>
              <w:tab w:val="left" w:pos="660"/>
              <w:tab w:val="right" w:leader="dot" w:pos="9350"/>
            </w:tabs>
            <w:rPr>
              <w:rFonts w:eastAsiaTheme="minorEastAsia" w:cstheme="minorBidi"/>
              <w:b w:val="0"/>
              <w:bCs w:val="0"/>
              <w:i w:val="0"/>
              <w:iCs w:val="0"/>
              <w:noProof/>
              <w:lang w:eastAsia="en-CA"/>
            </w:rPr>
          </w:pPr>
          <w:hyperlink w:anchor="_Toc195604709" w:history="1">
            <w:r w:rsidRPr="0030253A">
              <w:rPr>
                <w:rStyle w:val="Hyperlink"/>
                <w:b w:val="0"/>
                <w:bCs w:val="0"/>
                <w:i w:val="0"/>
                <w:iCs w:val="0"/>
                <w:noProof/>
              </w:rPr>
              <w:t>2.</w:t>
            </w:r>
            <w:r w:rsidRPr="0030253A">
              <w:rPr>
                <w:rFonts w:eastAsiaTheme="minorEastAsia" w:cstheme="minorBidi"/>
                <w:b w:val="0"/>
                <w:bCs w:val="0"/>
                <w:i w:val="0"/>
                <w:iCs w:val="0"/>
                <w:noProof/>
                <w:lang w:eastAsia="en-CA"/>
              </w:rPr>
              <w:tab/>
            </w:r>
            <w:r w:rsidRPr="0030253A">
              <w:rPr>
                <w:rStyle w:val="Hyperlink"/>
                <w:b w:val="0"/>
                <w:bCs w:val="0"/>
                <w:i w:val="0"/>
                <w:iCs w:val="0"/>
                <w:noProof/>
              </w:rPr>
              <w:t>About the LCO</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_Toc195604709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7</w:t>
            </w:r>
            <w:r w:rsidRPr="0030253A">
              <w:rPr>
                <w:b w:val="0"/>
                <w:bCs w:val="0"/>
                <w:i w:val="0"/>
                <w:iCs w:val="0"/>
                <w:noProof/>
                <w:webHidden/>
              </w:rPr>
              <w:fldChar w:fldCharType="end"/>
            </w:r>
          </w:hyperlink>
        </w:p>
        <w:p w14:paraId="0575867D" w14:textId="4435B6C2" w:rsidR="0030253A" w:rsidRPr="0030253A" w:rsidRDefault="0030253A">
          <w:pPr>
            <w:pStyle w:val="TOC1"/>
            <w:tabs>
              <w:tab w:val="left" w:pos="660"/>
              <w:tab w:val="right" w:leader="dot" w:pos="9350"/>
            </w:tabs>
            <w:rPr>
              <w:rFonts w:eastAsiaTheme="minorEastAsia" w:cstheme="minorBidi"/>
              <w:b w:val="0"/>
              <w:bCs w:val="0"/>
              <w:i w:val="0"/>
              <w:iCs w:val="0"/>
              <w:noProof/>
              <w:lang w:eastAsia="en-CA"/>
            </w:rPr>
          </w:pPr>
          <w:hyperlink w:anchor="_Toc195604710" w:history="1">
            <w:r w:rsidRPr="0030253A">
              <w:rPr>
                <w:rStyle w:val="Hyperlink"/>
                <w:rFonts w:eastAsia="Times New Roman"/>
                <w:b w:val="0"/>
                <w:bCs w:val="0"/>
                <w:i w:val="0"/>
                <w:iCs w:val="0"/>
                <w:noProof/>
                <w:lang w:val="en-US" w:eastAsia="en-CA"/>
              </w:rPr>
              <w:t>3.</w:t>
            </w:r>
            <w:r w:rsidRPr="0030253A">
              <w:rPr>
                <w:rFonts w:eastAsiaTheme="minorEastAsia" w:cstheme="minorBidi"/>
                <w:b w:val="0"/>
                <w:bCs w:val="0"/>
                <w:i w:val="0"/>
                <w:iCs w:val="0"/>
                <w:noProof/>
                <w:lang w:eastAsia="en-CA"/>
              </w:rPr>
              <w:tab/>
            </w:r>
            <w:r w:rsidRPr="0030253A">
              <w:rPr>
                <w:rStyle w:val="Hyperlink"/>
                <w:rFonts w:eastAsia="Times New Roman"/>
                <w:b w:val="0"/>
                <w:bCs w:val="0"/>
                <w:i w:val="0"/>
                <w:iCs w:val="0"/>
                <w:noProof/>
                <w:lang w:val="en-US" w:eastAsia="en-CA"/>
              </w:rPr>
              <w:t>AI in Criminal Justice: Uses and Benefits</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_Toc195604710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7</w:t>
            </w:r>
            <w:r w:rsidRPr="0030253A">
              <w:rPr>
                <w:b w:val="0"/>
                <w:bCs w:val="0"/>
                <w:i w:val="0"/>
                <w:iCs w:val="0"/>
                <w:noProof/>
                <w:webHidden/>
              </w:rPr>
              <w:fldChar w:fldCharType="end"/>
            </w:r>
          </w:hyperlink>
        </w:p>
        <w:p w14:paraId="08B52236" w14:textId="091B3825" w:rsidR="0030253A" w:rsidRPr="0030253A" w:rsidRDefault="0030253A">
          <w:pPr>
            <w:pStyle w:val="TOC1"/>
            <w:tabs>
              <w:tab w:val="left" w:pos="660"/>
              <w:tab w:val="right" w:leader="dot" w:pos="9350"/>
            </w:tabs>
            <w:rPr>
              <w:rFonts w:eastAsiaTheme="minorEastAsia" w:cstheme="minorBidi"/>
              <w:b w:val="0"/>
              <w:bCs w:val="0"/>
              <w:i w:val="0"/>
              <w:iCs w:val="0"/>
              <w:noProof/>
              <w:lang w:eastAsia="en-CA"/>
            </w:rPr>
          </w:pPr>
          <w:hyperlink w:anchor="_Toc195604711" w:history="1">
            <w:r w:rsidRPr="0030253A">
              <w:rPr>
                <w:rStyle w:val="Hyperlink"/>
                <w:b w:val="0"/>
                <w:bCs w:val="0"/>
                <w:i w:val="0"/>
                <w:iCs w:val="0"/>
                <w:noProof/>
              </w:rPr>
              <w:t>4.</w:t>
            </w:r>
            <w:r w:rsidRPr="0030253A">
              <w:rPr>
                <w:rFonts w:eastAsiaTheme="minorEastAsia" w:cstheme="minorBidi"/>
                <w:b w:val="0"/>
                <w:bCs w:val="0"/>
                <w:i w:val="0"/>
                <w:iCs w:val="0"/>
                <w:noProof/>
                <w:lang w:eastAsia="en-CA"/>
              </w:rPr>
              <w:tab/>
            </w:r>
            <w:r w:rsidRPr="0030253A">
              <w:rPr>
                <w:rStyle w:val="Hyperlink"/>
                <w:b w:val="0"/>
                <w:bCs w:val="0"/>
                <w:i w:val="0"/>
                <w:iCs w:val="0"/>
                <w:noProof/>
              </w:rPr>
              <w:t>AI in Criminal Justice: Risks and Issues</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_Toc195604711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9</w:t>
            </w:r>
            <w:r w:rsidRPr="0030253A">
              <w:rPr>
                <w:b w:val="0"/>
                <w:bCs w:val="0"/>
                <w:i w:val="0"/>
                <w:iCs w:val="0"/>
                <w:noProof/>
                <w:webHidden/>
              </w:rPr>
              <w:fldChar w:fldCharType="end"/>
            </w:r>
          </w:hyperlink>
        </w:p>
        <w:p w14:paraId="27EE18F5" w14:textId="17860CDA" w:rsidR="0030253A" w:rsidRPr="0030253A" w:rsidRDefault="0030253A">
          <w:pPr>
            <w:pStyle w:val="TOC1"/>
            <w:tabs>
              <w:tab w:val="left" w:pos="660"/>
              <w:tab w:val="right" w:leader="dot" w:pos="9350"/>
            </w:tabs>
            <w:rPr>
              <w:rFonts w:eastAsiaTheme="minorEastAsia" w:cstheme="minorBidi"/>
              <w:b w:val="0"/>
              <w:bCs w:val="0"/>
              <w:i w:val="0"/>
              <w:iCs w:val="0"/>
              <w:noProof/>
              <w:lang w:eastAsia="en-CA"/>
            </w:rPr>
          </w:pPr>
          <w:hyperlink w:anchor="_Toc195604712" w:history="1">
            <w:r w:rsidRPr="0030253A">
              <w:rPr>
                <w:rStyle w:val="Hyperlink"/>
                <w:b w:val="0"/>
                <w:bCs w:val="0"/>
                <w:i w:val="0"/>
                <w:iCs w:val="0"/>
                <w:noProof/>
              </w:rPr>
              <w:t>5.</w:t>
            </w:r>
            <w:r w:rsidRPr="0030253A">
              <w:rPr>
                <w:rFonts w:eastAsiaTheme="minorEastAsia" w:cstheme="minorBidi"/>
                <w:b w:val="0"/>
                <w:bCs w:val="0"/>
                <w:i w:val="0"/>
                <w:iCs w:val="0"/>
                <w:noProof/>
                <w:lang w:eastAsia="en-CA"/>
              </w:rPr>
              <w:tab/>
            </w:r>
            <w:r w:rsidRPr="0030253A">
              <w:rPr>
                <w:rStyle w:val="Hyperlink"/>
                <w:b w:val="0"/>
                <w:bCs w:val="0"/>
                <w:i w:val="0"/>
                <w:iCs w:val="0"/>
                <w:noProof/>
              </w:rPr>
              <w:t>AI Benefits and Risks in Context</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_Toc195604712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11</w:t>
            </w:r>
            <w:r w:rsidRPr="0030253A">
              <w:rPr>
                <w:b w:val="0"/>
                <w:bCs w:val="0"/>
                <w:i w:val="0"/>
                <w:iCs w:val="0"/>
                <w:noProof/>
                <w:webHidden/>
              </w:rPr>
              <w:fldChar w:fldCharType="end"/>
            </w:r>
          </w:hyperlink>
        </w:p>
        <w:p w14:paraId="74403057" w14:textId="16B5781B" w:rsidR="0030253A" w:rsidRPr="0030253A" w:rsidRDefault="0030253A">
          <w:pPr>
            <w:pStyle w:val="TOC1"/>
            <w:tabs>
              <w:tab w:val="left" w:pos="440"/>
              <w:tab w:val="right" w:leader="dot" w:pos="9350"/>
            </w:tabs>
            <w:rPr>
              <w:rFonts w:eastAsiaTheme="minorEastAsia" w:cstheme="minorBidi"/>
              <w:b w:val="0"/>
              <w:bCs w:val="0"/>
              <w:i w:val="0"/>
              <w:iCs w:val="0"/>
              <w:noProof/>
              <w:lang w:eastAsia="en-CA"/>
            </w:rPr>
          </w:pPr>
          <w:hyperlink w:anchor="_Toc195604713" w:history="1">
            <w:r w:rsidRPr="0030253A">
              <w:rPr>
                <w:rStyle w:val="Hyperlink"/>
                <w:b w:val="0"/>
                <w:bCs w:val="0"/>
                <w:i w:val="0"/>
                <w:iCs w:val="0"/>
                <w:noProof/>
              </w:rPr>
              <w:t>6.</w:t>
            </w:r>
            <w:r w:rsidRPr="0030253A">
              <w:rPr>
                <w:rFonts w:eastAsiaTheme="minorEastAsia" w:cstheme="minorBidi"/>
                <w:b w:val="0"/>
                <w:bCs w:val="0"/>
                <w:i w:val="0"/>
                <w:iCs w:val="0"/>
                <w:noProof/>
                <w:lang w:eastAsia="en-CA"/>
              </w:rPr>
              <w:tab/>
            </w:r>
            <w:r w:rsidRPr="0030253A">
              <w:rPr>
                <w:rStyle w:val="Hyperlink"/>
                <w:b w:val="0"/>
                <w:bCs w:val="0"/>
                <w:i w:val="0"/>
                <w:iCs w:val="0"/>
                <w:noProof/>
              </w:rPr>
              <w:t>Overview of Criminal AI Project Issue Papers</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_Toc195604713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11</w:t>
            </w:r>
            <w:r w:rsidRPr="0030253A">
              <w:rPr>
                <w:b w:val="0"/>
                <w:bCs w:val="0"/>
                <w:i w:val="0"/>
                <w:iCs w:val="0"/>
                <w:noProof/>
                <w:webHidden/>
              </w:rPr>
              <w:fldChar w:fldCharType="end"/>
            </w:r>
          </w:hyperlink>
        </w:p>
        <w:p w14:paraId="5D8B626E" w14:textId="1AE02404" w:rsidR="0030253A" w:rsidRPr="0030253A" w:rsidRDefault="0030253A">
          <w:pPr>
            <w:pStyle w:val="TOC1"/>
            <w:tabs>
              <w:tab w:val="left" w:pos="440"/>
              <w:tab w:val="right" w:leader="dot" w:pos="9350"/>
            </w:tabs>
            <w:rPr>
              <w:rFonts w:eastAsiaTheme="minorEastAsia" w:cstheme="minorBidi"/>
              <w:b w:val="0"/>
              <w:bCs w:val="0"/>
              <w:i w:val="0"/>
              <w:iCs w:val="0"/>
              <w:noProof/>
              <w:lang w:eastAsia="en-CA"/>
            </w:rPr>
          </w:pPr>
          <w:hyperlink w:anchor="_Toc195604714" w:history="1">
            <w:r w:rsidRPr="0030253A">
              <w:rPr>
                <w:rStyle w:val="Hyperlink"/>
                <w:b w:val="0"/>
                <w:bCs w:val="0"/>
                <w:i w:val="0"/>
                <w:iCs w:val="0"/>
                <w:noProof/>
              </w:rPr>
              <w:t>7.</w:t>
            </w:r>
            <w:r w:rsidRPr="0030253A">
              <w:rPr>
                <w:rFonts w:eastAsiaTheme="minorEastAsia" w:cstheme="minorBidi"/>
                <w:b w:val="0"/>
                <w:bCs w:val="0"/>
                <w:i w:val="0"/>
                <w:iCs w:val="0"/>
                <w:noProof/>
                <w:lang w:eastAsia="en-CA"/>
              </w:rPr>
              <w:tab/>
            </w:r>
            <w:r w:rsidRPr="0030253A">
              <w:rPr>
                <w:rStyle w:val="Hyperlink"/>
                <w:b w:val="0"/>
                <w:bCs w:val="0"/>
                <w:i w:val="0"/>
                <w:iCs w:val="0"/>
                <w:noProof/>
              </w:rPr>
              <w:t>Trustworthy Criminal AI</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_Toc195604714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13</w:t>
            </w:r>
            <w:r w:rsidRPr="0030253A">
              <w:rPr>
                <w:b w:val="0"/>
                <w:bCs w:val="0"/>
                <w:i w:val="0"/>
                <w:iCs w:val="0"/>
                <w:noProof/>
                <w:webHidden/>
              </w:rPr>
              <w:fldChar w:fldCharType="end"/>
            </w:r>
          </w:hyperlink>
        </w:p>
        <w:p w14:paraId="474BF44C" w14:textId="546D81C3" w:rsidR="0030253A" w:rsidRPr="0030253A" w:rsidRDefault="0030253A">
          <w:pPr>
            <w:pStyle w:val="TOC1"/>
            <w:tabs>
              <w:tab w:val="left" w:pos="440"/>
              <w:tab w:val="right" w:leader="dot" w:pos="9350"/>
            </w:tabs>
            <w:rPr>
              <w:rFonts w:eastAsiaTheme="minorEastAsia" w:cstheme="minorBidi"/>
              <w:b w:val="0"/>
              <w:bCs w:val="0"/>
              <w:i w:val="0"/>
              <w:iCs w:val="0"/>
              <w:noProof/>
              <w:lang w:eastAsia="en-CA"/>
            </w:rPr>
          </w:pPr>
          <w:hyperlink w:anchor="_Toc195604715" w:history="1">
            <w:r w:rsidRPr="0030253A">
              <w:rPr>
                <w:rStyle w:val="Hyperlink"/>
                <w:b w:val="0"/>
                <w:bCs w:val="0"/>
                <w:i w:val="0"/>
                <w:iCs w:val="0"/>
                <w:noProof/>
              </w:rPr>
              <w:t>8.</w:t>
            </w:r>
            <w:r w:rsidRPr="0030253A">
              <w:rPr>
                <w:rFonts w:eastAsiaTheme="minorEastAsia" w:cstheme="minorBidi"/>
                <w:b w:val="0"/>
                <w:bCs w:val="0"/>
                <w:i w:val="0"/>
                <w:iCs w:val="0"/>
                <w:noProof/>
                <w:lang w:eastAsia="en-CA"/>
              </w:rPr>
              <w:tab/>
            </w:r>
            <w:r w:rsidRPr="0030253A">
              <w:rPr>
                <w:rStyle w:val="Hyperlink"/>
                <w:b w:val="0"/>
                <w:bCs w:val="0"/>
                <w:i w:val="0"/>
                <w:iCs w:val="0"/>
                <w:noProof/>
              </w:rPr>
              <w:t>Trustworthy AI in Canadian Criminal Justice</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_Toc195604715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13</w:t>
            </w:r>
            <w:r w:rsidRPr="0030253A">
              <w:rPr>
                <w:b w:val="0"/>
                <w:bCs w:val="0"/>
                <w:i w:val="0"/>
                <w:iCs w:val="0"/>
                <w:noProof/>
                <w:webHidden/>
              </w:rPr>
              <w:fldChar w:fldCharType="end"/>
            </w:r>
          </w:hyperlink>
        </w:p>
        <w:p w14:paraId="47E7D563" w14:textId="2E5D0189" w:rsidR="0030253A" w:rsidRPr="0030253A" w:rsidRDefault="0030253A">
          <w:pPr>
            <w:pStyle w:val="TOC2"/>
            <w:tabs>
              <w:tab w:val="right" w:leader="dot" w:pos="9350"/>
            </w:tabs>
            <w:rPr>
              <w:rFonts w:eastAsiaTheme="minorEastAsia" w:cstheme="minorBidi"/>
              <w:b w:val="0"/>
              <w:bCs w:val="0"/>
              <w:noProof/>
              <w:sz w:val="24"/>
              <w:szCs w:val="24"/>
              <w:lang w:eastAsia="en-CA"/>
            </w:rPr>
          </w:pPr>
          <w:hyperlink w:anchor="_Toc195604716" w:history="1">
            <w:r w:rsidRPr="0030253A">
              <w:rPr>
                <w:rStyle w:val="Hyperlink"/>
                <w:b w:val="0"/>
                <w:bCs w:val="0"/>
                <w:noProof/>
              </w:rPr>
              <w:t>Existing Laws and Policies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_Toc195604716 \h </w:instrText>
            </w:r>
            <w:r w:rsidRPr="0030253A">
              <w:rPr>
                <w:b w:val="0"/>
                <w:bCs w:val="0"/>
                <w:noProof/>
                <w:webHidden/>
              </w:rPr>
            </w:r>
            <w:r w:rsidRPr="0030253A">
              <w:rPr>
                <w:b w:val="0"/>
                <w:bCs w:val="0"/>
                <w:noProof/>
                <w:webHidden/>
              </w:rPr>
              <w:fldChar w:fldCharType="separate"/>
            </w:r>
            <w:r w:rsidRPr="0030253A">
              <w:rPr>
                <w:b w:val="0"/>
                <w:bCs w:val="0"/>
                <w:noProof/>
                <w:webHidden/>
              </w:rPr>
              <w:t>13</w:t>
            </w:r>
            <w:r w:rsidRPr="0030253A">
              <w:rPr>
                <w:b w:val="0"/>
                <w:bCs w:val="0"/>
                <w:noProof/>
                <w:webHidden/>
              </w:rPr>
              <w:fldChar w:fldCharType="end"/>
            </w:r>
          </w:hyperlink>
        </w:p>
        <w:p w14:paraId="23F1FF46" w14:textId="1CD0F778" w:rsidR="0030253A" w:rsidRPr="0030253A" w:rsidRDefault="0030253A">
          <w:pPr>
            <w:pStyle w:val="TOC2"/>
            <w:tabs>
              <w:tab w:val="right" w:leader="dot" w:pos="9350"/>
            </w:tabs>
            <w:rPr>
              <w:rFonts w:eastAsiaTheme="minorEastAsia" w:cstheme="minorBidi"/>
              <w:b w:val="0"/>
              <w:bCs w:val="0"/>
              <w:noProof/>
              <w:sz w:val="24"/>
              <w:szCs w:val="24"/>
              <w:lang w:eastAsia="en-CA"/>
            </w:rPr>
          </w:pPr>
          <w:hyperlink w:anchor="_Toc195604717" w:history="1">
            <w:r w:rsidRPr="0030253A">
              <w:rPr>
                <w:rStyle w:val="Hyperlink"/>
                <w:b w:val="0"/>
                <w:bCs w:val="0"/>
                <w:noProof/>
              </w:rPr>
              <w:t>Federal AI Legislation, Government Directives and Policies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_Toc195604717 \h </w:instrText>
            </w:r>
            <w:r w:rsidRPr="0030253A">
              <w:rPr>
                <w:b w:val="0"/>
                <w:bCs w:val="0"/>
                <w:noProof/>
                <w:webHidden/>
              </w:rPr>
            </w:r>
            <w:r w:rsidRPr="0030253A">
              <w:rPr>
                <w:b w:val="0"/>
                <w:bCs w:val="0"/>
                <w:noProof/>
                <w:webHidden/>
              </w:rPr>
              <w:fldChar w:fldCharType="separate"/>
            </w:r>
            <w:r w:rsidRPr="0030253A">
              <w:rPr>
                <w:b w:val="0"/>
                <w:bCs w:val="0"/>
                <w:noProof/>
                <w:webHidden/>
              </w:rPr>
              <w:t>14</w:t>
            </w:r>
            <w:r w:rsidRPr="0030253A">
              <w:rPr>
                <w:b w:val="0"/>
                <w:bCs w:val="0"/>
                <w:noProof/>
                <w:webHidden/>
              </w:rPr>
              <w:fldChar w:fldCharType="end"/>
            </w:r>
          </w:hyperlink>
        </w:p>
        <w:p w14:paraId="15DADEC6" w14:textId="4778B885" w:rsidR="0030253A" w:rsidRPr="0030253A" w:rsidRDefault="0030253A">
          <w:pPr>
            <w:pStyle w:val="TOC2"/>
            <w:tabs>
              <w:tab w:val="right" w:leader="dot" w:pos="9350"/>
            </w:tabs>
            <w:rPr>
              <w:rFonts w:eastAsiaTheme="minorEastAsia" w:cstheme="minorBidi"/>
              <w:b w:val="0"/>
              <w:bCs w:val="0"/>
              <w:noProof/>
              <w:sz w:val="24"/>
              <w:szCs w:val="24"/>
              <w:lang w:eastAsia="en-CA"/>
            </w:rPr>
          </w:pPr>
          <w:hyperlink w:anchor="_Toc195604718" w:history="1">
            <w:r w:rsidRPr="0030253A">
              <w:rPr>
                <w:rStyle w:val="Hyperlink"/>
                <w:b w:val="0"/>
                <w:bCs w:val="0"/>
                <w:noProof/>
              </w:rPr>
              <w:t>AI Legislation, Government Directives, and Policies in Ontario</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_Toc195604718 \h </w:instrText>
            </w:r>
            <w:r w:rsidRPr="0030253A">
              <w:rPr>
                <w:b w:val="0"/>
                <w:bCs w:val="0"/>
                <w:noProof/>
                <w:webHidden/>
              </w:rPr>
            </w:r>
            <w:r w:rsidRPr="0030253A">
              <w:rPr>
                <w:b w:val="0"/>
                <w:bCs w:val="0"/>
                <w:noProof/>
                <w:webHidden/>
              </w:rPr>
              <w:fldChar w:fldCharType="separate"/>
            </w:r>
            <w:r w:rsidRPr="0030253A">
              <w:rPr>
                <w:b w:val="0"/>
                <w:bCs w:val="0"/>
                <w:noProof/>
                <w:webHidden/>
              </w:rPr>
              <w:t>16</w:t>
            </w:r>
            <w:r w:rsidRPr="0030253A">
              <w:rPr>
                <w:b w:val="0"/>
                <w:bCs w:val="0"/>
                <w:noProof/>
                <w:webHidden/>
              </w:rPr>
              <w:fldChar w:fldCharType="end"/>
            </w:r>
          </w:hyperlink>
        </w:p>
        <w:p w14:paraId="08A10A34" w14:textId="0A455ED0" w:rsidR="0030253A" w:rsidRPr="0030253A" w:rsidRDefault="0030253A">
          <w:pPr>
            <w:pStyle w:val="TOC2"/>
            <w:tabs>
              <w:tab w:val="right" w:leader="dot" w:pos="9350"/>
            </w:tabs>
            <w:rPr>
              <w:rFonts w:eastAsiaTheme="minorEastAsia" w:cstheme="minorBidi"/>
              <w:b w:val="0"/>
              <w:bCs w:val="0"/>
              <w:noProof/>
              <w:sz w:val="24"/>
              <w:szCs w:val="24"/>
              <w:lang w:eastAsia="en-CA"/>
            </w:rPr>
          </w:pPr>
          <w:hyperlink w:anchor="_Toc195604719" w:history="1">
            <w:r w:rsidRPr="0030253A">
              <w:rPr>
                <w:rStyle w:val="Hyperlink"/>
                <w:b w:val="0"/>
                <w:bCs w:val="0"/>
                <w:noProof/>
              </w:rPr>
              <w:t>Guidance From Canadian Privacy Commissioners and Courts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_Toc195604719 \h </w:instrText>
            </w:r>
            <w:r w:rsidRPr="0030253A">
              <w:rPr>
                <w:b w:val="0"/>
                <w:bCs w:val="0"/>
                <w:noProof/>
                <w:webHidden/>
              </w:rPr>
            </w:r>
            <w:r w:rsidRPr="0030253A">
              <w:rPr>
                <w:b w:val="0"/>
                <w:bCs w:val="0"/>
                <w:noProof/>
                <w:webHidden/>
              </w:rPr>
              <w:fldChar w:fldCharType="separate"/>
            </w:r>
            <w:r w:rsidRPr="0030253A">
              <w:rPr>
                <w:b w:val="0"/>
                <w:bCs w:val="0"/>
                <w:noProof/>
                <w:webHidden/>
              </w:rPr>
              <w:t>18</w:t>
            </w:r>
            <w:r w:rsidRPr="0030253A">
              <w:rPr>
                <w:b w:val="0"/>
                <w:bCs w:val="0"/>
                <w:noProof/>
                <w:webHidden/>
              </w:rPr>
              <w:fldChar w:fldCharType="end"/>
            </w:r>
          </w:hyperlink>
        </w:p>
        <w:p w14:paraId="2511302E" w14:textId="7008F2C8" w:rsidR="0030253A" w:rsidRPr="0030253A" w:rsidRDefault="0030253A">
          <w:pPr>
            <w:pStyle w:val="TOC1"/>
            <w:tabs>
              <w:tab w:val="left" w:pos="440"/>
              <w:tab w:val="right" w:leader="dot" w:pos="9350"/>
            </w:tabs>
            <w:rPr>
              <w:rFonts w:eastAsiaTheme="minorEastAsia" w:cstheme="minorBidi"/>
              <w:b w:val="0"/>
              <w:bCs w:val="0"/>
              <w:i w:val="0"/>
              <w:iCs w:val="0"/>
              <w:noProof/>
              <w:lang w:eastAsia="en-CA"/>
            </w:rPr>
          </w:pPr>
          <w:hyperlink w:anchor="_Toc195604720" w:history="1">
            <w:r w:rsidRPr="0030253A">
              <w:rPr>
                <w:rStyle w:val="Hyperlink"/>
                <w:b w:val="0"/>
                <w:bCs w:val="0"/>
                <w:i w:val="0"/>
                <w:iCs w:val="0"/>
                <w:noProof/>
              </w:rPr>
              <w:t>9.</w:t>
            </w:r>
            <w:r w:rsidRPr="0030253A">
              <w:rPr>
                <w:rFonts w:eastAsiaTheme="minorEastAsia" w:cstheme="minorBidi"/>
                <w:b w:val="0"/>
                <w:bCs w:val="0"/>
                <w:i w:val="0"/>
                <w:iCs w:val="0"/>
                <w:noProof/>
                <w:lang w:eastAsia="en-CA"/>
              </w:rPr>
              <w:tab/>
            </w:r>
            <w:r w:rsidRPr="0030253A">
              <w:rPr>
                <w:rStyle w:val="Hyperlink"/>
                <w:b w:val="0"/>
                <w:bCs w:val="0"/>
                <w:i w:val="0"/>
                <w:iCs w:val="0"/>
                <w:noProof/>
              </w:rPr>
              <w:t>Conclusion</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_Toc195604720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19</w:t>
            </w:r>
            <w:r w:rsidRPr="0030253A">
              <w:rPr>
                <w:b w:val="0"/>
                <w:bCs w:val="0"/>
                <w:i w:val="0"/>
                <w:iCs w:val="0"/>
                <w:noProof/>
                <w:webHidden/>
              </w:rPr>
              <w:fldChar w:fldCharType="end"/>
            </w:r>
          </w:hyperlink>
        </w:p>
        <w:p w14:paraId="1F720C89" w14:textId="1BC5CDA9" w:rsidR="0030253A" w:rsidRPr="0030253A" w:rsidRDefault="0030253A">
          <w:pPr>
            <w:pStyle w:val="TOC1"/>
            <w:tabs>
              <w:tab w:val="left" w:pos="660"/>
              <w:tab w:val="right" w:leader="dot" w:pos="9350"/>
            </w:tabs>
            <w:rPr>
              <w:rFonts w:eastAsiaTheme="minorEastAsia" w:cstheme="minorBidi"/>
              <w:b w:val="0"/>
              <w:bCs w:val="0"/>
              <w:i w:val="0"/>
              <w:iCs w:val="0"/>
              <w:noProof/>
              <w:lang w:eastAsia="en-CA"/>
            </w:rPr>
          </w:pPr>
          <w:hyperlink w:anchor="_Toc195604721" w:history="1">
            <w:r w:rsidRPr="0030253A">
              <w:rPr>
                <w:rStyle w:val="Hyperlink"/>
                <w:b w:val="0"/>
                <w:bCs w:val="0"/>
                <w:i w:val="0"/>
                <w:iCs w:val="0"/>
                <w:noProof/>
                <w:lang w:eastAsia="en-CA"/>
              </w:rPr>
              <w:t>10.</w:t>
            </w:r>
            <w:r w:rsidRPr="0030253A">
              <w:rPr>
                <w:rFonts w:eastAsiaTheme="minorEastAsia" w:cstheme="minorBidi"/>
                <w:b w:val="0"/>
                <w:bCs w:val="0"/>
                <w:i w:val="0"/>
                <w:iCs w:val="0"/>
                <w:noProof/>
                <w:lang w:eastAsia="en-CA"/>
              </w:rPr>
              <w:tab/>
            </w:r>
            <w:r w:rsidRPr="0030253A">
              <w:rPr>
                <w:rStyle w:val="Hyperlink"/>
                <w:b w:val="0"/>
                <w:bCs w:val="0"/>
                <w:i w:val="0"/>
                <w:iCs w:val="0"/>
                <w:noProof/>
                <w:lang w:eastAsia="en-CA"/>
              </w:rPr>
              <w:t>Next Steps and Contacts</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_Toc195604721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20</w:t>
            </w:r>
            <w:r w:rsidRPr="0030253A">
              <w:rPr>
                <w:b w:val="0"/>
                <w:bCs w:val="0"/>
                <w:i w:val="0"/>
                <w:iCs w:val="0"/>
                <w:noProof/>
                <w:webHidden/>
              </w:rPr>
              <w:fldChar w:fldCharType="end"/>
            </w:r>
          </w:hyperlink>
        </w:p>
        <w:p w14:paraId="7557A39B" w14:textId="58DB13A6" w:rsidR="0030253A" w:rsidRPr="0030253A" w:rsidRDefault="0030253A">
          <w:pPr>
            <w:pStyle w:val="TOC1"/>
            <w:tabs>
              <w:tab w:val="right" w:leader="dot" w:pos="9350"/>
            </w:tabs>
            <w:rPr>
              <w:rFonts w:eastAsiaTheme="minorEastAsia" w:cstheme="minorBidi"/>
              <w:b w:val="0"/>
              <w:bCs w:val="0"/>
              <w:i w:val="0"/>
              <w:iCs w:val="0"/>
              <w:noProof/>
              <w:lang w:eastAsia="en-CA"/>
            </w:rPr>
          </w:pPr>
          <w:hyperlink w:anchor="_Toc195604722" w:history="1">
            <w:r w:rsidRPr="0030253A">
              <w:rPr>
                <w:rStyle w:val="Hyperlink"/>
                <w:b w:val="0"/>
                <w:bCs w:val="0"/>
                <w:i w:val="0"/>
                <w:iCs w:val="0"/>
                <w:noProof/>
                <w:lang w:eastAsia="en-CA"/>
              </w:rPr>
              <w:t>Appendix A – Consolidated Consultation Questions</w:t>
            </w:r>
            <w:r w:rsidRPr="0030253A">
              <w:rPr>
                <w:b w:val="0"/>
                <w:bCs w:val="0"/>
                <w:i w:val="0"/>
                <w:iCs w:val="0"/>
                <w:noProof/>
                <w:webHidden/>
              </w:rPr>
              <w:tab/>
            </w:r>
            <w:r w:rsidRPr="0030253A">
              <w:rPr>
                <w:b w:val="0"/>
                <w:bCs w:val="0"/>
                <w:i w:val="0"/>
                <w:iCs w:val="0"/>
                <w:noProof/>
                <w:webHidden/>
              </w:rPr>
              <w:fldChar w:fldCharType="begin"/>
            </w:r>
            <w:r w:rsidRPr="0030253A">
              <w:rPr>
                <w:b w:val="0"/>
                <w:bCs w:val="0"/>
                <w:i w:val="0"/>
                <w:iCs w:val="0"/>
                <w:noProof/>
                <w:webHidden/>
              </w:rPr>
              <w:instrText xml:space="preserve"> PAGEREF _Toc195604722 \h </w:instrText>
            </w:r>
            <w:r w:rsidRPr="0030253A">
              <w:rPr>
                <w:b w:val="0"/>
                <w:bCs w:val="0"/>
                <w:i w:val="0"/>
                <w:iCs w:val="0"/>
                <w:noProof/>
                <w:webHidden/>
              </w:rPr>
            </w:r>
            <w:r w:rsidRPr="0030253A">
              <w:rPr>
                <w:b w:val="0"/>
                <w:bCs w:val="0"/>
                <w:i w:val="0"/>
                <w:iCs w:val="0"/>
                <w:noProof/>
                <w:webHidden/>
              </w:rPr>
              <w:fldChar w:fldCharType="separate"/>
            </w:r>
            <w:r w:rsidRPr="0030253A">
              <w:rPr>
                <w:b w:val="0"/>
                <w:bCs w:val="0"/>
                <w:i w:val="0"/>
                <w:iCs w:val="0"/>
                <w:noProof/>
                <w:webHidden/>
              </w:rPr>
              <w:t>21</w:t>
            </w:r>
            <w:r w:rsidRPr="0030253A">
              <w:rPr>
                <w:b w:val="0"/>
                <w:bCs w:val="0"/>
                <w:i w:val="0"/>
                <w:iCs w:val="0"/>
                <w:noProof/>
                <w:webHidden/>
              </w:rPr>
              <w:fldChar w:fldCharType="end"/>
            </w:r>
          </w:hyperlink>
        </w:p>
        <w:p w14:paraId="3E2C6838" w14:textId="70498351"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3" w:history="1">
            <w:r w:rsidRPr="0030253A">
              <w:rPr>
                <w:rStyle w:val="Hyperlink"/>
                <w:rFonts w:eastAsia="Aptos"/>
                <w:b w:val="0"/>
                <w:bCs w:val="0"/>
                <w:noProof/>
                <w:lang w:val="en-US"/>
              </w:rPr>
              <w:t>1.</w:t>
            </w:r>
            <w:r w:rsidRPr="0030253A">
              <w:rPr>
                <w:rFonts w:eastAsiaTheme="minorEastAsia" w:cstheme="minorBidi"/>
                <w:b w:val="0"/>
                <w:bCs w:val="0"/>
                <w:noProof/>
                <w:sz w:val="24"/>
                <w:szCs w:val="24"/>
                <w:lang w:eastAsia="en-CA"/>
              </w:rPr>
              <w:tab/>
            </w:r>
            <w:r w:rsidRPr="0030253A">
              <w:rPr>
                <w:rStyle w:val="Hyperlink"/>
                <w:rFonts w:eastAsia="Aptos"/>
                <w:b w:val="0"/>
                <w:bCs w:val="0"/>
                <w:noProof/>
                <w:lang w:val="en-US"/>
              </w:rPr>
              <w:t>Provincial Standards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_Toc195604723 \h </w:instrText>
            </w:r>
            <w:r w:rsidRPr="0030253A">
              <w:rPr>
                <w:b w:val="0"/>
                <w:bCs w:val="0"/>
                <w:noProof/>
                <w:webHidden/>
              </w:rPr>
            </w:r>
            <w:r w:rsidRPr="0030253A">
              <w:rPr>
                <w:b w:val="0"/>
                <w:bCs w:val="0"/>
                <w:noProof/>
                <w:webHidden/>
              </w:rPr>
              <w:fldChar w:fldCharType="separate"/>
            </w:r>
            <w:r w:rsidRPr="0030253A">
              <w:rPr>
                <w:b w:val="0"/>
                <w:bCs w:val="0"/>
                <w:noProof/>
                <w:webHidden/>
              </w:rPr>
              <w:t>21</w:t>
            </w:r>
            <w:r w:rsidRPr="0030253A">
              <w:rPr>
                <w:b w:val="0"/>
                <w:bCs w:val="0"/>
                <w:noProof/>
                <w:webHidden/>
              </w:rPr>
              <w:fldChar w:fldCharType="end"/>
            </w:r>
          </w:hyperlink>
        </w:p>
        <w:p w14:paraId="48A7105F" w14:textId="18B98A0F"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4" w:history="1">
            <w:r w:rsidRPr="0030253A">
              <w:rPr>
                <w:rStyle w:val="Hyperlink"/>
                <w:rFonts w:eastAsia="Aptos"/>
                <w:b w:val="0"/>
                <w:bCs w:val="0"/>
                <w:noProof/>
                <w:lang w:val="en-US"/>
              </w:rPr>
              <w:t>2.</w:t>
            </w:r>
            <w:r w:rsidRPr="0030253A">
              <w:rPr>
                <w:rFonts w:eastAsiaTheme="minorEastAsia" w:cstheme="minorBidi"/>
                <w:b w:val="0"/>
                <w:bCs w:val="0"/>
                <w:noProof/>
                <w:sz w:val="24"/>
                <w:szCs w:val="24"/>
                <w:lang w:eastAsia="en-CA"/>
              </w:rPr>
              <w:tab/>
            </w:r>
            <w:r w:rsidRPr="0030253A">
              <w:rPr>
                <w:rStyle w:val="Hyperlink"/>
                <w:rFonts w:eastAsia="Aptos"/>
                <w:b w:val="0"/>
                <w:bCs w:val="0"/>
                <w:noProof/>
                <w:lang w:val="en-US"/>
              </w:rPr>
              <w:t>Prohibited Uses and Risk Criteria</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_Toc195604724 \h </w:instrText>
            </w:r>
            <w:r w:rsidRPr="0030253A">
              <w:rPr>
                <w:b w:val="0"/>
                <w:bCs w:val="0"/>
                <w:noProof/>
                <w:webHidden/>
              </w:rPr>
            </w:r>
            <w:r w:rsidRPr="0030253A">
              <w:rPr>
                <w:b w:val="0"/>
                <w:bCs w:val="0"/>
                <w:noProof/>
                <w:webHidden/>
              </w:rPr>
              <w:fldChar w:fldCharType="separate"/>
            </w:r>
            <w:r w:rsidRPr="0030253A">
              <w:rPr>
                <w:b w:val="0"/>
                <w:bCs w:val="0"/>
                <w:noProof/>
                <w:webHidden/>
              </w:rPr>
              <w:t>21</w:t>
            </w:r>
            <w:r w:rsidRPr="0030253A">
              <w:rPr>
                <w:b w:val="0"/>
                <w:bCs w:val="0"/>
                <w:noProof/>
                <w:webHidden/>
              </w:rPr>
              <w:fldChar w:fldCharType="end"/>
            </w:r>
          </w:hyperlink>
        </w:p>
        <w:p w14:paraId="4C2BF928" w14:textId="50C53E74"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5" w:history="1">
            <w:r w:rsidRPr="0030253A">
              <w:rPr>
                <w:rStyle w:val="Hyperlink"/>
                <w:b w:val="0"/>
                <w:bCs w:val="0"/>
                <w:noProof/>
              </w:rPr>
              <w:t>3.</w:t>
            </w:r>
            <w:r w:rsidRPr="0030253A">
              <w:rPr>
                <w:rFonts w:eastAsiaTheme="minorEastAsia" w:cstheme="minorBidi"/>
                <w:b w:val="0"/>
                <w:bCs w:val="0"/>
                <w:noProof/>
                <w:sz w:val="24"/>
                <w:szCs w:val="24"/>
                <w:lang w:eastAsia="en-CA"/>
              </w:rPr>
              <w:tab/>
            </w:r>
            <w:r w:rsidRPr="0030253A">
              <w:rPr>
                <w:rStyle w:val="Hyperlink"/>
                <w:b w:val="0"/>
                <w:bCs w:val="0"/>
                <w:noProof/>
              </w:rPr>
              <w:t>Bias, Privacy and Procedural Fairness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_Toc195604725 \h </w:instrText>
            </w:r>
            <w:r w:rsidRPr="0030253A">
              <w:rPr>
                <w:b w:val="0"/>
                <w:bCs w:val="0"/>
                <w:noProof/>
                <w:webHidden/>
              </w:rPr>
            </w:r>
            <w:r w:rsidRPr="0030253A">
              <w:rPr>
                <w:b w:val="0"/>
                <w:bCs w:val="0"/>
                <w:noProof/>
                <w:webHidden/>
              </w:rPr>
              <w:fldChar w:fldCharType="separate"/>
            </w:r>
            <w:r w:rsidRPr="0030253A">
              <w:rPr>
                <w:b w:val="0"/>
                <w:bCs w:val="0"/>
                <w:noProof/>
                <w:webHidden/>
              </w:rPr>
              <w:t>21</w:t>
            </w:r>
            <w:r w:rsidRPr="0030253A">
              <w:rPr>
                <w:b w:val="0"/>
                <w:bCs w:val="0"/>
                <w:noProof/>
                <w:webHidden/>
              </w:rPr>
              <w:fldChar w:fldCharType="end"/>
            </w:r>
          </w:hyperlink>
        </w:p>
        <w:p w14:paraId="4E025BE8" w14:textId="664C159C"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6" w:history="1">
            <w:r w:rsidRPr="0030253A">
              <w:rPr>
                <w:rStyle w:val="Hyperlink"/>
                <w:rFonts w:eastAsia="Aptos"/>
                <w:b w:val="0"/>
                <w:bCs w:val="0"/>
                <w:noProof/>
                <w:lang w:val="en-US"/>
              </w:rPr>
              <w:t>4.</w:t>
            </w:r>
            <w:r w:rsidRPr="0030253A">
              <w:rPr>
                <w:rFonts w:eastAsiaTheme="minorEastAsia" w:cstheme="minorBidi"/>
                <w:b w:val="0"/>
                <w:bCs w:val="0"/>
                <w:noProof/>
                <w:sz w:val="24"/>
                <w:szCs w:val="24"/>
                <w:lang w:eastAsia="en-CA"/>
              </w:rPr>
              <w:tab/>
            </w:r>
            <w:r w:rsidRPr="0030253A">
              <w:rPr>
                <w:rStyle w:val="Hyperlink"/>
                <w:rFonts w:eastAsia="Aptos"/>
                <w:b w:val="0"/>
                <w:bCs w:val="0"/>
                <w:noProof/>
                <w:lang w:val="en-US"/>
              </w:rPr>
              <w:t>Disclosure</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_Toc195604726 \h </w:instrText>
            </w:r>
            <w:r w:rsidRPr="0030253A">
              <w:rPr>
                <w:b w:val="0"/>
                <w:bCs w:val="0"/>
                <w:noProof/>
                <w:webHidden/>
              </w:rPr>
            </w:r>
            <w:r w:rsidRPr="0030253A">
              <w:rPr>
                <w:b w:val="0"/>
                <w:bCs w:val="0"/>
                <w:noProof/>
                <w:webHidden/>
              </w:rPr>
              <w:fldChar w:fldCharType="separate"/>
            </w:r>
            <w:r w:rsidRPr="0030253A">
              <w:rPr>
                <w:b w:val="0"/>
                <w:bCs w:val="0"/>
                <w:noProof/>
                <w:webHidden/>
              </w:rPr>
              <w:t>22</w:t>
            </w:r>
            <w:r w:rsidRPr="0030253A">
              <w:rPr>
                <w:b w:val="0"/>
                <w:bCs w:val="0"/>
                <w:noProof/>
                <w:webHidden/>
              </w:rPr>
              <w:fldChar w:fldCharType="end"/>
            </w:r>
          </w:hyperlink>
        </w:p>
        <w:p w14:paraId="4B8CAE18" w14:textId="34A17057"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7" w:history="1">
            <w:r w:rsidRPr="0030253A">
              <w:rPr>
                <w:rStyle w:val="Hyperlink"/>
                <w:b w:val="0"/>
                <w:bCs w:val="0"/>
                <w:noProof/>
              </w:rPr>
              <w:t>5.</w:t>
            </w:r>
            <w:r w:rsidRPr="0030253A">
              <w:rPr>
                <w:rFonts w:eastAsiaTheme="minorEastAsia" w:cstheme="minorBidi"/>
                <w:b w:val="0"/>
                <w:bCs w:val="0"/>
                <w:noProof/>
                <w:sz w:val="24"/>
                <w:szCs w:val="24"/>
                <w:lang w:eastAsia="en-CA"/>
              </w:rPr>
              <w:tab/>
            </w:r>
            <w:r w:rsidRPr="0030253A">
              <w:rPr>
                <w:rStyle w:val="Hyperlink"/>
                <w:b w:val="0"/>
                <w:bCs w:val="0"/>
                <w:noProof/>
              </w:rPr>
              <w:t>Impact Assessments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_Toc195604727 \h </w:instrText>
            </w:r>
            <w:r w:rsidRPr="0030253A">
              <w:rPr>
                <w:b w:val="0"/>
                <w:bCs w:val="0"/>
                <w:noProof/>
                <w:webHidden/>
              </w:rPr>
            </w:r>
            <w:r w:rsidRPr="0030253A">
              <w:rPr>
                <w:b w:val="0"/>
                <w:bCs w:val="0"/>
                <w:noProof/>
                <w:webHidden/>
              </w:rPr>
              <w:fldChar w:fldCharType="separate"/>
            </w:r>
            <w:r w:rsidRPr="0030253A">
              <w:rPr>
                <w:b w:val="0"/>
                <w:bCs w:val="0"/>
                <w:noProof/>
                <w:webHidden/>
              </w:rPr>
              <w:t>22</w:t>
            </w:r>
            <w:r w:rsidRPr="0030253A">
              <w:rPr>
                <w:b w:val="0"/>
                <w:bCs w:val="0"/>
                <w:noProof/>
                <w:webHidden/>
              </w:rPr>
              <w:fldChar w:fldCharType="end"/>
            </w:r>
          </w:hyperlink>
        </w:p>
        <w:p w14:paraId="6EFFAE40" w14:textId="1E81B788"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8" w:history="1">
            <w:r w:rsidRPr="0030253A">
              <w:rPr>
                <w:rStyle w:val="Hyperlink"/>
                <w:b w:val="0"/>
                <w:bCs w:val="0"/>
                <w:noProof/>
                <w:lang w:val="en-US"/>
              </w:rPr>
              <w:t>6.</w:t>
            </w:r>
            <w:r w:rsidRPr="0030253A">
              <w:rPr>
                <w:rFonts w:eastAsiaTheme="minorEastAsia" w:cstheme="minorBidi"/>
                <w:b w:val="0"/>
                <w:bCs w:val="0"/>
                <w:noProof/>
                <w:sz w:val="24"/>
                <w:szCs w:val="24"/>
                <w:lang w:eastAsia="en-CA"/>
              </w:rPr>
              <w:tab/>
            </w:r>
            <w:r w:rsidRPr="0030253A">
              <w:rPr>
                <w:rStyle w:val="Hyperlink"/>
                <w:b w:val="0"/>
                <w:bCs w:val="0"/>
                <w:noProof/>
              </w:rPr>
              <w:t>Bail</w:t>
            </w:r>
            <w:r w:rsidRPr="0030253A">
              <w:rPr>
                <w:rStyle w:val="Hyperlink"/>
                <w:b w:val="0"/>
                <w:bCs w:val="0"/>
                <w:noProof/>
                <w:lang w:val="en-US"/>
              </w:rPr>
              <w:t xml:space="preserve"> and Sentencing Risk Assessments</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_Toc195604728 \h </w:instrText>
            </w:r>
            <w:r w:rsidRPr="0030253A">
              <w:rPr>
                <w:b w:val="0"/>
                <w:bCs w:val="0"/>
                <w:noProof/>
                <w:webHidden/>
              </w:rPr>
            </w:r>
            <w:r w:rsidRPr="0030253A">
              <w:rPr>
                <w:b w:val="0"/>
                <w:bCs w:val="0"/>
                <w:noProof/>
                <w:webHidden/>
              </w:rPr>
              <w:fldChar w:fldCharType="separate"/>
            </w:r>
            <w:r w:rsidRPr="0030253A">
              <w:rPr>
                <w:b w:val="0"/>
                <w:bCs w:val="0"/>
                <w:noProof/>
                <w:webHidden/>
              </w:rPr>
              <w:t>23</w:t>
            </w:r>
            <w:r w:rsidRPr="0030253A">
              <w:rPr>
                <w:b w:val="0"/>
                <w:bCs w:val="0"/>
                <w:noProof/>
                <w:webHidden/>
              </w:rPr>
              <w:fldChar w:fldCharType="end"/>
            </w:r>
          </w:hyperlink>
        </w:p>
        <w:p w14:paraId="61CCBDCA" w14:textId="302F85B5"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29" w:history="1">
            <w:r w:rsidRPr="0030253A">
              <w:rPr>
                <w:rStyle w:val="Hyperlink"/>
                <w:b w:val="0"/>
                <w:bCs w:val="0"/>
                <w:noProof/>
                <w:lang w:val="en-US"/>
              </w:rPr>
              <w:t>7.</w:t>
            </w:r>
            <w:r w:rsidRPr="0030253A">
              <w:rPr>
                <w:rFonts w:eastAsiaTheme="minorEastAsia" w:cstheme="minorBidi"/>
                <w:b w:val="0"/>
                <w:bCs w:val="0"/>
                <w:noProof/>
                <w:sz w:val="24"/>
                <w:szCs w:val="24"/>
                <w:lang w:eastAsia="en-CA"/>
              </w:rPr>
              <w:tab/>
            </w:r>
            <w:r w:rsidRPr="0030253A">
              <w:rPr>
                <w:rStyle w:val="Hyperlink"/>
                <w:b w:val="0"/>
                <w:bCs w:val="0"/>
                <w:noProof/>
                <w:lang w:val="en-US"/>
              </w:rPr>
              <w:t>AI Litigation</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_Toc195604729 \h </w:instrText>
            </w:r>
            <w:r w:rsidRPr="0030253A">
              <w:rPr>
                <w:b w:val="0"/>
                <w:bCs w:val="0"/>
                <w:noProof/>
                <w:webHidden/>
              </w:rPr>
            </w:r>
            <w:r w:rsidRPr="0030253A">
              <w:rPr>
                <w:b w:val="0"/>
                <w:bCs w:val="0"/>
                <w:noProof/>
                <w:webHidden/>
              </w:rPr>
              <w:fldChar w:fldCharType="separate"/>
            </w:r>
            <w:r w:rsidRPr="0030253A">
              <w:rPr>
                <w:b w:val="0"/>
                <w:bCs w:val="0"/>
                <w:noProof/>
                <w:webHidden/>
              </w:rPr>
              <w:t>23</w:t>
            </w:r>
            <w:r w:rsidRPr="0030253A">
              <w:rPr>
                <w:b w:val="0"/>
                <w:bCs w:val="0"/>
                <w:noProof/>
                <w:webHidden/>
              </w:rPr>
              <w:fldChar w:fldCharType="end"/>
            </w:r>
          </w:hyperlink>
        </w:p>
        <w:p w14:paraId="0699E7FF" w14:textId="78965078"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30" w:history="1">
            <w:r w:rsidRPr="0030253A">
              <w:rPr>
                <w:rStyle w:val="Hyperlink"/>
                <w:rFonts w:eastAsia="Aptos"/>
                <w:b w:val="0"/>
                <w:bCs w:val="0"/>
                <w:noProof/>
                <w:lang w:val="en-US"/>
              </w:rPr>
              <w:t>8.</w:t>
            </w:r>
            <w:r w:rsidRPr="0030253A">
              <w:rPr>
                <w:rFonts w:eastAsiaTheme="minorEastAsia" w:cstheme="minorBidi"/>
                <w:b w:val="0"/>
                <w:bCs w:val="0"/>
                <w:noProof/>
                <w:sz w:val="24"/>
                <w:szCs w:val="24"/>
                <w:lang w:eastAsia="en-CA"/>
              </w:rPr>
              <w:tab/>
            </w:r>
            <w:r w:rsidRPr="0030253A">
              <w:rPr>
                <w:rStyle w:val="Hyperlink"/>
                <w:rFonts w:eastAsia="Aptos"/>
                <w:b w:val="0"/>
                <w:bCs w:val="0"/>
                <w:noProof/>
                <w:lang w:val="en-US"/>
              </w:rPr>
              <w:t>Public Engagement</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_Toc195604730 \h </w:instrText>
            </w:r>
            <w:r w:rsidRPr="0030253A">
              <w:rPr>
                <w:b w:val="0"/>
                <w:bCs w:val="0"/>
                <w:noProof/>
                <w:webHidden/>
              </w:rPr>
            </w:r>
            <w:r w:rsidRPr="0030253A">
              <w:rPr>
                <w:b w:val="0"/>
                <w:bCs w:val="0"/>
                <w:noProof/>
                <w:webHidden/>
              </w:rPr>
              <w:fldChar w:fldCharType="separate"/>
            </w:r>
            <w:r w:rsidRPr="0030253A">
              <w:rPr>
                <w:b w:val="0"/>
                <w:bCs w:val="0"/>
                <w:noProof/>
                <w:webHidden/>
              </w:rPr>
              <w:t>24</w:t>
            </w:r>
            <w:r w:rsidRPr="0030253A">
              <w:rPr>
                <w:b w:val="0"/>
                <w:bCs w:val="0"/>
                <w:noProof/>
                <w:webHidden/>
              </w:rPr>
              <w:fldChar w:fldCharType="end"/>
            </w:r>
          </w:hyperlink>
        </w:p>
        <w:p w14:paraId="5965CD8B" w14:textId="15D96A32" w:rsidR="0030253A" w:rsidRPr="0030253A" w:rsidRDefault="0030253A">
          <w:pPr>
            <w:pStyle w:val="TOC2"/>
            <w:tabs>
              <w:tab w:val="left" w:pos="660"/>
              <w:tab w:val="right" w:leader="dot" w:pos="9350"/>
            </w:tabs>
            <w:rPr>
              <w:rFonts w:eastAsiaTheme="minorEastAsia" w:cstheme="minorBidi"/>
              <w:b w:val="0"/>
              <w:bCs w:val="0"/>
              <w:noProof/>
              <w:sz w:val="24"/>
              <w:szCs w:val="24"/>
              <w:lang w:eastAsia="en-CA"/>
            </w:rPr>
          </w:pPr>
          <w:hyperlink w:anchor="_Toc195604731" w:history="1">
            <w:r w:rsidRPr="0030253A">
              <w:rPr>
                <w:rStyle w:val="Hyperlink"/>
                <w:rFonts w:eastAsia="Aptos"/>
                <w:b w:val="0"/>
                <w:bCs w:val="0"/>
                <w:noProof/>
                <w:lang w:val="en-US"/>
              </w:rPr>
              <w:t>9.</w:t>
            </w:r>
            <w:r w:rsidRPr="0030253A">
              <w:rPr>
                <w:rFonts w:eastAsiaTheme="minorEastAsia" w:cstheme="minorBidi"/>
                <w:b w:val="0"/>
                <w:bCs w:val="0"/>
                <w:noProof/>
                <w:sz w:val="24"/>
                <w:szCs w:val="24"/>
                <w:lang w:eastAsia="en-CA"/>
              </w:rPr>
              <w:tab/>
            </w:r>
            <w:r w:rsidRPr="0030253A">
              <w:rPr>
                <w:rStyle w:val="Hyperlink"/>
                <w:rFonts w:eastAsia="Aptos"/>
                <w:b w:val="0"/>
                <w:bCs w:val="0"/>
                <w:noProof/>
                <w:lang w:val="en-US"/>
              </w:rPr>
              <w:t>Access to Justice</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_Toc195604731 \h </w:instrText>
            </w:r>
            <w:r w:rsidRPr="0030253A">
              <w:rPr>
                <w:b w:val="0"/>
                <w:bCs w:val="0"/>
                <w:noProof/>
                <w:webHidden/>
              </w:rPr>
            </w:r>
            <w:r w:rsidRPr="0030253A">
              <w:rPr>
                <w:b w:val="0"/>
                <w:bCs w:val="0"/>
                <w:noProof/>
                <w:webHidden/>
              </w:rPr>
              <w:fldChar w:fldCharType="separate"/>
            </w:r>
            <w:r w:rsidRPr="0030253A">
              <w:rPr>
                <w:b w:val="0"/>
                <w:bCs w:val="0"/>
                <w:noProof/>
                <w:webHidden/>
              </w:rPr>
              <w:t>24</w:t>
            </w:r>
            <w:r w:rsidRPr="0030253A">
              <w:rPr>
                <w:b w:val="0"/>
                <w:bCs w:val="0"/>
                <w:noProof/>
                <w:webHidden/>
              </w:rPr>
              <w:fldChar w:fldCharType="end"/>
            </w:r>
          </w:hyperlink>
        </w:p>
        <w:p w14:paraId="318B3845" w14:textId="135EF708" w:rsidR="0030253A" w:rsidRPr="0030253A" w:rsidRDefault="0030253A">
          <w:pPr>
            <w:pStyle w:val="TOC2"/>
            <w:tabs>
              <w:tab w:val="left" w:pos="880"/>
              <w:tab w:val="right" w:leader="dot" w:pos="9350"/>
            </w:tabs>
            <w:rPr>
              <w:rFonts w:eastAsiaTheme="minorEastAsia" w:cstheme="minorBidi"/>
              <w:b w:val="0"/>
              <w:bCs w:val="0"/>
              <w:noProof/>
              <w:sz w:val="24"/>
              <w:szCs w:val="24"/>
              <w:lang w:eastAsia="en-CA"/>
            </w:rPr>
          </w:pPr>
          <w:hyperlink w:anchor="_Toc195604732" w:history="1">
            <w:r w:rsidRPr="0030253A">
              <w:rPr>
                <w:rStyle w:val="Hyperlink"/>
                <w:rFonts w:eastAsia="Aptos"/>
                <w:b w:val="0"/>
                <w:bCs w:val="0"/>
                <w:noProof/>
                <w:lang w:val="en-US"/>
              </w:rPr>
              <w:t>10.</w:t>
            </w:r>
            <w:r w:rsidRPr="0030253A">
              <w:rPr>
                <w:rFonts w:eastAsiaTheme="minorEastAsia" w:cstheme="minorBidi"/>
                <w:b w:val="0"/>
                <w:bCs w:val="0"/>
                <w:noProof/>
                <w:sz w:val="24"/>
                <w:szCs w:val="24"/>
                <w:lang w:eastAsia="en-CA"/>
              </w:rPr>
              <w:tab/>
            </w:r>
            <w:r w:rsidRPr="0030253A">
              <w:rPr>
                <w:rStyle w:val="Hyperlink"/>
                <w:rFonts w:eastAsia="Aptos"/>
                <w:b w:val="0"/>
                <w:bCs w:val="0"/>
                <w:noProof/>
                <w:lang w:val="en-US"/>
              </w:rPr>
              <w:t>Institutional Capacity</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_Toc195604732 \h </w:instrText>
            </w:r>
            <w:r w:rsidRPr="0030253A">
              <w:rPr>
                <w:b w:val="0"/>
                <w:bCs w:val="0"/>
                <w:noProof/>
                <w:webHidden/>
              </w:rPr>
            </w:r>
            <w:r w:rsidRPr="0030253A">
              <w:rPr>
                <w:b w:val="0"/>
                <w:bCs w:val="0"/>
                <w:noProof/>
                <w:webHidden/>
              </w:rPr>
              <w:fldChar w:fldCharType="separate"/>
            </w:r>
            <w:r w:rsidRPr="0030253A">
              <w:rPr>
                <w:b w:val="0"/>
                <w:bCs w:val="0"/>
                <w:noProof/>
                <w:webHidden/>
              </w:rPr>
              <w:t>24</w:t>
            </w:r>
            <w:r w:rsidRPr="0030253A">
              <w:rPr>
                <w:b w:val="0"/>
                <w:bCs w:val="0"/>
                <w:noProof/>
                <w:webHidden/>
              </w:rPr>
              <w:fldChar w:fldCharType="end"/>
            </w:r>
          </w:hyperlink>
        </w:p>
        <w:p w14:paraId="44FA82B0" w14:textId="48BF9BA6" w:rsidR="0030253A" w:rsidRPr="0030253A" w:rsidRDefault="0030253A">
          <w:pPr>
            <w:pStyle w:val="TOC2"/>
            <w:tabs>
              <w:tab w:val="left" w:pos="880"/>
              <w:tab w:val="right" w:leader="dot" w:pos="9350"/>
            </w:tabs>
            <w:rPr>
              <w:rFonts w:eastAsiaTheme="minorEastAsia" w:cstheme="minorBidi"/>
              <w:b w:val="0"/>
              <w:bCs w:val="0"/>
              <w:noProof/>
              <w:sz w:val="24"/>
              <w:szCs w:val="24"/>
              <w:lang w:eastAsia="en-CA"/>
            </w:rPr>
          </w:pPr>
          <w:hyperlink w:anchor="_Toc195604733" w:history="1">
            <w:r w:rsidRPr="0030253A">
              <w:rPr>
                <w:rStyle w:val="Hyperlink"/>
                <w:rFonts w:eastAsia="Aptos"/>
                <w:b w:val="0"/>
                <w:bCs w:val="0"/>
                <w:noProof/>
              </w:rPr>
              <w:t>11.</w:t>
            </w:r>
            <w:r w:rsidRPr="0030253A">
              <w:rPr>
                <w:rFonts w:eastAsiaTheme="minorEastAsia" w:cstheme="minorBidi"/>
                <w:b w:val="0"/>
                <w:bCs w:val="0"/>
                <w:noProof/>
                <w:sz w:val="24"/>
                <w:szCs w:val="24"/>
                <w:lang w:eastAsia="en-CA"/>
              </w:rPr>
              <w:tab/>
            </w:r>
            <w:r w:rsidRPr="0030253A">
              <w:rPr>
                <w:rStyle w:val="Hyperlink"/>
                <w:rFonts w:eastAsia="Aptos"/>
                <w:b w:val="0"/>
                <w:bCs w:val="0"/>
                <w:noProof/>
              </w:rPr>
              <w:t>Systemic Oversight</w:t>
            </w:r>
            <w:r w:rsidRPr="0030253A">
              <w:rPr>
                <w:b w:val="0"/>
                <w:bCs w:val="0"/>
                <w:noProof/>
                <w:webHidden/>
              </w:rPr>
              <w:tab/>
            </w:r>
            <w:r w:rsidRPr="0030253A">
              <w:rPr>
                <w:b w:val="0"/>
                <w:bCs w:val="0"/>
                <w:noProof/>
                <w:webHidden/>
              </w:rPr>
              <w:fldChar w:fldCharType="begin"/>
            </w:r>
            <w:r w:rsidRPr="0030253A">
              <w:rPr>
                <w:b w:val="0"/>
                <w:bCs w:val="0"/>
                <w:noProof/>
                <w:webHidden/>
              </w:rPr>
              <w:instrText xml:space="preserve"> PAGEREF _Toc195604733 \h </w:instrText>
            </w:r>
            <w:r w:rsidRPr="0030253A">
              <w:rPr>
                <w:b w:val="0"/>
                <w:bCs w:val="0"/>
                <w:noProof/>
                <w:webHidden/>
              </w:rPr>
            </w:r>
            <w:r w:rsidRPr="0030253A">
              <w:rPr>
                <w:b w:val="0"/>
                <w:bCs w:val="0"/>
                <w:noProof/>
                <w:webHidden/>
              </w:rPr>
              <w:fldChar w:fldCharType="separate"/>
            </w:r>
            <w:r w:rsidRPr="0030253A">
              <w:rPr>
                <w:b w:val="0"/>
                <w:bCs w:val="0"/>
                <w:noProof/>
                <w:webHidden/>
              </w:rPr>
              <w:t>24</w:t>
            </w:r>
            <w:r w:rsidRPr="0030253A">
              <w:rPr>
                <w:b w:val="0"/>
                <w:bCs w:val="0"/>
                <w:noProof/>
                <w:webHidden/>
              </w:rPr>
              <w:fldChar w:fldCharType="end"/>
            </w:r>
          </w:hyperlink>
        </w:p>
        <w:p w14:paraId="18F2103F" w14:textId="597468B0" w:rsidR="00BE16D0" w:rsidRDefault="00BE16D0">
          <w:r w:rsidRPr="0030253A">
            <w:rPr>
              <w:noProof/>
            </w:rPr>
            <w:fldChar w:fldCharType="end"/>
          </w:r>
        </w:p>
      </w:sdtContent>
    </w:sdt>
    <w:p w14:paraId="54D2B9D7" w14:textId="77777777" w:rsidR="00BE16D0" w:rsidRPr="00214AFA" w:rsidRDefault="00BE16D0" w:rsidP="003012E0">
      <w:pPr>
        <w:rPr>
          <w:rFonts w:ascii="Calibri" w:eastAsia="Calibri" w:hAnsi="Calibri" w:cs="Calibri"/>
          <w:lang w:eastAsia="en-CA"/>
        </w:rPr>
      </w:pPr>
    </w:p>
    <w:p w14:paraId="2A84BDE0" w14:textId="77777777" w:rsidR="003012E0" w:rsidRPr="00214AFA" w:rsidRDefault="003012E0" w:rsidP="003012E0">
      <w:pPr>
        <w:rPr>
          <w:rFonts w:ascii="Calibri" w:eastAsia="Calibri" w:hAnsi="Calibri" w:cs="Calibri"/>
          <w:lang w:eastAsia="en-CA"/>
        </w:rPr>
      </w:pPr>
    </w:p>
    <w:p w14:paraId="2101865D" w14:textId="6B91705F" w:rsidR="0072656B" w:rsidRPr="00182FE0" w:rsidRDefault="001E7EB0" w:rsidP="00965500">
      <w:pPr>
        <w:pStyle w:val="Heading1"/>
        <w:numPr>
          <w:ilvl w:val="0"/>
          <w:numId w:val="21"/>
        </w:numPr>
        <w:spacing w:before="0"/>
      </w:pPr>
      <w:bookmarkStart w:id="2" w:name="_Toc194406397"/>
      <w:bookmarkStart w:id="3" w:name="_Toc195604708"/>
      <w:r w:rsidRPr="00182FE0">
        <w:lastRenderedPageBreak/>
        <w:t>The LCO AI in Criminal Justice Project</w:t>
      </w:r>
      <w:bookmarkEnd w:id="2"/>
      <w:bookmarkEnd w:id="3"/>
      <w:r w:rsidRPr="00182FE0">
        <w:t xml:space="preserve"> </w:t>
      </w:r>
      <w:bookmarkEnd w:id="0"/>
      <w:bookmarkEnd w:id="1"/>
    </w:p>
    <w:p w14:paraId="2B3A396F" w14:textId="77777777" w:rsidR="00B06F10" w:rsidRDefault="00B06F10" w:rsidP="00B06F10">
      <w:pPr>
        <w:spacing w:after="0"/>
      </w:pPr>
    </w:p>
    <w:p w14:paraId="59671BD6" w14:textId="7D37D467" w:rsidR="006C16DC" w:rsidRDefault="004543C1" w:rsidP="006C16DC">
      <w:pPr>
        <w:spacing w:after="0"/>
      </w:pPr>
      <w:r w:rsidRPr="004543C1">
        <w:t>The Law Commission of Ontario</w:t>
      </w:r>
      <w:r w:rsidR="003315DA">
        <w:t>’s</w:t>
      </w:r>
      <w:r w:rsidRPr="004543C1">
        <w:t xml:space="preserve"> (LCO) </w:t>
      </w:r>
      <w:hyperlink r:id="rId25" w:history="1">
        <w:r w:rsidRPr="004543C1">
          <w:rPr>
            <w:rStyle w:val="Hyperlink"/>
          </w:rPr>
          <w:t>AI in Criminal Justice Project</w:t>
        </w:r>
      </w:hyperlink>
      <w:r w:rsidRPr="004543C1">
        <w:t xml:space="preserve"> is a </w:t>
      </w:r>
      <w:r w:rsidR="007C5240">
        <w:t xml:space="preserve">groundbreaking </w:t>
      </w:r>
      <w:r w:rsidRPr="004543C1">
        <w:t xml:space="preserve">survey and analysis </w:t>
      </w:r>
      <w:r w:rsidR="00E90131">
        <w:t xml:space="preserve">of </w:t>
      </w:r>
      <w:r w:rsidRPr="004543C1">
        <w:t>artificial intelligence (AI) in the Canadian criminal justice system.</w:t>
      </w:r>
      <w:r w:rsidR="00582C71">
        <w:t xml:space="preserve"> </w:t>
      </w:r>
    </w:p>
    <w:p w14:paraId="1B61F5FE" w14:textId="77777777" w:rsidR="006C16DC" w:rsidRDefault="006C16DC" w:rsidP="006C16DC">
      <w:pPr>
        <w:spacing w:after="0"/>
      </w:pPr>
    </w:p>
    <w:p w14:paraId="6D91F064" w14:textId="51A48E9D" w:rsidR="00E05BED" w:rsidRDefault="00F91AE4" w:rsidP="006C16DC">
      <w:pPr>
        <w:spacing w:after="0"/>
      </w:pPr>
      <w:r w:rsidRPr="00F91AE4">
        <w:t>Th</w:t>
      </w:r>
      <w:r w:rsidR="001E7EB0">
        <w:t xml:space="preserve">is project </w:t>
      </w:r>
      <w:r w:rsidRPr="00F91AE4">
        <w:t xml:space="preserve">is a unique collaboration of leading practitioners and experts from across </w:t>
      </w:r>
      <w:r w:rsidR="00E90131">
        <w:t>Canada</w:t>
      </w:r>
      <w:r w:rsidRPr="00F91AE4">
        <w:t xml:space="preserve">. </w:t>
      </w:r>
      <w:r w:rsidR="00E90131">
        <w:t>A</w:t>
      </w:r>
      <w:r w:rsidRPr="00F91AE4">
        <w:t xml:space="preserve">uthors and advisors include representatives from governments, police services, Crowns, defence </w:t>
      </w:r>
      <w:r w:rsidR="00E90131">
        <w:t xml:space="preserve">counsel, </w:t>
      </w:r>
      <w:r w:rsidRPr="00F91AE4">
        <w:t>courts, legal aid, human rights commissions, civil society organizations</w:t>
      </w:r>
      <w:r w:rsidR="00F128EE">
        <w:t xml:space="preserve"> </w:t>
      </w:r>
      <w:r w:rsidRPr="00F91AE4">
        <w:t>and academics.</w:t>
      </w:r>
    </w:p>
    <w:p w14:paraId="7EB5A3D7" w14:textId="77777777" w:rsidR="002F1814" w:rsidRDefault="002F1814" w:rsidP="00F128EE">
      <w:pPr>
        <w:spacing w:after="0"/>
      </w:pPr>
    </w:p>
    <w:p w14:paraId="08302660" w14:textId="544B7BC8" w:rsidR="00F128EE" w:rsidRDefault="00F128EE" w:rsidP="00F128EE">
      <w:pPr>
        <w:spacing w:after="0"/>
      </w:pPr>
      <w:r>
        <w:t xml:space="preserve">The project includes an Introduction and four project Issue Papers. Each Issue Paper </w:t>
      </w:r>
      <w:r w:rsidR="00CC7B0B">
        <w:t>c</w:t>
      </w:r>
      <w:r>
        <w:t>onsider</w:t>
      </w:r>
      <w:r w:rsidR="00577677">
        <w:t xml:space="preserve">s </w:t>
      </w:r>
      <w:r>
        <w:t>the use of AI in a distinct phase of the criminal justice process, including</w:t>
      </w:r>
      <w:r w:rsidRPr="00100C0C">
        <w:t>:</w:t>
      </w:r>
    </w:p>
    <w:p w14:paraId="3A3CF5E2" w14:textId="77777777" w:rsidR="00F128EE" w:rsidRPr="00BC45AA" w:rsidRDefault="00F128EE" w:rsidP="00F128EE">
      <w:pPr>
        <w:spacing w:after="0"/>
      </w:pPr>
    </w:p>
    <w:p w14:paraId="4FB1C41B" w14:textId="77777777" w:rsidR="00F128EE" w:rsidRPr="0049610A" w:rsidRDefault="00F128EE" w:rsidP="00F128EE">
      <w:pPr>
        <w:pStyle w:val="ListParagraph"/>
        <w:numPr>
          <w:ilvl w:val="0"/>
          <w:numId w:val="1"/>
        </w:numPr>
        <w:jc w:val="both"/>
        <w:rPr>
          <w:rFonts w:cstheme="minorHAnsi"/>
        </w:rPr>
      </w:pPr>
      <w:r w:rsidRPr="0049610A">
        <w:rPr>
          <w:rFonts w:cstheme="minorHAnsi"/>
        </w:rPr>
        <w:t>Use of AI by Law Enforcement.</w:t>
      </w:r>
    </w:p>
    <w:p w14:paraId="71BD13F3" w14:textId="77777777" w:rsidR="00F128EE" w:rsidRPr="0049610A" w:rsidRDefault="00F128EE" w:rsidP="00F128EE">
      <w:pPr>
        <w:pStyle w:val="ListParagraph"/>
        <w:numPr>
          <w:ilvl w:val="0"/>
          <w:numId w:val="1"/>
        </w:numPr>
        <w:jc w:val="both"/>
        <w:rPr>
          <w:rFonts w:cstheme="minorHAnsi"/>
        </w:rPr>
      </w:pPr>
      <w:r w:rsidRPr="0049610A">
        <w:rPr>
          <w:rFonts w:cstheme="minorHAnsi"/>
        </w:rPr>
        <w:t>AI and the Assessment of Risk in Bail, Sentencing, and Recidivism.</w:t>
      </w:r>
    </w:p>
    <w:p w14:paraId="7DB350CD" w14:textId="77777777" w:rsidR="00F128EE" w:rsidRPr="0049610A" w:rsidRDefault="00F128EE" w:rsidP="00F128EE">
      <w:pPr>
        <w:pStyle w:val="ListParagraph"/>
        <w:numPr>
          <w:ilvl w:val="0"/>
          <w:numId w:val="1"/>
        </w:numPr>
        <w:jc w:val="both"/>
        <w:rPr>
          <w:rFonts w:cstheme="minorHAnsi"/>
        </w:rPr>
      </w:pPr>
      <w:r w:rsidRPr="0049610A">
        <w:rPr>
          <w:rFonts w:cstheme="minorHAnsi"/>
        </w:rPr>
        <w:t>AI at Trial and on Appeal.</w:t>
      </w:r>
    </w:p>
    <w:p w14:paraId="632FCE84" w14:textId="77777777" w:rsidR="00F128EE" w:rsidRDefault="00F128EE" w:rsidP="00F128EE">
      <w:pPr>
        <w:pStyle w:val="ListParagraph"/>
        <w:numPr>
          <w:ilvl w:val="0"/>
          <w:numId w:val="1"/>
        </w:numPr>
        <w:jc w:val="both"/>
        <w:rPr>
          <w:rFonts w:cstheme="minorHAnsi"/>
          <w:i/>
          <w:iCs/>
        </w:rPr>
      </w:pPr>
      <w:r w:rsidRPr="0049610A">
        <w:rPr>
          <w:rFonts w:cstheme="minorHAnsi"/>
        </w:rPr>
        <w:t>AI and Systemic Oversight Mechanisms.</w:t>
      </w:r>
    </w:p>
    <w:p w14:paraId="29D70B81" w14:textId="1EC3422D" w:rsidR="00836A50" w:rsidRDefault="00836A50" w:rsidP="00836A50">
      <w:r w:rsidRPr="00B87705">
        <w:t xml:space="preserve">The </w:t>
      </w:r>
      <w:r>
        <w:t>p</w:t>
      </w:r>
      <w:r w:rsidRPr="00B87705">
        <w:t>roject is organized around four key themes or topics:</w:t>
      </w:r>
    </w:p>
    <w:p w14:paraId="39E11919" w14:textId="3E50035D" w:rsidR="00836A50" w:rsidRDefault="00836A50" w:rsidP="00836A50">
      <w:r>
        <w:t xml:space="preserve">First, the project considers important practical and legal questions </w:t>
      </w:r>
      <w:r w:rsidR="003900B1">
        <w:t>confronting</w:t>
      </w:r>
      <w:r>
        <w:t xml:space="preserve"> Canadian police, courts, policymakers, Crowns, defence counsel and criminal accused, including:</w:t>
      </w:r>
    </w:p>
    <w:p w14:paraId="0B8CA7A1" w14:textId="72B66E04" w:rsidR="00836A50" w:rsidRDefault="00836A50" w:rsidP="00965500">
      <w:pPr>
        <w:pStyle w:val="ListParagraph"/>
        <w:numPr>
          <w:ilvl w:val="0"/>
          <w:numId w:val="3"/>
        </w:numPr>
        <w:spacing w:before="100" w:beforeAutospacing="1" w:after="0"/>
        <w:contextualSpacing w:val="0"/>
      </w:pPr>
      <w:r>
        <w:t xml:space="preserve">What AI tools </w:t>
      </w:r>
      <w:r w:rsidR="003900B1">
        <w:t xml:space="preserve">are being used and </w:t>
      </w:r>
      <w:r>
        <w:t>could be used at each stage of Canadian criminal justice?</w:t>
      </w:r>
      <w:r w:rsidR="00BE6D0C">
        <w:t xml:space="preserve"> </w:t>
      </w:r>
    </w:p>
    <w:p w14:paraId="65D838D7" w14:textId="58EEAC66" w:rsidR="00E03202" w:rsidRDefault="00E03202" w:rsidP="00965500">
      <w:pPr>
        <w:pStyle w:val="ListParagraph"/>
        <w:numPr>
          <w:ilvl w:val="0"/>
          <w:numId w:val="3"/>
        </w:numPr>
        <w:spacing w:before="100" w:beforeAutospacing="1" w:after="0"/>
        <w:contextualSpacing w:val="0"/>
      </w:pPr>
      <w:r>
        <w:t>What are the benefits and risks of these technologies?</w:t>
      </w:r>
    </w:p>
    <w:p w14:paraId="2E079345" w14:textId="68CEE1A4" w:rsidR="00836A50" w:rsidRDefault="00836A50" w:rsidP="00965500">
      <w:pPr>
        <w:pStyle w:val="ListParagraph"/>
        <w:numPr>
          <w:ilvl w:val="0"/>
          <w:numId w:val="3"/>
        </w:numPr>
        <w:spacing w:before="100" w:beforeAutospacing="1" w:after="0"/>
        <w:contextualSpacing w:val="0"/>
      </w:pPr>
      <w:r>
        <w:t>What legal issues are likely to arise at each stage</w:t>
      </w:r>
      <w:r w:rsidR="00504034">
        <w:t xml:space="preserve">, particularly in relation to the </w:t>
      </w:r>
      <w:r w:rsidR="00504034" w:rsidRPr="00504034">
        <w:rPr>
          <w:i/>
          <w:iCs/>
        </w:rPr>
        <w:t>Charter of Rights and Freedoms</w:t>
      </w:r>
      <w:r w:rsidR="00504034">
        <w:t xml:space="preserve">, </w:t>
      </w:r>
      <w:r w:rsidR="00504034" w:rsidRPr="00504034">
        <w:t>procedural fairness, evidence law, and criminal common law?</w:t>
      </w:r>
    </w:p>
    <w:p w14:paraId="73A9985A" w14:textId="6DDE13BF" w:rsidR="00836A50" w:rsidRPr="00CC21C4" w:rsidRDefault="00504034" w:rsidP="00965500">
      <w:pPr>
        <w:pStyle w:val="ListParagraph"/>
        <w:numPr>
          <w:ilvl w:val="0"/>
          <w:numId w:val="3"/>
        </w:numPr>
        <w:spacing w:before="100" w:beforeAutospacing="1" w:after="0"/>
        <w:contextualSpacing w:val="0"/>
      </w:pPr>
      <w:r>
        <w:t>What is the state of Canadian law and procedures to address these issues, and what proactive steps might be identified and taken</w:t>
      </w:r>
      <w:r w:rsidR="004C0E9E">
        <w:t xml:space="preserve"> to align practices and standards systemically</w:t>
      </w:r>
      <w:r>
        <w:t>?</w:t>
      </w:r>
    </w:p>
    <w:p w14:paraId="0094C92F" w14:textId="77777777" w:rsidR="00E03202" w:rsidRDefault="00E03202" w:rsidP="00E03202">
      <w:pPr>
        <w:spacing w:after="0"/>
      </w:pPr>
    </w:p>
    <w:p w14:paraId="279291EE" w14:textId="1E9DE619" w:rsidR="00E90131" w:rsidRDefault="00836A50" w:rsidP="00E90131">
      <w:pPr>
        <w:spacing w:after="0"/>
      </w:pPr>
      <w:r>
        <w:t xml:space="preserve">Second, the project asks </w:t>
      </w:r>
      <w:r w:rsidRPr="00CC7B0B">
        <w:t>who</w:t>
      </w:r>
      <w:r>
        <w:t xml:space="preserve"> is likely to be affected by AI in the criminal justice system. </w:t>
      </w:r>
    </w:p>
    <w:p w14:paraId="7423A354" w14:textId="77777777" w:rsidR="00E90131" w:rsidRDefault="00E90131" w:rsidP="00E90131">
      <w:pPr>
        <w:spacing w:after="0"/>
      </w:pPr>
    </w:p>
    <w:p w14:paraId="4F50AE0A" w14:textId="59FE2F60" w:rsidR="00E90131" w:rsidRDefault="00836A50" w:rsidP="00E90131">
      <w:pPr>
        <w:spacing w:after="0"/>
      </w:pPr>
      <w:r>
        <w:t>Third, the project</w:t>
      </w:r>
      <w:r w:rsidR="00577677">
        <w:t xml:space="preserve"> surveys and analyzes recent international and Canadian </w:t>
      </w:r>
      <w:r w:rsidR="00E90131">
        <w:t>“</w:t>
      </w:r>
      <w:r w:rsidR="006E1D4C">
        <w:t xml:space="preserve">trustworthy criminal </w:t>
      </w:r>
      <w:r w:rsidR="00E90131">
        <w:t>AI”</w:t>
      </w:r>
      <w:r>
        <w:t xml:space="preserve"> </w:t>
      </w:r>
      <w:r w:rsidR="006E1D4C">
        <w:t>initiatives</w:t>
      </w:r>
      <w:r>
        <w:t>.</w:t>
      </w:r>
    </w:p>
    <w:p w14:paraId="3AD8356E" w14:textId="77777777" w:rsidR="00E90131" w:rsidRDefault="00E90131" w:rsidP="00E90131">
      <w:pPr>
        <w:spacing w:after="0"/>
      </w:pPr>
    </w:p>
    <w:p w14:paraId="0B1848FB" w14:textId="076C5B42" w:rsidR="00836A50" w:rsidRDefault="00836A50" w:rsidP="00E90131">
      <w:pPr>
        <w:spacing w:after="0"/>
      </w:pPr>
      <w:r>
        <w:t xml:space="preserve">Finally, the project tries to foreshadow or predict what </w:t>
      </w:r>
      <w:r w:rsidR="00F31A57">
        <w:t xml:space="preserve">could </w:t>
      </w:r>
      <w:r>
        <w:t xml:space="preserve">happen if action is not taken. </w:t>
      </w:r>
    </w:p>
    <w:p w14:paraId="2B9C3BEF" w14:textId="77777777" w:rsidR="00E90131" w:rsidRDefault="00E90131" w:rsidP="00B06F10">
      <w:pPr>
        <w:spacing w:after="0"/>
        <w:rPr>
          <w:rFonts w:eastAsia="Calibri" w:cstheme="minorHAnsi"/>
          <w:kern w:val="0"/>
          <w:lang w:eastAsia="en-CA"/>
          <w14:ligatures w14:val="none"/>
        </w:rPr>
      </w:pPr>
    </w:p>
    <w:p w14:paraId="5E15687A" w14:textId="23720D4A" w:rsidR="00CC7B0B" w:rsidRDefault="00324EA4" w:rsidP="00504034">
      <w:pPr>
        <w:spacing w:after="0"/>
        <w:rPr>
          <w:rFonts w:eastAsia="Calibri" w:cstheme="minorHAnsi"/>
          <w:kern w:val="0"/>
          <w:lang w:eastAsia="en-CA"/>
          <w14:ligatures w14:val="none"/>
        </w:rPr>
      </w:pPr>
      <w:r>
        <w:rPr>
          <w:rFonts w:eastAsia="Calibri" w:cstheme="minorHAnsi"/>
          <w:kern w:val="0"/>
          <w:lang w:eastAsia="en-CA"/>
          <w14:ligatures w14:val="none"/>
        </w:rPr>
        <w:t>T</w:t>
      </w:r>
      <w:r w:rsidRPr="00324EA4">
        <w:rPr>
          <w:rFonts w:eastAsia="Calibri" w:cstheme="minorHAnsi"/>
          <w:kern w:val="0"/>
          <w:lang w:eastAsia="en-CA"/>
          <w14:ligatures w14:val="none"/>
        </w:rPr>
        <w:t>h</w:t>
      </w:r>
      <w:r>
        <w:rPr>
          <w:rFonts w:eastAsia="Calibri" w:cstheme="minorHAnsi"/>
          <w:kern w:val="0"/>
          <w:lang w:eastAsia="en-CA"/>
          <w14:ligatures w14:val="none"/>
        </w:rPr>
        <w:t xml:space="preserve">e LCO’s </w:t>
      </w:r>
      <w:r w:rsidR="003E2307">
        <w:rPr>
          <w:rFonts w:eastAsia="Calibri" w:cstheme="minorHAnsi"/>
          <w:kern w:val="0"/>
          <w:lang w:eastAsia="en-CA"/>
          <w14:ligatures w14:val="none"/>
        </w:rPr>
        <w:t xml:space="preserve">Criminal AI </w:t>
      </w:r>
      <w:r>
        <w:rPr>
          <w:rFonts w:eastAsia="Calibri" w:cstheme="minorHAnsi"/>
          <w:kern w:val="0"/>
          <w:lang w:eastAsia="en-CA"/>
          <w14:ligatures w14:val="none"/>
        </w:rPr>
        <w:t xml:space="preserve">Issue Papers </w:t>
      </w:r>
      <w:r w:rsidRPr="00324EA4">
        <w:rPr>
          <w:rFonts w:eastAsia="Calibri" w:cstheme="minorHAnsi"/>
          <w:kern w:val="0"/>
          <w:lang w:eastAsia="en-CA"/>
          <w14:ligatures w14:val="none"/>
        </w:rPr>
        <w:t>are designed to facilitate discussion and consultation</w:t>
      </w:r>
      <w:r>
        <w:rPr>
          <w:rFonts w:eastAsia="Calibri" w:cstheme="minorHAnsi"/>
          <w:kern w:val="0"/>
          <w:lang w:eastAsia="en-CA"/>
          <w14:ligatures w14:val="none"/>
        </w:rPr>
        <w:t xml:space="preserve">. </w:t>
      </w:r>
      <w:r w:rsidR="00F31A57">
        <w:rPr>
          <w:rFonts w:eastAsia="Calibri" w:cstheme="minorHAnsi"/>
          <w:kern w:val="0"/>
          <w:lang w:eastAsia="en-CA"/>
          <w14:ligatures w14:val="none"/>
        </w:rPr>
        <w:t xml:space="preserve">We have learned that </w:t>
      </w:r>
      <w:r w:rsidR="00E90131">
        <w:rPr>
          <w:rFonts w:eastAsia="Calibri" w:cstheme="minorHAnsi"/>
          <w:kern w:val="0"/>
          <w:lang w:eastAsia="en-CA"/>
          <w14:ligatures w14:val="none"/>
        </w:rPr>
        <w:t xml:space="preserve">“trustworthy criminal AI” depends on complex legal, technical and operational considerations. We have also learned that </w:t>
      </w:r>
      <w:r w:rsidR="00836A50" w:rsidRPr="00C646DF">
        <w:rPr>
          <w:rFonts w:eastAsia="Calibri" w:cstheme="minorHAnsi"/>
          <w:kern w:val="0"/>
          <w:lang w:eastAsia="en-CA"/>
          <w14:ligatures w14:val="none"/>
        </w:rPr>
        <w:t xml:space="preserve">broad collaborations and consultations are crucial. Accordingly, each </w:t>
      </w:r>
      <w:r w:rsidR="00E90131">
        <w:rPr>
          <w:rFonts w:eastAsia="Calibri" w:cstheme="minorHAnsi"/>
          <w:kern w:val="0"/>
          <w:lang w:eastAsia="en-CA"/>
          <w14:ligatures w14:val="none"/>
        </w:rPr>
        <w:t>Issue P</w:t>
      </w:r>
      <w:r w:rsidR="00F31A57">
        <w:rPr>
          <w:rFonts w:eastAsia="Calibri" w:cstheme="minorHAnsi"/>
          <w:kern w:val="0"/>
          <w:lang w:eastAsia="en-CA"/>
          <w14:ligatures w14:val="none"/>
        </w:rPr>
        <w:t xml:space="preserve">aper </w:t>
      </w:r>
      <w:r w:rsidR="00836A50" w:rsidRPr="00C646DF">
        <w:rPr>
          <w:rFonts w:eastAsia="Calibri" w:cstheme="minorHAnsi"/>
          <w:kern w:val="0"/>
          <w:lang w:eastAsia="en-CA"/>
          <w14:ligatures w14:val="none"/>
        </w:rPr>
        <w:t xml:space="preserve">includes questions </w:t>
      </w:r>
      <w:r w:rsidR="00F31A57">
        <w:rPr>
          <w:rFonts w:eastAsia="Calibri" w:cstheme="minorHAnsi"/>
          <w:kern w:val="0"/>
          <w:lang w:eastAsia="en-CA"/>
          <w14:ligatures w14:val="none"/>
        </w:rPr>
        <w:t xml:space="preserve">for </w:t>
      </w:r>
      <w:r w:rsidR="00836A50" w:rsidRPr="00C646DF">
        <w:rPr>
          <w:rFonts w:eastAsia="Calibri" w:cstheme="minorHAnsi"/>
          <w:kern w:val="0"/>
          <w:lang w:eastAsia="en-CA"/>
          <w14:ligatures w14:val="none"/>
        </w:rPr>
        <w:t xml:space="preserve">Canadian criminal AI policymakers and stakeholders. </w:t>
      </w:r>
      <w:r w:rsidR="005E0126">
        <w:rPr>
          <w:rFonts w:eastAsia="Calibri" w:cstheme="minorHAnsi"/>
          <w:kern w:val="0"/>
          <w:lang w:eastAsia="en-CA"/>
          <w14:ligatures w14:val="none"/>
        </w:rPr>
        <w:t xml:space="preserve">These questions are summarized in Appendix A to this </w:t>
      </w:r>
      <w:r w:rsidR="00B54C76">
        <w:rPr>
          <w:rFonts w:eastAsia="Calibri" w:cstheme="minorHAnsi"/>
          <w:kern w:val="0"/>
          <w:lang w:eastAsia="en-CA"/>
          <w14:ligatures w14:val="none"/>
        </w:rPr>
        <w:t>Executive Summary</w:t>
      </w:r>
      <w:r w:rsidR="005E0126">
        <w:rPr>
          <w:rFonts w:eastAsia="Calibri" w:cstheme="minorHAnsi"/>
          <w:kern w:val="0"/>
          <w:lang w:eastAsia="en-CA"/>
          <w14:ligatures w14:val="none"/>
        </w:rPr>
        <w:t xml:space="preserve">. </w:t>
      </w:r>
      <w:r w:rsidR="00836A50" w:rsidRPr="00C646DF">
        <w:rPr>
          <w:rFonts w:eastAsia="Calibri" w:cstheme="minorHAnsi"/>
          <w:kern w:val="0"/>
          <w:lang w:eastAsia="en-CA"/>
          <w14:ligatures w14:val="none"/>
        </w:rPr>
        <w:t xml:space="preserve">In this manner, the LCO hopes </w:t>
      </w:r>
      <w:r w:rsidR="006E1D4C">
        <w:rPr>
          <w:rFonts w:eastAsia="Calibri" w:cstheme="minorHAnsi"/>
          <w:kern w:val="0"/>
          <w:lang w:eastAsia="en-CA"/>
          <w14:ligatures w14:val="none"/>
        </w:rPr>
        <w:t xml:space="preserve">the </w:t>
      </w:r>
      <w:r w:rsidR="00836A50" w:rsidRPr="00C646DF">
        <w:rPr>
          <w:rFonts w:eastAsia="Calibri" w:cstheme="minorHAnsi"/>
          <w:kern w:val="0"/>
          <w:lang w:eastAsia="en-CA"/>
          <w14:ligatures w14:val="none"/>
        </w:rPr>
        <w:t xml:space="preserve">papers will become a catalyst for a wider Canadian discussion about these </w:t>
      </w:r>
      <w:r w:rsidR="003E2307">
        <w:rPr>
          <w:rFonts w:eastAsia="Calibri" w:cstheme="minorHAnsi"/>
          <w:kern w:val="0"/>
          <w:lang w:eastAsia="en-CA"/>
          <w14:ligatures w14:val="none"/>
        </w:rPr>
        <w:t xml:space="preserve">important and timely </w:t>
      </w:r>
      <w:r w:rsidR="00836A50" w:rsidRPr="00C646DF">
        <w:rPr>
          <w:rFonts w:eastAsia="Calibri" w:cstheme="minorHAnsi"/>
          <w:kern w:val="0"/>
          <w:lang w:eastAsia="en-CA"/>
          <w14:ligatures w14:val="none"/>
        </w:rPr>
        <w:t>issues.</w:t>
      </w:r>
    </w:p>
    <w:p w14:paraId="72896A70" w14:textId="77777777" w:rsidR="00324EA4" w:rsidRDefault="00324EA4" w:rsidP="00504034">
      <w:pPr>
        <w:spacing w:after="0"/>
        <w:rPr>
          <w:rFonts w:eastAsia="Calibri" w:cstheme="minorHAnsi"/>
          <w:kern w:val="0"/>
          <w:lang w:eastAsia="en-CA"/>
          <w14:ligatures w14:val="none"/>
        </w:rPr>
      </w:pPr>
    </w:p>
    <w:p w14:paraId="5541BC52" w14:textId="5CB8F599" w:rsidR="00324EA4" w:rsidRDefault="00324EA4" w:rsidP="00504034">
      <w:pPr>
        <w:spacing w:after="0"/>
        <w:rPr>
          <w:rFonts w:eastAsia="Calibri" w:cstheme="minorHAnsi"/>
          <w:kern w:val="0"/>
          <w:lang w:eastAsia="en-CA"/>
          <w14:ligatures w14:val="none"/>
        </w:rPr>
      </w:pPr>
      <w:r w:rsidRPr="00324EA4">
        <w:rPr>
          <w:rFonts w:eastAsia="Calibri" w:cstheme="minorHAnsi"/>
          <w:kern w:val="0"/>
          <w:lang w:eastAsia="en-CA"/>
          <w14:ligatures w14:val="none"/>
        </w:rPr>
        <w:lastRenderedPageBreak/>
        <w:t>Publication of the Issue Papers commences a period of stakeholder consultations to be conducted by the LCO. The LCO will analyze and summarize the feedback we receive</w:t>
      </w:r>
      <w:r w:rsidR="00B016A1">
        <w:rPr>
          <w:rFonts w:eastAsia="Calibri" w:cstheme="minorHAnsi"/>
          <w:kern w:val="0"/>
          <w:lang w:eastAsia="en-CA"/>
          <w14:ligatures w14:val="none"/>
        </w:rPr>
        <w:t xml:space="preserve">. A </w:t>
      </w:r>
      <w:r w:rsidRPr="00324EA4">
        <w:rPr>
          <w:rFonts w:eastAsia="Calibri" w:cstheme="minorHAnsi"/>
          <w:kern w:val="0"/>
          <w:lang w:eastAsia="en-CA"/>
          <w14:ligatures w14:val="none"/>
        </w:rPr>
        <w:t>Final Report will recommend a series of law, policy and programmatic reforms.</w:t>
      </w:r>
    </w:p>
    <w:p w14:paraId="2EB7CBBE" w14:textId="77777777" w:rsidR="00B016A1" w:rsidRDefault="00B016A1" w:rsidP="00504034">
      <w:pPr>
        <w:spacing w:after="0"/>
        <w:rPr>
          <w:rFonts w:eastAsia="Calibri" w:cstheme="minorHAnsi"/>
          <w:kern w:val="0"/>
          <w:lang w:eastAsia="en-CA"/>
          <w14:ligatures w14:val="none"/>
        </w:rPr>
      </w:pPr>
    </w:p>
    <w:p w14:paraId="6C768064" w14:textId="5043C84C" w:rsidR="00B016A1" w:rsidRPr="00182FE0" w:rsidRDefault="00B016A1" w:rsidP="00182FE0">
      <w:pPr>
        <w:contextualSpacing/>
        <w:rPr>
          <w:rFonts w:ascii="Calibri" w:eastAsia="Calibri" w:hAnsi="Calibri" w:cs="Calibri"/>
          <w:lang w:eastAsia="en-CA"/>
        </w:rPr>
      </w:pPr>
      <w:r w:rsidRPr="00C646DF">
        <w:rPr>
          <w:rFonts w:eastAsia="Calibri"/>
          <w:lang w:eastAsia="en-CA"/>
        </w:rPr>
        <w:t xml:space="preserve">More information about this project is available on the LCO project website: </w:t>
      </w:r>
      <w:hyperlink r:id="rId26" w:history="1">
        <w:r w:rsidRPr="00C646DF">
          <w:rPr>
            <w:rFonts w:eastAsia="Calibri"/>
            <w:color w:val="0563C1" w:themeColor="hyperlink"/>
            <w:u w:val="single"/>
            <w:lang w:eastAsia="en-CA"/>
          </w:rPr>
          <w:t>https://www.lco-cdo.org/CrimAI</w:t>
        </w:r>
      </w:hyperlink>
      <w:r w:rsidRPr="00C646DF">
        <w:rPr>
          <w:rFonts w:eastAsia="Calibri"/>
          <w:lang w:eastAsia="en-CA"/>
        </w:rPr>
        <w:t>.</w:t>
      </w:r>
    </w:p>
    <w:p w14:paraId="6E210D7D" w14:textId="77777777" w:rsidR="00B016A1" w:rsidRPr="00504034" w:rsidRDefault="00B016A1" w:rsidP="00504034">
      <w:pPr>
        <w:spacing w:after="0"/>
        <w:rPr>
          <w:rFonts w:eastAsia="Calibri" w:cstheme="minorHAnsi"/>
          <w:kern w:val="0"/>
          <w:lang w:eastAsia="en-CA"/>
          <w14:ligatures w14:val="none"/>
        </w:rPr>
      </w:pPr>
    </w:p>
    <w:p w14:paraId="298B2D3A" w14:textId="0DB118E9" w:rsidR="00B06F10" w:rsidRPr="00182FE0" w:rsidRDefault="00B06F10" w:rsidP="00965500">
      <w:pPr>
        <w:pStyle w:val="Heading1"/>
        <w:numPr>
          <w:ilvl w:val="0"/>
          <w:numId w:val="21"/>
        </w:numPr>
        <w:spacing w:before="0"/>
      </w:pPr>
      <w:bookmarkStart w:id="4" w:name="_Toc194406398"/>
      <w:bookmarkStart w:id="5" w:name="_Toc195604709"/>
      <w:r w:rsidRPr="00182FE0">
        <w:t>About the LCO</w:t>
      </w:r>
      <w:bookmarkEnd w:id="4"/>
      <w:bookmarkEnd w:id="5"/>
      <w:r w:rsidRPr="00182FE0">
        <w:t xml:space="preserve"> </w:t>
      </w:r>
    </w:p>
    <w:p w14:paraId="645D2BD6" w14:textId="77777777" w:rsidR="00B06F10" w:rsidRDefault="00B06F10" w:rsidP="00B06F10">
      <w:pPr>
        <w:spacing w:after="0"/>
        <w:rPr>
          <w:lang w:val="en-US"/>
        </w:rPr>
      </w:pPr>
    </w:p>
    <w:p w14:paraId="169E2B9C" w14:textId="75928D0A" w:rsidR="00B06F10" w:rsidRDefault="00B06F10" w:rsidP="00B06F10">
      <w:pPr>
        <w:spacing w:after="0"/>
        <w:rPr>
          <w:bCs/>
        </w:rPr>
      </w:pPr>
      <w:r w:rsidRPr="008C271B">
        <w:rPr>
          <w:lang w:val="en-US"/>
        </w:rPr>
        <w:t xml:space="preserve">The Law Commission of Ontario is Ontario’s leading law reform agency. The LCO provides independent, balanced, and authoritative advice on complex and important legal policy issues. </w:t>
      </w:r>
      <w:r w:rsidR="00577677">
        <w:rPr>
          <w:lang w:val="en-US"/>
        </w:rPr>
        <w:t xml:space="preserve">The </w:t>
      </w:r>
      <w:r w:rsidRPr="008C271B">
        <w:rPr>
          <w:lang w:val="en-US"/>
        </w:rPr>
        <w:t xml:space="preserve">LCO promotes access to justice, evidence-based legislation and policies, and public engagement on important law reform issues. The LCO is independent of stakeholder interests and is </w:t>
      </w:r>
      <w:r w:rsidRPr="00E90131">
        <w:rPr>
          <w:lang w:val="en-US"/>
        </w:rPr>
        <w:t>committed to a public interest perspective for every project.</w:t>
      </w:r>
      <w:r w:rsidR="00F31A57" w:rsidRPr="00E90131">
        <w:rPr>
          <w:lang w:val="en-US"/>
        </w:rPr>
        <w:t xml:space="preserve"> More information about the LCO is available </w:t>
      </w:r>
      <w:hyperlink r:id="rId27" w:history="1">
        <w:r w:rsidR="00F31A57" w:rsidRPr="00E90131">
          <w:rPr>
            <w:rStyle w:val="Hyperlink"/>
            <w:lang w:val="en-US"/>
          </w:rPr>
          <w:t>here</w:t>
        </w:r>
      </w:hyperlink>
      <w:r w:rsidR="00F31A57" w:rsidRPr="00E90131">
        <w:rPr>
          <w:bCs/>
        </w:rPr>
        <w:t>.</w:t>
      </w:r>
    </w:p>
    <w:p w14:paraId="47B566DA" w14:textId="77777777" w:rsidR="00E90131" w:rsidRDefault="00E90131" w:rsidP="00B06F10">
      <w:pPr>
        <w:spacing w:after="0"/>
        <w:rPr>
          <w:lang w:val="en-US"/>
        </w:rPr>
      </w:pPr>
    </w:p>
    <w:p w14:paraId="0D240214" w14:textId="3E8FE816" w:rsidR="00045A45" w:rsidRPr="008C271B" w:rsidRDefault="00045A45" w:rsidP="00045A45">
      <w:r>
        <w:rPr>
          <w:lang w:val="en-US"/>
        </w:rPr>
        <w:t>Th</w:t>
      </w:r>
      <w:r w:rsidR="00124640">
        <w:rPr>
          <w:lang w:val="en-US"/>
        </w:rPr>
        <w:t xml:space="preserve">is project </w:t>
      </w:r>
      <w:r>
        <w:rPr>
          <w:lang w:val="en-US"/>
        </w:rPr>
        <w:t xml:space="preserve">is </w:t>
      </w:r>
      <w:r w:rsidR="00D83428">
        <w:rPr>
          <w:lang w:val="en-US"/>
        </w:rPr>
        <w:t xml:space="preserve">one of several </w:t>
      </w:r>
      <w:r>
        <w:rPr>
          <w:lang w:val="en-US"/>
        </w:rPr>
        <w:t xml:space="preserve">LCO </w:t>
      </w:r>
      <w:r w:rsidR="00D83428">
        <w:rPr>
          <w:lang w:val="en-US"/>
        </w:rPr>
        <w:t>project</w:t>
      </w:r>
      <w:r w:rsidR="00577677">
        <w:rPr>
          <w:lang w:val="en-US"/>
        </w:rPr>
        <w:t>s</w:t>
      </w:r>
      <w:r w:rsidR="00D83428">
        <w:rPr>
          <w:lang w:val="en-US"/>
        </w:rPr>
        <w:t xml:space="preserve"> </w:t>
      </w:r>
      <w:r w:rsidRPr="008C271B">
        <w:t xml:space="preserve">addressing </w:t>
      </w:r>
      <w:r>
        <w:t xml:space="preserve">AI </w:t>
      </w:r>
      <w:r w:rsidRPr="008C271B">
        <w:t xml:space="preserve">issues </w:t>
      </w:r>
      <w:r>
        <w:t>in the Canadian justice system. Previous projects a</w:t>
      </w:r>
      <w:r w:rsidR="00124640">
        <w:t>nd r</w:t>
      </w:r>
      <w:r>
        <w:t xml:space="preserve">eports </w:t>
      </w:r>
      <w:r w:rsidRPr="008C271B">
        <w:t>include:</w:t>
      </w:r>
    </w:p>
    <w:p w14:paraId="39706C25" w14:textId="77777777" w:rsidR="00045A45" w:rsidRPr="008C271B" w:rsidRDefault="00045A45" w:rsidP="00045A45">
      <w:pPr>
        <w:numPr>
          <w:ilvl w:val="0"/>
          <w:numId w:val="2"/>
        </w:numPr>
        <w:spacing w:after="0"/>
        <w:ind w:left="714" w:hanging="357"/>
        <w:rPr>
          <w:lang w:val="en-US"/>
        </w:rPr>
      </w:pPr>
      <w:hyperlink r:id="rId28" w:history="1">
        <w:r w:rsidRPr="008C271B">
          <w:rPr>
            <w:color w:val="0563C1"/>
            <w:u w:val="single"/>
            <w:lang w:val="en-US"/>
          </w:rPr>
          <w:t>Human Rights AI Impact Assessment</w:t>
        </w:r>
      </w:hyperlink>
      <w:r w:rsidRPr="008C271B">
        <w:rPr>
          <w:lang w:val="en-US"/>
        </w:rPr>
        <w:t xml:space="preserve"> (with the Ontario Human Rights Commission, 2024)</w:t>
      </w:r>
    </w:p>
    <w:p w14:paraId="54F0E4ED" w14:textId="77777777" w:rsidR="00045A45" w:rsidRPr="008C271B" w:rsidRDefault="00045A45" w:rsidP="00045A45">
      <w:pPr>
        <w:numPr>
          <w:ilvl w:val="0"/>
          <w:numId w:val="2"/>
        </w:numPr>
        <w:spacing w:after="0"/>
        <w:ind w:left="714" w:hanging="357"/>
        <w:rPr>
          <w:lang w:val="en-US"/>
        </w:rPr>
      </w:pPr>
      <w:hyperlink r:id="rId29" w:history="1">
        <w:r w:rsidRPr="00990A2D">
          <w:rPr>
            <w:rStyle w:val="Hyperlink"/>
            <w:i/>
            <w:iCs/>
            <w:lang w:val="en-US"/>
          </w:rPr>
          <w:t>Accountable AI</w:t>
        </w:r>
      </w:hyperlink>
      <w:r w:rsidRPr="008C271B">
        <w:rPr>
          <w:i/>
          <w:iCs/>
          <w:lang w:val="en-US"/>
        </w:rPr>
        <w:t xml:space="preserve"> </w:t>
      </w:r>
      <w:r w:rsidRPr="008C271B">
        <w:rPr>
          <w:lang w:val="en-US"/>
        </w:rPr>
        <w:t>(2022)</w:t>
      </w:r>
    </w:p>
    <w:p w14:paraId="388B49B1" w14:textId="77777777" w:rsidR="00045A45" w:rsidRPr="008C271B" w:rsidRDefault="00045A45" w:rsidP="00045A45">
      <w:pPr>
        <w:numPr>
          <w:ilvl w:val="0"/>
          <w:numId w:val="2"/>
        </w:numPr>
        <w:spacing w:after="0"/>
        <w:ind w:left="714" w:hanging="357"/>
        <w:rPr>
          <w:lang w:val="en-US"/>
        </w:rPr>
      </w:pPr>
      <w:hyperlink r:id="rId30" w:history="1">
        <w:r w:rsidRPr="000950E3">
          <w:rPr>
            <w:rStyle w:val="Hyperlink"/>
            <w:i/>
            <w:iCs/>
          </w:rPr>
          <w:t>Regulating AI: Critical Issues and Choices</w:t>
        </w:r>
      </w:hyperlink>
      <w:r w:rsidRPr="008C271B">
        <w:rPr>
          <w:lang w:val="en-US"/>
        </w:rPr>
        <w:t xml:space="preserve"> (2021) </w:t>
      </w:r>
    </w:p>
    <w:p w14:paraId="5296CCDD" w14:textId="77777777" w:rsidR="00045A45" w:rsidRPr="008C271B" w:rsidRDefault="00045A45" w:rsidP="00045A45">
      <w:pPr>
        <w:numPr>
          <w:ilvl w:val="0"/>
          <w:numId w:val="2"/>
        </w:numPr>
        <w:spacing w:after="0"/>
        <w:ind w:left="714" w:hanging="357"/>
        <w:rPr>
          <w:lang w:val="en-US"/>
        </w:rPr>
      </w:pPr>
      <w:hyperlink r:id="rId31" w:history="1">
        <w:r w:rsidRPr="008C271B">
          <w:rPr>
            <w:i/>
            <w:iCs/>
            <w:color w:val="0563C1"/>
            <w:u w:val="single"/>
            <w:lang w:val="en-US"/>
          </w:rPr>
          <w:t>Legal Issues and Government AI Development</w:t>
        </w:r>
      </w:hyperlink>
      <w:r w:rsidRPr="008C271B">
        <w:rPr>
          <w:lang w:val="en-US"/>
        </w:rPr>
        <w:t xml:space="preserve"> (2021)</w:t>
      </w:r>
    </w:p>
    <w:p w14:paraId="7E3E11A6" w14:textId="77777777" w:rsidR="00045A45" w:rsidRPr="008C271B" w:rsidRDefault="00045A45" w:rsidP="00045A45">
      <w:pPr>
        <w:numPr>
          <w:ilvl w:val="0"/>
          <w:numId w:val="2"/>
        </w:numPr>
        <w:spacing w:after="0"/>
        <w:ind w:left="714" w:hanging="357"/>
      </w:pPr>
      <w:hyperlink r:id="rId32" w:history="1">
        <w:r w:rsidRPr="00990A2D">
          <w:rPr>
            <w:rStyle w:val="Hyperlink"/>
            <w:lang w:val="en-US"/>
          </w:rPr>
          <w:t>The Rise and Fall of Algorithms in the American Justice System: Lessons for Canada</w:t>
        </w:r>
      </w:hyperlink>
      <w:r w:rsidRPr="008C271B">
        <w:rPr>
          <w:lang w:val="en-US"/>
        </w:rPr>
        <w:t xml:space="preserve"> (2020) </w:t>
      </w:r>
    </w:p>
    <w:p w14:paraId="56F36935" w14:textId="6E54641D" w:rsidR="00412B4E" w:rsidRPr="00045A45" w:rsidRDefault="00412B4E" w:rsidP="00045A45">
      <w:pPr>
        <w:spacing w:after="0"/>
        <w:rPr>
          <w:bCs/>
        </w:rPr>
      </w:pPr>
    </w:p>
    <w:p w14:paraId="7F0970C8" w14:textId="12754236" w:rsidR="00852BE1" w:rsidRPr="00182FE0" w:rsidRDefault="00852BE1" w:rsidP="00965500">
      <w:pPr>
        <w:pStyle w:val="Heading1"/>
        <w:numPr>
          <w:ilvl w:val="0"/>
          <w:numId w:val="21"/>
        </w:numPr>
        <w:rPr>
          <w:rFonts w:eastAsia="Times New Roman"/>
          <w:lang w:val="en-US" w:eastAsia="en-CA"/>
        </w:rPr>
      </w:pPr>
      <w:bookmarkStart w:id="6" w:name="_Toc194406399"/>
      <w:bookmarkStart w:id="7" w:name="_Toc188900887"/>
      <w:bookmarkStart w:id="8" w:name="_Toc195604710"/>
      <w:r w:rsidRPr="00182FE0">
        <w:rPr>
          <w:rFonts w:eastAsia="Times New Roman"/>
          <w:lang w:val="en-US" w:eastAsia="en-CA"/>
        </w:rPr>
        <w:t xml:space="preserve">AI </w:t>
      </w:r>
      <w:r w:rsidR="00CB75FD" w:rsidRPr="00182FE0">
        <w:rPr>
          <w:rFonts w:eastAsia="Times New Roman"/>
          <w:lang w:val="en-US" w:eastAsia="en-CA"/>
        </w:rPr>
        <w:t xml:space="preserve">in </w:t>
      </w:r>
      <w:r w:rsidRPr="00182FE0">
        <w:rPr>
          <w:rFonts w:eastAsia="Times New Roman"/>
          <w:lang w:val="en-US" w:eastAsia="en-CA"/>
        </w:rPr>
        <w:t>Criminal Justice</w:t>
      </w:r>
      <w:r w:rsidR="00CB75FD" w:rsidRPr="00182FE0">
        <w:rPr>
          <w:rFonts w:eastAsia="Times New Roman"/>
          <w:lang w:val="en-US" w:eastAsia="en-CA"/>
        </w:rPr>
        <w:t xml:space="preserve">: </w:t>
      </w:r>
      <w:r w:rsidR="007C5240" w:rsidRPr="00182FE0">
        <w:rPr>
          <w:rFonts w:eastAsia="Times New Roman"/>
          <w:lang w:val="en-US" w:eastAsia="en-CA"/>
        </w:rPr>
        <w:t xml:space="preserve">Uses and </w:t>
      </w:r>
      <w:r w:rsidR="00CB75FD" w:rsidRPr="00182FE0">
        <w:rPr>
          <w:rFonts w:eastAsia="Times New Roman"/>
          <w:lang w:val="en-US" w:eastAsia="en-CA"/>
        </w:rPr>
        <w:t>Benefits</w:t>
      </w:r>
      <w:bookmarkEnd w:id="6"/>
      <w:bookmarkEnd w:id="8"/>
      <w:r w:rsidR="00CB75FD" w:rsidRPr="00182FE0">
        <w:rPr>
          <w:rFonts w:eastAsia="Times New Roman"/>
          <w:lang w:val="en-US" w:eastAsia="en-CA"/>
        </w:rPr>
        <w:t xml:space="preserve"> </w:t>
      </w:r>
      <w:bookmarkEnd w:id="7"/>
    </w:p>
    <w:p w14:paraId="2FFBC75A" w14:textId="77777777" w:rsidR="009352B5" w:rsidRDefault="009352B5" w:rsidP="00442E7B">
      <w:pPr>
        <w:spacing w:after="0"/>
      </w:pPr>
    </w:p>
    <w:p w14:paraId="22736CFE" w14:textId="4DC4C831" w:rsidR="003315DA" w:rsidRDefault="009352B5" w:rsidP="00052790">
      <w:pPr>
        <w:spacing w:after="0"/>
      </w:pPr>
      <w:r>
        <w:t xml:space="preserve">Across the world, the </w:t>
      </w:r>
      <w:r w:rsidR="00852BE1" w:rsidRPr="00CC0576">
        <w:t xml:space="preserve">criminal justice system has been at the forefront of the adoption of AI. </w:t>
      </w:r>
      <w:r w:rsidR="00CC0576" w:rsidRPr="00CC0576">
        <w:t>Criminal j</w:t>
      </w:r>
      <w:r w:rsidR="0059417A" w:rsidRPr="00CC0576">
        <w:t>urisdictions</w:t>
      </w:r>
      <w:r w:rsidR="00852BE1" w:rsidRPr="00CC0576">
        <w:t xml:space="preserve"> outside of Canada employ AI </w:t>
      </w:r>
      <w:r w:rsidR="00F14AD4" w:rsidRPr="00CC0576">
        <w:t xml:space="preserve">to improve police investigations, </w:t>
      </w:r>
      <w:r w:rsidR="00CC0576" w:rsidRPr="00CC0576">
        <w:t xml:space="preserve">analyze evidence, assist judicial decision-making, improve data analysis and </w:t>
      </w:r>
      <w:r w:rsidR="00F14AD4" w:rsidRPr="00CC0576">
        <w:t>target resources</w:t>
      </w:r>
      <w:r w:rsidR="00F14AD4">
        <w:t xml:space="preserve">. AI technologies used </w:t>
      </w:r>
      <w:r w:rsidR="003E2307">
        <w:t xml:space="preserve">in criminal justice </w:t>
      </w:r>
      <w:r w:rsidR="00F14AD4">
        <w:t>today include</w:t>
      </w:r>
      <w:r w:rsidR="00E03202">
        <w:t xml:space="preserve"> predictive policing, </w:t>
      </w:r>
      <w:r w:rsidR="00F14AD4">
        <w:t xml:space="preserve">facial recognition and biometric </w:t>
      </w:r>
      <w:r w:rsidR="00852BE1" w:rsidRPr="00C97650">
        <w:t xml:space="preserve">surveillance, social media </w:t>
      </w:r>
      <w:r w:rsidR="00F14AD4">
        <w:t>analysis</w:t>
      </w:r>
      <w:r w:rsidR="00852BE1" w:rsidRPr="00C97650">
        <w:t xml:space="preserve">, </w:t>
      </w:r>
      <w:r w:rsidR="00F14AD4">
        <w:t>licence plate readers, bail and sentencing algorithms</w:t>
      </w:r>
      <w:r w:rsidR="003315DA">
        <w:t xml:space="preserve"> </w:t>
      </w:r>
      <w:r w:rsidR="00F14AD4">
        <w:t xml:space="preserve">and many other </w:t>
      </w:r>
      <w:r w:rsidR="00852BE1" w:rsidRPr="00C97650">
        <w:t xml:space="preserve">applications. </w:t>
      </w:r>
      <w:r>
        <w:t>Many of these systems have reportedly been used in Canada as well.</w:t>
      </w:r>
      <w:r w:rsidR="00577677">
        <w:t xml:space="preserve"> </w:t>
      </w:r>
      <w:r w:rsidR="001235A2">
        <w:rPr>
          <w:lang w:eastAsia="en-CA"/>
        </w:rPr>
        <w:t xml:space="preserve">Notable criminal justice AI </w:t>
      </w:r>
      <w:r w:rsidR="003E2307">
        <w:rPr>
          <w:lang w:eastAsia="en-CA"/>
        </w:rPr>
        <w:t xml:space="preserve">systems </w:t>
      </w:r>
      <w:r w:rsidR="001235A2">
        <w:rPr>
          <w:lang w:eastAsia="en-CA"/>
        </w:rPr>
        <w:t>include:</w:t>
      </w:r>
    </w:p>
    <w:p w14:paraId="378A99A3" w14:textId="77777777" w:rsidR="00052790" w:rsidRPr="001235A2" w:rsidRDefault="00052790" w:rsidP="00052790">
      <w:pPr>
        <w:spacing w:after="0"/>
        <w:rPr>
          <w:lang w:eastAsia="en-CA"/>
        </w:rPr>
      </w:pPr>
    </w:p>
    <w:p w14:paraId="5DC6D62C" w14:textId="1F6BC0C2" w:rsidR="00B549D7" w:rsidRPr="006C16DC" w:rsidRDefault="003315DA" w:rsidP="00965500">
      <w:pPr>
        <w:pStyle w:val="ListParagraph"/>
        <w:numPr>
          <w:ilvl w:val="0"/>
          <w:numId w:val="19"/>
        </w:numPr>
        <w:rPr>
          <w:b/>
          <w:bCs/>
          <w:lang w:val="en-US"/>
        </w:rPr>
      </w:pPr>
      <w:bookmarkStart w:id="9" w:name="_Toc188900890"/>
      <w:r w:rsidRPr="006C16DC">
        <w:rPr>
          <w:b/>
          <w:bCs/>
          <w:lang w:val="en-US"/>
        </w:rPr>
        <w:t>Predictive Analytics/Predictive Policing</w:t>
      </w:r>
      <w:bookmarkEnd w:id="9"/>
      <w:r w:rsidR="00B549D7" w:rsidRPr="00784133">
        <w:rPr>
          <w:rStyle w:val="EndnoteReference"/>
          <w:lang w:val="en-US"/>
        </w:rPr>
        <w:endnoteReference w:id="1"/>
      </w:r>
      <w:r w:rsidR="00B549D7" w:rsidRPr="00784133">
        <w:rPr>
          <w:lang w:val="en-US"/>
        </w:rPr>
        <w:t xml:space="preserve"> </w:t>
      </w:r>
    </w:p>
    <w:p w14:paraId="4C829261" w14:textId="0010AD32" w:rsidR="00B549D7" w:rsidRDefault="00B549D7" w:rsidP="00E03202">
      <w:r>
        <w:rPr>
          <w:lang w:val="en-US"/>
        </w:rPr>
        <w:t xml:space="preserve">Predictive policing is a generic name for AI technology that </w:t>
      </w:r>
      <w:r w:rsidRPr="000464A6">
        <w:rPr>
          <w:lang w:val="en-US"/>
        </w:rPr>
        <w:t>process</w:t>
      </w:r>
      <w:r>
        <w:rPr>
          <w:lang w:val="en-US"/>
        </w:rPr>
        <w:t>es</w:t>
      </w:r>
      <w:r w:rsidRPr="000464A6">
        <w:rPr>
          <w:lang w:val="en-US"/>
        </w:rPr>
        <w:t xml:space="preserve"> and analyse</w:t>
      </w:r>
      <w:r>
        <w:rPr>
          <w:lang w:val="en-US"/>
        </w:rPr>
        <w:t>s</w:t>
      </w:r>
      <w:r w:rsidRPr="000464A6">
        <w:rPr>
          <w:lang w:val="en-US"/>
        </w:rPr>
        <w:t xml:space="preserve"> </w:t>
      </w:r>
      <w:r>
        <w:rPr>
          <w:lang w:val="en-US"/>
        </w:rPr>
        <w:t xml:space="preserve">large and complex datasets much </w:t>
      </w:r>
      <w:r w:rsidRPr="000464A6">
        <w:rPr>
          <w:lang w:val="en-US"/>
        </w:rPr>
        <w:t xml:space="preserve">more </w:t>
      </w:r>
      <w:r>
        <w:rPr>
          <w:lang w:val="en-US"/>
        </w:rPr>
        <w:t xml:space="preserve">quickly than </w:t>
      </w:r>
      <w:r w:rsidRPr="000464A6">
        <w:rPr>
          <w:lang w:val="en-US"/>
        </w:rPr>
        <w:t>human</w:t>
      </w:r>
      <w:r>
        <w:rPr>
          <w:lang w:val="en-US"/>
        </w:rPr>
        <w:t>s</w:t>
      </w:r>
      <w:r w:rsidRPr="000464A6">
        <w:rPr>
          <w:lang w:val="en-US"/>
        </w:rPr>
        <w:t>.</w:t>
      </w:r>
      <w:r>
        <w:rPr>
          <w:lang w:val="en-US"/>
        </w:rPr>
        <w:t xml:space="preserve"> </w:t>
      </w:r>
      <w:r w:rsidRPr="008B2E62">
        <w:t xml:space="preserve">Professor Andrew Ferguson, a leading US scholar on predictive policing, writes of the promise </w:t>
      </w:r>
      <w:r w:rsidR="007C6531">
        <w:t xml:space="preserve">of </w:t>
      </w:r>
    </w:p>
    <w:p w14:paraId="48366270" w14:textId="072ED7D4" w:rsidR="00B549D7" w:rsidRPr="002F79A6" w:rsidRDefault="00B549D7" w:rsidP="00E03202">
      <w:pPr>
        <w:ind w:left="720"/>
        <w:rPr>
          <w:i/>
          <w:iCs/>
        </w:rPr>
      </w:pPr>
      <w:r>
        <w:rPr>
          <w:i/>
          <w:iCs/>
        </w:rPr>
        <w:t>…</w:t>
      </w:r>
      <w:r w:rsidRPr="002F79A6">
        <w:rPr>
          <w:i/>
          <w:iCs/>
        </w:rPr>
        <w:t>data-driven insights [are] operationalized into concrete decisions about police priorities and resource allocation…offering police administrators the ability to identify higher crime locations, to restructure patrol routes, and to develop crime suppression strategies based on the new data.</w:t>
      </w:r>
      <w:r w:rsidRPr="002F79A6">
        <w:rPr>
          <w:rStyle w:val="EndnoteReference"/>
          <w:i/>
          <w:iCs/>
        </w:rPr>
        <w:endnoteReference w:id="2"/>
      </w:r>
      <w:r w:rsidR="00BE6D0C">
        <w:rPr>
          <w:i/>
          <w:iCs/>
        </w:rPr>
        <w:t xml:space="preserve"> </w:t>
      </w:r>
    </w:p>
    <w:p w14:paraId="37BF2F27" w14:textId="3096AB68" w:rsidR="00B549D7" w:rsidRPr="00442E7B" w:rsidRDefault="00B549D7" w:rsidP="001235A2">
      <w:pPr>
        <w:rPr>
          <w:i/>
          <w:iCs/>
          <w:lang w:val="en-US"/>
        </w:rPr>
      </w:pPr>
      <w:r w:rsidRPr="007A66BB">
        <w:t xml:space="preserve">Predictive </w:t>
      </w:r>
      <w:r>
        <w:t xml:space="preserve">policing is commonly understood as AI </w:t>
      </w:r>
      <w:r w:rsidRPr="007A66BB">
        <w:t>systems</w:t>
      </w:r>
      <w:r>
        <w:t xml:space="preserve"> that </w:t>
      </w:r>
      <w:r w:rsidRPr="007A66BB">
        <w:t>to try to forecast future crime</w:t>
      </w:r>
      <w:r>
        <w:t>, including</w:t>
      </w:r>
      <w:r w:rsidR="0062785A">
        <w:t>:</w:t>
      </w:r>
      <w:r w:rsidR="0062785A" w:rsidRPr="00C16602">
        <w:rPr>
          <w:rStyle w:val="EndnoteReference"/>
        </w:rPr>
        <w:endnoteReference w:id="3"/>
      </w:r>
      <w:r w:rsidR="00BE6D0C">
        <w:t xml:space="preserve"> </w:t>
      </w:r>
    </w:p>
    <w:p w14:paraId="7A116A12" w14:textId="04B3E030" w:rsidR="00B549D7" w:rsidRDefault="00B549D7" w:rsidP="00965500">
      <w:pPr>
        <w:pStyle w:val="ListParagraph"/>
        <w:numPr>
          <w:ilvl w:val="0"/>
          <w:numId w:val="16"/>
        </w:numPr>
      </w:pPr>
      <w:r w:rsidRPr="00C16602">
        <w:lastRenderedPageBreak/>
        <w:t xml:space="preserve">Location-based systems that </w:t>
      </w:r>
      <w:r>
        <w:t xml:space="preserve">predict </w:t>
      </w:r>
      <w:r w:rsidRPr="00C16602">
        <w:t>where and when criminal activity might occur</w:t>
      </w:r>
      <w:r>
        <w:t>.</w:t>
      </w:r>
    </w:p>
    <w:p w14:paraId="1D8AAEA0" w14:textId="6D39924B" w:rsidR="00B549D7" w:rsidRDefault="00B549D7" w:rsidP="00965500">
      <w:pPr>
        <w:pStyle w:val="ListParagraph"/>
        <w:numPr>
          <w:ilvl w:val="0"/>
          <w:numId w:val="6"/>
        </w:numPr>
      </w:pPr>
      <w:r w:rsidRPr="00C16602">
        <w:t xml:space="preserve">Person-based systems that </w:t>
      </w:r>
      <w:r>
        <w:t xml:space="preserve">predict </w:t>
      </w:r>
      <w:r w:rsidRPr="00C16602">
        <w:t xml:space="preserve">who </w:t>
      </w:r>
      <w:r>
        <w:t xml:space="preserve">is </w:t>
      </w:r>
      <w:r w:rsidRPr="00C16602">
        <w:t xml:space="preserve">likely to be involved in future criminal activity. </w:t>
      </w:r>
    </w:p>
    <w:p w14:paraId="1EB8B2C2" w14:textId="25757050" w:rsidR="00B549D7" w:rsidRDefault="00B549D7" w:rsidP="00284386">
      <w:r w:rsidRPr="00277C72">
        <w:t>Well-known examples of predictive policing include LASER, a system that was used by the Los Angeles Police Department to identify areas where gun violence was likely to occur; PredPol and Palantir, the most commonly used predictive policing systems in the U.S; and the Chicago Police Department’s “strategic subject list” system.</w:t>
      </w:r>
      <w:r w:rsidRPr="00277C72">
        <w:rPr>
          <w:rStyle w:val="EndnoteReference"/>
        </w:rPr>
        <w:endnoteReference w:id="4"/>
      </w:r>
      <w:r w:rsidRPr="00277C72">
        <w:t xml:space="preserve"> Canadian police services are also reported to </w:t>
      </w:r>
      <w:r>
        <w:t xml:space="preserve">have </w:t>
      </w:r>
      <w:r w:rsidRPr="00277C72">
        <w:t>use</w:t>
      </w:r>
      <w:r>
        <w:t>d</w:t>
      </w:r>
      <w:r w:rsidRPr="00277C72">
        <w:t xml:space="preserve"> or test</w:t>
      </w:r>
      <w:r>
        <w:t>ed</w:t>
      </w:r>
      <w:r w:rsidRPr="00277C72">
        <w:t xml:space="preserve"> predictive policing, including the Vancouver Police Department (GeoDASH) and Calgary Police Department (Palantir Gotham).</w:t>
      </w:r>
      <w:r w:rsidRPr="00277C72">
        <w:rPr>
          <w:vertAlign w:val="superscript"/>
        </w:rPr>
        <w:endnoteReference w:id="5"/>
      </w:r>
      <w:r w:rsidR="00BE6D0C">
        <w:t xml:space="preserve"> </w:t>
      </w:r>
    </w:p>
    <w:p w14:paraId="2266C263" w14:textId="3DD97BBA" w:rsidR="00B549D7" w:rsidRPr="006C16DC" w:rsidRDefault="00B549D7" w:rsidP="00965500">
      <w:pPr>
        <w:pStyle w:val="ListParagraph"/>
        <w:numPr>
          <w:ilvl w:val="0"/>
          <w:numId w:val="19"/>
        </w:numPr>
        <w:rPr>
          <w:b/>
          <w:bCs/>
          <w:lang w:val="en-US"/>
        </w:rPr>
      </w:pPr>
      <w:bookmarkStart w:id="10" w:name="_Toc188900891"/>
      <w:r w:rsidRPr="006C16DC">
        <w:rPr>
          <w:b/>
          <w:bCs/>
          <w:lang w:val="en-US"/>
        </w:rPr>
        <w:t>Facial Recognition</w:t>
      </w:r>
      <w:r>
        <w:rPr>
          <w:b/>
          <w:bCs/>
          <w:lang w:val="en-US"/>
        </w:rPr>
        <w:t xml:space="preserve"> and </w:t>
      </w:r>
      <w:r w:rsidRPr="006C16DC">
        <w:rPr>
          <w:b/>
          <w:bCs/>
          <w:lang w:val="en-US"/>
        </w:rPr>
        <w:t>Biometrics</w:t>
      </w:r>
      <w:bookmarkEnd w:id="10"/>
      <w:r w:rsidRPr="00784133">
        <w:rPr>
          <w:rStyle w:val="EndnoteReference"/>
          <w:lang w:val="en-US"/>
        </w:rPr>
        <w:endnoteReference w:id="6"/>
      </w:r>
    </w:p>
    <w:p w14:paraId="239D6EC7" w14:textId="7449A217" w:rsidR="00B549D7" w:rsidRPr="002E7620" w:rsidRDefault="00B549D7" w:rsidP="006C16DC">
      <w:pPr>
        <w:rPr>
          <w:lang w:val="en-US"/>
        </w:rPr>
      </w:pPr>
      <w:r>
        <w:t>T</w:t>
      </w:r>
      <w:r w:rsidRPr="007A66BB">
        <w:t xml:space="preserve">he Information and Privacy Commissioner of Ontario </w:t>
      </w:r>
      <w:r>
        <w:t xml:space="preserve">defines facial recognition technology (FRT) </w:t>
      </w:r>
      <w:r w:rsidRPr="007A66BB">
        <w:t>as:</w:t>
      </w:r>
    </w:p>
    <w:p w14:paraId="69AF819C" w14:textId="75F7289A" w:rsidR="00B549D7" w:rsidRPr="00BE1A8A" w:rsidRDefault="00B549D7" w:rsidP="006C16DC">
      <w:pPr>
        <w:ind w:left="720"/>
        <w:rPr>
          <w:i/>
          <w:iCs/>
        </w:rPr>
      </w:pPr>
      <w:r w:rsidRPr="00BE1A8A">
        <w:rPr>
          <w:i/>
          <w:iCs/>
        </w:rPr>
        <w:t>…an artificial intelligence (AI) technology that collects and processes sensitive personal information to identify or verify an individual’s identity</w:t>
      </w:r>
      <w:r>
        <w:rPr>
          <w:i/>
          <w:iCs/>
        </w:rPr>
        <w:t>…</w:t>
      </w:r>
      <w:r w:rsidRPr="00BE1A8A">
        <w:rPr>
          <w:i/>
          <w:iCs/>
        </w:rPr>
        <w:t>A facial recognition system can then compare two faceprints and return a similarity score or match faceprints by searching a reference database of a large number of images for a list of potential candidates whose similarity score is at, or above, a given threshold.</w:t>
      </w:r>
      <w:r w:rsidRPr="00BE1A8A">
        <w:rPr>
          <w:i/>
          <w:iCs/>
          <w:vertAlign w:val="superscript"/>
        </w:rPr>
        <w:endnoteReference w:id="7"/>
      </w:r>
      <w:r w:rsidRPr="00BE1A8A">
        <w:rPr>
          <w:i/>
          <w:iCs/>
        </w:rPr>
        <w:t xml:space="preserve"> </w:t>
      </w:r>
    </w:p>
    <w:p w14:paraId="0D0C3C27" w14:textId="2C5D6ED9" w:rsidR="00B549D7" w:rsidRPr="00CC3F61" w:rsidRDefault="00B549D7" w:rsidP="006C16DC">
      <w:pPr>
        <w:rPr>
          <w:lang w:val="en-US"/>
        </w:rPr>
      </w:pPr>
      <w:r>
        <w:rPr>
          <w:lang w:val="en-US"/>
        </w:rPr>
        <w:t>In addition to FRT, o</w:t>
      </w:r>
      <w:r w:rsidRPr="00AA3C57">
        <w:rPr>
          <w:lang w:val="en-US"/>
        </w:rPr>
        <w:t>ther forms of AI-enhanced biometric identification include fingerprints, voice recognition, iris scans</w:t>
      </w:r>
      <w:r w:rsidR="003E2307">
        <w:rPr>
          <w:lang w:val="en-US"/>
        </w:rPr>
        <w:t xml:space="preserve"> </w:t>
      </w:r>
      <w:r w:rsidRPr="00AA3C57">
        <w:rPr>
          <w:lang w:val="en-US"/>
        </w:rPr>
        <w:t>and gait analysis.</w:t>
      </w:r>
      <w:r w:rsidR="00BE6D0C">
        <w:rPr>
          <w:lang w:val="en-US"/>
        </w:rPr>
        <w:t xml:space="preserve"> </w:t>
      </w:r>
    </w:p>
    <w:p w14:paraId="252C0D75" w14:textId="0696F807" w:rsidR="00B549D7" w:rsidRDefault="00B549D7" w:rsidP="009E7B38">
      <w:pPr>
        <w:spacing w:after="0"/>
        <w:rPr>
          <w:lang w:val="en-US"/>
        </w:rPr>
      </w:pPr>
      <w:r>
        <w:rPr>
          <w:lang w:val="en-US"/>
        </w:rPr>
        <w:t>Many police services believe FRT and other biometric technologies have significant potential to improve public safety, police investigations</w:t>
      </w:r>
      <w:r w:rsidR="003E2307">
        <w:rPr>
          <w:lang w:val="en-US"/>
        </w:rPr>
        <w:t xml:space="preserve"> </w:t>
      </w:r>
      <w:r>
        <w:rPr>
          <w:lang w:val="en-US"/>
        </w:rPr>
        <w:t xml:space="preserve">and efficiency. For example, INTERPOL has stated that </w:t>
      </w:r>
    </w:p>
    <w:p w14:paraId="5EBF5D92" w14:textId="77777777" w:rsidR="00B549D7" w:rsidRDefault="00B549D7" w:rsidP="009E7B38">
      <w:pPr>
        <w:spacing w:after="0"/>
        <w:rPr>
          <w:lang w:val="en-US"/>
        </w:rPr>
      </w:pPr>
    </w:p>
    <w:p w14:paraId="27A65571" w14:textId="45E85622" w:rsidR="00B549D7" w:rsidRPr="00305C53" w:rsidRDefault="00B549D7" w:rsidP="00305C53">
      <w:pPr>
        <w:spacing w:after="0"/>
        <w:ind w:left="720"/>
        <w:rPr>
          <w:i/>
          <w:iCs/>
          <w:lang w:val="en-US"/>
        </w:rPr>
      </w:pPr>
      <w:r w:rsidRPr="00305C53">
        <w:rPr>
          <w:i/>
          <w:iCs/>
          <w:lang w:val="en-US"/>
        </w:rPr>
        <w:t xml:space="preserve">…computer vision and biometrics have emerged as game-changers for law enforcement…The fusion of biometrics and AI can deliver a blend of efficiency and accuracy, offering in-depth insights to swiftly and effectively </w:t>
      </w:r>
      <w:r w:rsidRPr="00305C53">
        <w:rPr>
          <w:i/>
          <w:iCs/>
        </w:rPr>
        <w:t>identify criminals while at the same time protecting the privacy of non-relevant individuals</w:t>
      </w:r>
      <w:r>
        <w:rPr>
          <w:i/>
          <w:iCs/>
        </w:rPr>
        <w:t>.</w:t>
      </w:r>
      <w:r w:rsidRPr="00305C53">
        <w:rPr>
          <w:rStyle w:val="EndnoteReference"/>
        </w:rPr>
        <w:endnoteReference w:id="8"/>
      </w:r>
      <w:r w:rsidRPr="00305C53">
        <w:rPr>
          <w:i/>
          <w:iCs/>
        </w:rPr>
        <w:t xml:space="preserve"> </w:t>
      </w:r>
    </w:p>
    <w:p w14:paraId="33288F84" w14:textId="77777777" w:rsidR="00B549D7" w:rsidRPr="0009781E" w:rsidRDefault="00B549D7" w:rsidP="003315DA">
      <w:pPr>
        <w:spacing w:after="0"/>
      </w:pPr>
    </w:p>
    <w:p w14:paraId="40F9FE77" w14:textId="588D4EEC" w:rsidR="00B549D7" w:rsidRDefault="00B549D7" w:rsidP="006F59A1">
      <w:pPr>
        <w:rPr>
          <w:rFonts w:eastAsia="Times New Roman"/>
          <w:lang w:val="en-US" w:eastAsia="en-CA"/>
        </w:rPr>
      </w:pPr>
      <w:r>
        <w:rPr>
          <w:rFonts w:eastAsia="Times New Roman"/>
          <w:lang w:val="en-US" w:eastAsia="en-CA"/>
        </w:rPr>
        <w:t xml:space="preserve">FRT and biometric systems can be used for many purposes and in many contexts, including: </w:t>
      </w:r>
    </w:p>
    <w:p w14:paraId="51A3F931" w14:textId="7C1C349E" w:rsidR="00B549D7" w:rsidRPr="007E1599" w:rsidRDefault="00B549D7" w:rsidP="00965500">
      <w:pPr>
        <w:pStyle w:val="ListParagraph"/>
        <w:numPr>
          <w:ilvl w:val="0"/>
          <w:numId w:val="5"/>
        </w:numPr>
      </w:pPr>
      <w:r>
        <w:t>To support criminal investigations, including terrorist threats</w:t>
      </w:r>
      <w:r w:rsidR="00881D50">
        <w:t>;</w:t>
      </w:r>
      <w:r>
        <w:t xml:space="preserve"> </w:t>
      </w:r>
      <w:r w:rsidR="00881D50">
        <w:t xml:space="preserve">investigations for </w:t>
      </w:r>
      <w:r>
        <w:t>missing persons children, human trafficking</w:t>
      </w:r>
      <w:r w:rsidR="00881D50">
        <w:t xml:space="preserve"> or </w:t>
      </w:r>
      <w:r>
        <w:t>sexual exploitation</w:t>
      </w:r>
      <w:r w:rsidR="00881D50">
        <w:t>;</w:t>
      </w:r>
      <w:r>
        <w:t xml:space="preserve"> public order events</w:t>
      </w:r>
      <w:r w:rsidR="00881D50">
        <w:t>; etc.</w:t>
      </w:r>
      <w:r w:rsidRPr="007E1599">
        <w:t xml:space="preserve"> </w:t>
      </w:r>
    </w:p>
    <w:p w14:paraId="1A9B9E1A" w14:textId="77777777" w:rsidR="00B549D7" w:rsidRPr="007A66BB" w:rsidRDefault="00B549D7" w:rsidP="00965500">
      <w:pPr>
        <w:pStyle w:val="ListParagraph"/>
        <w:numPr>
          <w:ilvl w:val="0"/>
          <w:numId w:val="5"/>
        </w:numPr>
      </w:pPr>
      <w:r w:rsidRPr="007A66BB">
        <w:t xml:space="preserve">To scan </w:t>
      </w:r>
      <w:r>
        <w:t xml:space="preserve">mugshot </w:t>
      </w:r>
      <w:r w:rsidRPr="007A66BB">
        <w:t>database</w:t>
      </w:r>
      <w:r>
        <w:t>s.</w:t>
      </w:r>
    </w:p>
    <w:p w14:paraId="5F0D01FE" w14:textId="0A26BB08" w:rsidR="00B549D7" w:rsidRDefault="00B549D7" w:rsidP="00965500">
      <w:pPr>
        <w:pStyle w:val="ListParagraph"/>
        <w:numPr>
          <w:ilvl w:val="0"/>
          <w:numId w:val="5"/>
        </w:numPr>
        <w:rPr>
          <w:rFonts w:eastAsia="Times New Roman"/>
          <w:lang w:val="en-US" w:eastAsia="en-CA"/>
        </w:rPr>
      </w:pPr>
      <w:r>
        <w:rPr>
          <w:rFonts w:eastAsia="Times New Roman"/>
          <w:lang w:val="en-US" w:eastAsia="en-CA"/>
        </w:rPr>
        <w:t>To provide surveillance in public, privat</w:t>
      </w:r>
      <w:r w:rsidR="003E2307">
        <w:rPr>
          <w:rFonts w:eastAsia="Times New Roman"/>
          <w:lang w:val="en-US" w:eastAsia="en-CA"/>
        </w:rPr>
        <w:t>e</w:t>
      </w:r>
      <w:r>
        <w:rPr>
          <w:rFonts w:eastAsia="Times New Roman"/>
          <w:lang w:val="en-US" w:eastAsia="en-CA"/>
        </w:rPr>
        <w:t xml:space="preserve"> or secure spaces.</w:t>
      </w:r>
    </w:p>
    <w:p w14:paraId="1112501B" w14:textId="77777777" w:rsidR="00B549D7" w:rsidRPr="007A66BB" w:rsidRDefault="00B549D7" w:rsidP="00965500">
      <w:pPr>
        <w:pStyle w:val="ListParagraph"/>
        <w:numPr>
          <w:ilvl w:val="0"/>
          <w:numId w:val="5"/>
        </w:numPr>
      </w:pPr>
      <w:r>
        <w:t xml:space="preserve">For </w:t>
      </w:r>
      <w:r w:rsidRPr="007A66BB">
        <w:t xml:space="preserve">real-time </w:t>
      </w:r>
      <w:r>
        <w:t xml:space="preserve">personal </w:t>
      </w:r>
      <w:r w:rsidRPr="007A66BB">
        <w:t xml:space="preserve">identification through </w:t>
      </w:r>
      <w:r>
        <w:t xml:space="preserve">police </w:t>
      </w:r>
      <w:r w:rsidRPr="007A66BB">
        <w:t>body cam</w:t>
      </w:r>
      <w:r>
        <w:t>s</w:t>
      </w:r>
      <w:r w:rsidRPr="007A66BB">
        <w:t xml:space="preserve"> or drone video</w:t>
      </w:r>
      <w:r>
        <w:t>s.</w:t>
      </w:r>
    </w:p>
    <w:p w14:paraId="0697E5B1" w14:textId="337E2247" w:rsidR="00B549D7" w:rsidRPr="007A66BB" w:rsidRDefault="00B549D7" w:rsidP="00965500">
      <w:pPr>
        <w:pStyle w:val="ListParagraph"/>
        <w:numPr>
          <w:ilvl w:val="0"/>
          <w:numId w:val="5"/>
        </w:numPr>
      </w:pPr>
      <w:r w:rsidRPr="007A66BB">
        <w:t>To analyze images or video collected by third parties.</w:t>
      </w:r>
      <w:r>
        <w:rPr>
          <w:rStyle w:val="EndnoteReference"/>
        </w:rPr>
        <w:endnoteReference w:id="9"/>
      </w:r>
    </w:p>
    <w:p w14:paraId="570DF79B" w14:textId="6B83B68C" w:rsidR="00B549D7" w:rsidRDefault="00B549D7" w:rsidP="00A14F63">
      <w:pPr>
        <w:spacing w:after="0"/>
        <w:rPr>
          <w:lang w:val="en-US"/>
        </w:rPr>
      </w:pPr>
      <w:r w:rsidRPr="008C0DD0">
        <w:t xml:space="preserve">FRT is widely deployed </w:t>
      </w:r>
      <w:r>
        <w:t xml:space="preserve">by law enforcement agencies </w:t>
      </w:r>
      <w:r w:rsidRPr="008C0DD0">
        <w:t>in the United States and internationally.</w:t>
      </w:r>
      <w:r>
        <w:rPr>
          <w:rStyle w:val="EndnoteReference"/>
        </w:rPr>
        <w:endnoteReference w:id="10"/>
      </w:r>
      <w:r w:rsidRPr="008C0DD0">
        <w:rPr>
          <w:b/>
          <w:bCs/>
        </w:rPr>
        <w:t xml:space="preserve"> </w:t>
      </w:r>
      <w:r w:rsidRPr="00CA401C">
        <w:rPr>
          <w:lang w:val="en-US"/>
        </w:rPr>
        <w:t xml:space="preserve">The best-known FRT </w:t>
      </w:r>
      <w:r w:rsidR="00124640">
        <w:rPr>
          <w:lang w:val="en-US"/>
        </w:rPr>
        <w:t xml:space="preserve">system </w:t>
      </w:r>
      <w:r w:rsidRPr="00CA401C">
        <w:rPr>
          <w:lang w:val="en-US"/>
        </w:rPr>
        <w:t xml:space="preserve">in Canada is the </w:t>
      </w:r>
      <w:r>
        <w:rPr>
          <w:lang w:val="en-US"/>
        </w:rPr>
        <w:t xml:space="preserve">RCMP’s since-discontinued </w:t>
      </w:r>
      <w:r w:rsidRPr="00CA401C">
        <w:rPr>
          <w:lang w:val="en-US"/>
        </w:rPr>
        <w:t xml:space="preserve">use of Clearview </w:t>
      </w:r>
      <w:r>
        <w:rPr>
          <w:lang w:val="en-US"/>
        </w:rPr>
        <w:t>AI, an Internet image-scrapping program.</w:t>
      </w:r>
      <w:r>
        <w:rPr>
          <w:rStyle w:val="EndnoteReference"/>
          <w:lang w:val="en-US"/>
        </w:rPr>
        <w:endnoteReference w:id="11"/>
      </w:r>
      <w:r>
        <w:rPr>
          <w:lang w:val="en-US"/>
        </w:rPr>
        <w:t xml:space="preserve"> The Toronto Police Services also uses FRT in limited circumstances.</w:t>
      </w:r>
      <w:r>
        <w:rPr>
          <w:rStyle w:val="EndnoteReference"/>
          <w:lang w:val="en-US"/>
        </w:rPr>
        <w:endnoteReference w:id="12"/>
      </w:r>
      <w:r>
        <w:rPr>
          <w:lang w:val="en-US"/>
        </w:rPr>
        <w:t xml:space="preserve"> </w:t>
      </w:r>
    </w:p>
    <w:p w14:paraId="037953C5" w14:textId="77777777" w:rsidR="00B549D7" w:rsidRPr="004F0DDA" w:rsidRDefault="00B549D7" w:rsidP="00A14F63">
      <w:pPr>
        <w:spacing w:after="0"/>
      </w:pPr>
    </w:p>
    <w:p w14:paraId="0B48DFCB" w14:textId="58FB7171" w:rsidR="00B549D7" w:rsidRDefault="00B549D7" w:rsidP="00965500">
      <w:pPr>
        <w:pStyle w:val="ListParagraph"/>
        <w:numPr>
          <w:ilvl w:val="0"/>
          <w:numId w:val="19"/>
        </w:numPr>
        <w:spacing w:after="0"/>
        <w:rPr>
          <w:b/>
          <w:bCs/>
          <w:lang w:val="en-US"/>
        </w:rPr>
      </w:pPr>
      <w:bookmarkStart w:id="11" w:name="_Toc188900895"/>
      <w:bookmarkStart w:id="12" w:name="_Toc188900894"/>
      <w:r>
        <w:rPr>
          <w:b/>
          <w:bCs/>
          <w:lang w:val="en-US"/>
        </w:rPr>
        <w:t>Bail and Sentencing Algorithms</w:t>
      </w:r>
      <w:r w:rsidRPr="00784133">
        <w:rPr>
          <w:rStyle w:val="EndnoteReference"/>
          <w:lang w:val="en-US"/>
        </w:rPr>
        <w:endnoteReference w:id="13"/>
      </w:r>
    </w:p>
    <w:p w14:paraId="6AE30E7D" w14:textId="77777777" w:rsidR="00B549D7" w:rsidRDefault="00B549D7" w:rsidP="00A14F63">
      <w:pPr>
        <w:pStyle w:val="ListParagraph"/>
        <w:spacing w:after="0"/>
        <w:rPr>
          <w:b/>
          <w:bCs/>
          <w:lang w:val="en-US"/>
        </w:rPr>
      </w:pPr>
    </w:p>
    <w:p w14:paraId="79626C38" w14:textId="798508D5" w:rsidR="00B549D7" w:rsidRDefault="00B549D7" w:rsidP="00A14F63">
      <w:pPr>
        <w:spacing w:after="0"/>
      </w:pPr>
      <w:r>
        <w:t>Bail and sentencing algorithms are AI or algorithmic tools that aid criminal courts in bail or sentence decision-making.</w:t>
      </w:r>
      <w:r w:rsidR="00BE6D0C">
        <w:t xml:space="preserve"> </w:t>
      </w:r>
      <w:r>
        <w:t xml:space="preserve">The use of bail and sentencing algorithms expanded rapidly across the United States in </w:t>
      </w:r>
      <w:r>
        <w:lastRenderedPageBreak/>
        <w:t>the 2010s</w:t>
      </w:r>
      <w:r w:rsidR="00577677">
        <w:t xml:space="preserve">, where they </w:t>
      </w:r>
      <w:r>
        <w:t xml:space="preserve">quickly </w:t>
      </w:r>
      <w:r w:rsidRPr="006C3690">
        <w:t>emerged as the “favored reform</w:t>
      </w:r>
      <w:r>
        <w:t>” to advance the American “bail reform” movement.</w:t>
      </w:r>
      <w:r>
        <w:rPr>
          <w:rStyle w:val="EndnoteReference"/>
        </w:rPr>
        <w:endnoteReference w:id="14"/>
      </w:r>
      <w:r>
        <w:rPr>
          <w:shd w:val="clear" w:color="auto" w:fill="F8F9F9"/>
        </w:rPr>
        <w:t xml:space="preserve"> </w:t>
      </w:r>
      <w:r>
        <w:t xml:space="preserve">According to the </w:t>
      </w:r>
      <w:r w:rsidRPr="005161E1">
        <w:t>Center on Court Innovation</w:t>
      </w:r>
      <w:r>
        <w:t xml:space="preserve">, a New York-based non-profit research organization, </w:t>
      </w:r>
      <w:r w:rsidRPr="00E40432">
        <w:t>“[t]he appeal of pretrial risk assessment—especially in large, overburdened court systems—is of a fast and objective evaluation, harnessing the power of data to aid decision-making.</w:t>
      </w:r>
      <w:r>
        <w:t>”</w:t>
      </w:r>
      <w:r w:rsidRPr="00E40432">
        <w:rPr>
          <w:rStyle w:val="EndnoteReference"/>
        </w:rPr>
        <w:endnoteReference w:id="15"/>
      </w:r>
      <w:r w:rsidR="00BE6D0C">
        <w:t xml:space="preserve"> </w:t>
      </w:r>
    </w:p>
    <w:p w14:paraId="49C7C1D2" w14:textId="77777777" w:rsidR="00124640" w:rsidRDefault="00124640" w:rsidP="00A14F63">
      <w:pPr>
        <w:spacing w:after="0"/>
      </w:pPr>
    </w:p>
    <w:p w14:paraId="25D6543C" w14:textId="48D6D6EA" w:rsidR="00B549D7" w:rsidRPr="009E7B38" w:rsidRDefault="00B549D7" w:rsidP="00965500">
      <w:pPr>
        <w:pStyle w:val="ListParagraph"/>
        <w:numPr>
          <w:ilvl w:val="0"/>
          <w:numId w:val="19"/>
        </w:numPr>
        <w:spacing w:after="0"/>
        <w:rPr>
          <w:b/>
          <w:bCs/>
          <w:lang w:val="en-US"/>
        </w:rPr>
      </w:pPr>
      <w:r w:rsidRPr="009E7B38">
        <w:rPr>
          <w:b/>
          <w:bCs/>
          <w:lang w:val="en-US"/>
        </w:rPr>
        <w:t>Other AI Systems Used in Criminal Justice</w:t>
      </w:r>
      <w:bookmarkEnd w:id="11"/>
      <w:r w:rsidRPr="00784133">
        <w:rPr>
          <w:rStyle w:val="EndnoteReference"/>
          <w:lang w:val="en-US"/>
        </w:rPr>
        <w:endnoteReference w:id="16"/>
      </w:r>
      <w:r w:rsidRPr="009E7B38">
        <w:rPr>
          <w:b/>
          <w:bCs/>
          <w:lang w:val="en-US"/>
        </w:rPr>
        <w:t xml:space="preserve"> </w:t>
      </w:r>
    </w:p>
    <w:bookmarkEnd w:id="12"/>
    <w:p w14:paraId="079613A9" w14:textId="77777777" w:rsidR="00B549D7" w:rsidRDefault="00B549D7" w:rsidP="000C0811">
      <w:pPr>
        <w:spacing w:after="0"/>
        <w:rPr>
          <w:rFonts w:eastAsia="Times New Roman" w:cstheme="minorHAnsi"/>
          <w:kern w:val="0"/>
          <w:highlight w:val="yellow"/>
          <w:lang w:eastAsia="en-CA"/>
          <w14:ligatures w14:val="none"/>
        </w:rPr>
      </w:pPr>
    </w:p>
    <w:p w14:paraId="17D89BBB" w14:textId="0AD09F20" w:rsidR="00B549D7" w:rsidRPr="009E7B38" w:rsidRDefault="00B549D7" w:rsidP="000C0811">
      <w:pPr>
        <w:spacing w:after="0"/>
        <w:rPr>
          <w:rFonts w:eastAsia="Times New Roman" w:cstheme="minorHAnsi"/>
          <w:kern w:val="0"/>
          <w:lang w:eastAsia="en-CA"/>
          <w14:ligatures w14:val="none"/>
        </w:rPr>
      </w:pPr>
      <w:r w:rsidRPr="009E7B38">
        <w:rPr>
          <w:rFonts w:eastAsia="Times New Roman" w:cstheme="minorHAnsi"/>
          <w:kern w:val="0"/>
          <w:lang w:eastAsia="en-CA"/>
          <w14:ligatures w14:val="none"/>
        </w:rPr>
        <w:t xml:space="preserve">Other AI-enabled technologies discussed in </w:t>
      </w:r>
      <w:r w:rsidR="003E2307">
        <w:rPr>
          <w:rFonts w:eastAsia="Times New Roman" w:cstheme="minorHAnsi"/>
          <w:kern w:val="0"/>
          <w:lang w:eastAsia="en-CA"/>
          <w14:ligatures w14:val="none"/>
        </w:rPr>
        <w:t xml:space="preserve">the Criminal AI Issue Papers </w:t>
      </w:r>
      <w:r w:rsidRPr="009E7B38">
        <w:rPr>
          <w:rFonts w:eastAsia="Times New Roman" w:cstheme="minorHAnsi"/>
          <w:kern w:val="0"/>
          <w:lang w:eastAsia="en-CA"/>
          <w14:ligatures w14:val="none"/>
        </w:rPr>
        <w:t>include:</w:t>
      </w:r>
    </w:p>
    <w:p w14:paraId="5CA3D99C" w14:textId="77777777" w:rsidR="00B549D7" w:rsidRDefault="00B549D7" w:rsidP="000C0811">
      <w:pPr>
        <w:spacing w:after="0"/>
        <w:rPr>
          <w:rFonts w:eastAsia="Times New Roman" w:cstheme="minorHAnsi"/>
          <w:kern w:val="0"/>
          <w:highlight w:val="yellow"/>
          <w:lang w:eastAsia="en-CA"/>
          <w14:ligatures w14:val="none"/>
        </w:rPr>
      </w:pPr>
    </w:p>
    <w:p w14:paraId="54B4DDBC" w14:textId="290C2BB6" w:rsidR="00B549D7" w:rsidRPr="009E7B38" w:rsidRDefault="00B549D7" w:rsidP="00965500">
      <w:pPr>
        <w:pStyle w:val="ListParagraph"/>
        <w:numPr>
          <w:ilvl w:val="0"/>
          <w:numId w:val="22"/>
        </w:numPr>
        <w:spacing w:after="0"/>
        <w:rPr>
          <w:lang w:val="en-US"/>
        </w:rPr>
      </w:pPr>
      <w:r>
        <w:t>Automatic licence plate readers.</w:t>
      </w:r>
    </w:p>
    <w:p w14:paraId="439D04A5" w14:textId="77777777" w:rsidR="00B549D7" w:rsidRPr="009E7B38" w:rsidRDefault="00B549D7" w:rsidP="00965500">
      <w:pPr>
        <w:pStyle w:val="ListParagraph"/>
        <w:numPr>
          <w:ilvl w:val="0"/>
          <w:numId w:val="22"/>
        </w:numPr>
        <w:spacing w:after="0"/>
        <w:rPr>
          <w:lang w:val="en-US"/>
        </w:rPr>
      </w:pPr>
      <w:r>
        <w:t>Drones.</w:t>
      </w:r>
    </w:p>
    <w:p w14:paraId="375B595A" w14:textId="071B0FD9" w:rsidR="00B549D7" w:rsidRPr="009E7B38" w:rsidRDefault="00B549D7" w:rsidP="00965500">
      <w:pPr>
        <w:pStyle w:val="ListParagraph"/>
        <w:numPr>
          <w:ilvl w:val="0"/>
          <w:numId w:val="22"/>
        </w:numPr>
        <w:spacing w:after="0"/>
        <w:rPr>
          <w:lang w:val="en-US"/>
        </w:rPr>
      </w:pPr>
      <w:r w:rsidRPr="009E7B38">
        <w:t>Gunshot detection systems</w:t>
      </w:r>
      <w:r>
        <w:t>.</w:t>
      </w:r>
      <w:r w:rsidRPr="009E7B38">
        <w:t xml:space="preserve"> </w:t>
      </w:r>
    </w:p>
    <w:p w14:paraId="0D3B01A3" w14:textId="154FDF69" w:rsidR="00B549D7" w:rsidRPr="009E7B38" w:rsidRDefault="00B549D7" w:rsidP="00965500">
      <w:pPr>
        <w:pStyle w:val="ListParagraph"/>
        <w:numPr>
          <w:ilvl w:val="0"/>
          <w:numId w:val="22"/>
        </w:numPr>
        <w:spacing w:after="0"/>
        <w:rPr>
          <w:lang w:val="en-US"/>
        </w:rPr>
      </w:pPr>
      <w:r w:rsidRPr="009E7B38">
        <w:rPr>
          <w:lang w:val="en-US"/>
        </w:rPr>
        <w:t>Open-source intelligence (OSINT) and social media intelligence (SOCINT) systems</w:t>
      </w:r>
      <w:r>
        <w:rPr>
          <w:lang w:val="en-US"/>
        </w:rPr>
        <w:t>.</w:t>
      </w:r>
    </w:p>
    <w:p w14:paraId="67140801" w14:textId="6982E1EC" w:rsidR="00B549D7" w:rsidRPr="009E7B38" w:rsidRDefault="00B549D7" w:rsidP="00965500">
      <w:pPr>
        <w:pStyle w:val="ListParagraph"/>
        <w:numPr>
          <w:ilvl w:val="0"/>
          <w:numId w:val="22"/>
        </w:numPr>
        <w:spacing w:after="0"/>
        <w:rPr>
          <w:lang w:val="en-US"/>
        </w:rPr>
      </w:pPr>
      <w:r w:rsidRPr="009E7B38">
        <w:rPr>
          <w:lang w:val="en-US"/>
        </w:rPr>
        <w:t>AI-generated evidence.</w:t>
      </w:r>
    </w:p>
    <w:p w14:paraId="01D60BD8" w14:textId="77777777" w:rsidR="00B549D7" w:rsidRDefault="00B549D7" w:rsidP="000C0811">
      <w:pPr>
        <w:spacing w:after="0"/>
        <w:rPr>
          <w:lang w:val="en-US"/>
        </w:rPr>
      </w:pPr>
    </w:p>
    <w:p w14:paraId="2332692A" w14:textId="695A47D7" w:rsidR="00B549D7" w:rsidRPr="00182FE0" w:rsidRDefault="00B549D7" w:rsidP="00965500">
      <w:pPr>
        <w:pStyle w:val="Heading1"/>
        <w:numPr>
          <w:ilvl w:val="0"/>
          <w:numId w:val="21"/>
        </w:numPr>
      </w:pPr>
      <w:bookmarkStart w:id="13" w:name="_Toc188900896"/>
      <w:bookmarkStart w:id="14" w:name="_Toc194406400"/>
      <w:bookmarkStart w:id="15" w:name="_Toc195604711"/>
      <w:r w:rsidRPr="00182FE0">
        <w:t>AI in Criminal Justice:</w:t>
      </w:r>
      <w:r w:rsidR="00BE6D0C" w:rsidRPr="00182FE0">
        <w:t xml:space="preserve"> </w:t>
      </w:r>
      <w:r w:rsidRPr="00182FE0">
        <w:t>Risks and Issues</w:t>
      </w:r>
      <w:bookmarkEnd w:id="13"/>
      <w:bookmarkEnd w:id="14"/>
      <w:bookmarkEnd w:id="15"/>
      <w:r w:rsidRPr="00182FE0">
        <w:t xml:space="preserve"> </w:t>
      </w:r>
    </w:p>
    <w:p w14:paraId="2ED267C1" w14:textId="77777777" w:rsidR="00B549D7" w:rsidRDefault="00B549D7" w:rsidP="00052790">
      <w:pPr>
        <w:spacing w:after="0"/>
      </w:pPr>
    </w:p>
    <w:p w14:paraId="0D75EC05" w14:textId="3D346A8D" w:rsidR="00B549D7" w:rsidRDefault="00B549D7" w:rsidP="00B91195">
      <w:pPr>
        <w:spacing w:after="0"/>
        <w:rPr>
          <w:u w:color="1A1A1A"/>
          <w:lang w:val="en-US"/>
        </w:rPr>
      </w:pPr>
      <w:r>
        <w:rPr>
          <w:shd w:val="clear" w:color="auto" w:fill="FFFFFF"/>
          <w:lang w:val="en-US"/>
        </w:rPr>
        <w:t xml:space="preserve">Many </w:t>
      </w:r>
      <w:r w:rsidRPr="00FD2EE5">
        <w:rPr>
          <w:shd w:val="clear" w:color="auto" w:fill="FFFFFF"/>
          <w:lang w:val="en-US"/>
        </w:rPr>
        <w:t xml:space="preserve">reports document how </w:t>
      </w:r>
      <w:r w:rsidRPr="00FD2EE5">
        <w:rPr>
          <w:rFonts w:eastAsia="Times New Roman"/>
          <w:lang w:val="en-US"/>
        </w:rPr>
        <w:t xml:space="preserve">AI systems </w:t>
      </w:r>
      <w:r w:rsidRPr="007C6E1B">
        <w:rPr>
          <w:rFonts w:eastAsia="Times New Roman"/>
          <w:lang w:val="en-US"/>
        </w:rPr>
        <w:t>such as biometric surveillance</w:t>
      </w:r>
      <w:r>
        <w:rPr>
          <w:rFonts w:eastAsia="Times New Roman"/>
          <w:lang w:val="en-US"/>
        </w:rPr>
        <w:t xml:space="preserve">, </w:t>
      </w:r>
      <w:r w:rsidRPr="007C6E1B">
        <w:rPr>
          <w:rFonts w:eastAsia="Times New Roman"/>
          <w:lang w:val="en-US"/>
        </w:rPr>
        <w:t xml:space="preserve">predictive policing, and bail and sentencing algorithms </w:t>
      </w:r>
      <w:r>
        <w:rPr>
          <w:rFonts w:eastAsia="Times New Roman"/>
          <w:lang w:val="en-US"/>
        </w:rPr>
        <w:t xml:space="preserve">are </w:t>
      </w:r>
      <w:r w:rsidRPr="007C6E1B">
        <w:rPr>
          <w:rFonts w:eastAsia="Times New Roman"/>
          <w:lang w:val="en-US"/>
        </w:rPr>
        <w:t xml:space="preserve">risks to human rights, </w:t>
      </w:r>
      <w:r>
        <w:rPr>
          <w:rFonts w:eastAsia="Times New Roman"/>
          <w:lang w:val="en-US"/>
        </w:rPr>
        <w:t xml:space="preserve">civil liberties, </w:t>
      </w:r>
      <w:r w:rsidRPr="007C6E1B">
        <w:rPr>
          <w:rFonts w:eastAsia="Times New Roman"/>
          <w:lang w:val="en-US"/>
        </w:rPr>
        <w:t>privacy</w:t>
      </w:r>
      <w:r>
        <w:rPr>
          <w:rFonts w:eastAsia="Times New Roman"/>
          <w:lang w:val="en-US"/>
        </w:rPr>
        <w:t xml:space="preserve"> protections</w:t>
      </w:r>
      <w:r w:rsidRPr="007C6E1B">
        <w:rPr>
          <w:rFonts w:eastAsia="Times New Roman"/>
          <w:lang w:val="en-US"/>
        </w:rPr>
        <w:t xml:space="preserve"> and procedural fairness</w:t>
      </w:r>
      <w:r w:rsidR="003978B1">
        <w:rPr>
          <w:rFonts w:eastAsia="Times New Roman"/>
          <w:lang w:val="en-US"/>
        </w:rPr>
        <w:t>.</w:t>
      </w:r>
      <w:r>
        <w:rPr>
          <w:rFonts w:eastAsia="Times New Roman"/>
          <w:lang w:val="en-US"/>
        </w:rPr>
        <w:t xml:space="preserve"> These </w:t>
      </w:r>
      <w:r w:rsidRPr="00CD6C8F">
        <w:rPr>
          <w:shd w:val="clear" w:color="auto" w:fill="FFFFFF"/>
          <w:lang w:val="en-US"/>
        </w:rPr>
        <w:t>report</w:t>
      </w:r>
      <w:r>
        <w:rPr>
          <w:shd w:val="clear" w:color="auto" w:fill="FFFFFF"/>
          <w:lang w:val="en-US"/>
        </w:rPr>
        <w:t xml:space="preserve">s also discuss </w:t>
      </w:r>
      <w:r w:rsidRPr="00CD6C8F">
        <w:rPr>
          <w:shd w:val="clear" w:color="auto" w:fill="FFFFFF"/>
          <w:lang w:val="en-US"/>
        </w:rPr>
        <w:t xml:space="preserve">how the risks of these systems </w:t>
      </w:r>
      <w:r w:rsidRPr="00CD6C8F">
        <w:rPr>
          <w:lang w:val="en-US"/>
        </w:rPr>
        <w:t xml:space="preserve">fall disproportionately on low-income, </w:t>
      </w:r>
      <w:r w:rsidRPr="00202A36">
        <w:rPr>
          <w:lang w:val="en-US"/>
        </w:rPr>
        <w:t>Indigenous, racialized</w:t>
      </w:r>
      <w:r w:rsidR="003E2307">
        <w:rPr>
          <w:lang w:val="en-US"/>
        </w:rPr>
        <w:t xml:space="preserve"> </w:t>
      </w:r>
      <w:r w:rsidRPr="00202A36">
        <w:rPr>
          <w:lang w:val="en-US"/>
        </w:rPr>
        <w:t>or otherwise vulnerable communities and individuals.</w:t>
      </w:r>
      <w:r w:rsidRPr="00202A36">
        <w:rPr>
          <w:u w:color="1A1A1A"/>
          <w:lang w:val="en-US"/>
        </w:rPr>
        <w:t xml:space="preserve"> </w:t>
      </w:r>
      <w:r>
        <w:rPr>
          <w:u w:color="1A1A1A"/>
          <w:lang w:val="en-US"/>
        </w:rPr>
        <w:t>Notable AI risks in the criminal justice system include:</w:t>
      </w:r>
    </w:p>
    <w:p w14:paraId="41E5FBDE" w14:textId="61588E59" w:rsidR="00B549D7" w:rsidRPr="004E013A" w:rsidRDefault="00B549D7" w:rsidP="00965500">
      <w:pPr>
        <w:pStyle w:val="ListParagraph"/>
        <w:numPr>
          <w:ilvl w:val="0"/>
          <w:numId w:val="17"/>
        </w:numPr>
        <w:spacing w:before="100" w:beforeAutospacing="1" w:after="0"/>
        <w:rPr>
          <w:b/>
          <w:bCs/>
        </w:rPr>
      </w:pPr>
      <w:r w:rsidRPr="004E013A">
        <w:rPr>
          <w:b/>
          <w:bCs/>
        </w:rPr>
        <w:t>Bias and Discrimination</w:t>
      </w:r>
    </w:p>
    <w:p w14:paraId="5BF983FB" w14:textId="77777777" w:rsidR="00B549D7" w:rsidRPr="00202A36" w:rsidRDefault="00B549D7" w:rsidP="009E0F67">
      <w:pPr>
        <w:spacing w:after="0"/>
      </w:pPr>
    </w:p>
    <w:p w14:paraId="7F1CE2D8" w14:textId="3B8EA202" w:rsidR="00B549D7" w:rsidRPr="001F77B6" w:rsidRDefault="00B549D7" w:rsidP="004E013A">
      <w:r>
        <w:t>D</w:t>
      </w:r>
      <w:r w:rsidRPr="00202A36">
        <w:t xml:space="preserve">ata bias and discrimination </w:t>
      </w:r>
      <w:r>
        <w:t xml:space="preserve">issues </w:t>
      </w:r>
      <w:r w:rsidRPr="00202A36">
        <w:t xml:space="preserve">in criminal justice AI systems are </w:t>
      </w:r>
      <w:r>
        <w:t>well</w:t>
      </w:r>
      <w:r w:rsidRPr="00202A36">
        <w:t xml:space="preserve">-known and </w:t>
      </w:r>
      <w:r w:rsidR="00577677">
        <w:t>widely-</w:t>
      </w:r>
      <w:r>
        <w:t xml:space="preserve"> acknowledged</w:t>
      </w:r>
      <w:r w:rsidRPr="00202A36">
        <w:t>.</w:t>
      </w:r>
      <w:r w:rsidRPr="00202A36">
        <w:rPr>
          <w:rStyle w:val="EndnoteReference"/>
        </w:rPr>
        <w:endnoteReference w:id="17"/>
      </w:r>
      <w:r>
        <w:t xml:space="preserve"> For example, studies of FRT </w:t>
      </w:r>
      <w:r w:rsidRPr="001F77B6">
        <w:t>systems “have clearly demonstrated that racial and gender biases, meaning women and people of colour, are more likely to be misidentified by FRT and, therefore, potentially more likely to be wrongfully accused by police who use FRT than light-skinned men.</w:t>
      </w:r>
      <w:r>
        <w:t>”</w:t>
      </w:r>
      <w:r w:rsidRPr="001F77B6">
        <w:rPr>
          <w:rStyle w:val="EndnoteReference"/>
        </w:rPr>
        <w:endnoteReference w:id="18"/>
      </w:r>
      <w:r w:rsidRPr="00DD00EB">
        <w:t xml:space="preserve"> </w:t>
      </w:r>
      <w:r w:rsidRPr="00202A36">
        <w:t>Many predictive policing</w:t>
      </w:r>
      <w:r>
        <w:t xml:space="preserve"> and bail/sentencing algorithms </w:t>
      </w:r>
      <w:r w:rsidRPr="00202A36">
        <w:t xml:space="preserve">have </w:t>
      </w:r>
      <w:r>
        <w:t xml:space="preserve">also </w:t>
      </w:r>
      <w:r w:rsidRPr="00202A36">
        <w:t>been shown to be biased and discriminatory.</w:t>
      </w:r>
      <w:r>
        <w:rPr>
          <w:rStyle w:val="EndnoteReference"/>
        </w:rPr>
        <w:endnoteReference w:id="19"/>
      </w:r>
      <w:r w:rsidR="00BE6D0C">
        <w:t xml:space="preserve"> </w:t>
      </w:r>
    </w:p>
    <w:p w14:paraId="297ED771" w14:textId="2830679A" w:rsidR="00B549D7" w:rsidRPr="00202A36" w:rsidRDefault="00B549D7" w:rsidP="003D6946">
      <w:pPr>
        <w:rPr>
          <w:rFonts w:cstheme="minorHAnsi"/>
        </w:rPr>
      </w:pPr>
      <w:r>
        <w:t>Concerns about bias have led to many proposals to strictly regulate criminal justice AI systems.</w:t>
      </w:r>
      <w:r>
        <w:rPr>
          <w:rStyle w:val="EndnoteReference"/>
        </w:rPr>
        <w:endnoteReference w:id="20"/>
      </w:r>
      <w:r>
        <w:t xml:space="preserve"> </w:t>
      </w:r>
    </w:p>
    <w:p w14:paraId="6471AF52" w14:textId="77777777" w:rsidR="00B549D7" w:rsidRPr="004E013A" w:rsidRDefault="00B549D7" w:rsidP="00965500">
      <w:pPr>
        <w:pStyle w:val="ListParagraph"/>
        <w:numPr>
          <w:ilvl w:val="0"/>
          <w:numId w:val="17"/>
        </w:numPr>
        <w:spacing w:before="100" w:beforeAutospacing="1"/>
        <w:rPr>
          <w:b/>
          <w:bCs/>
        </w:rPr>
      </w:pPr>
      <w:r w:rsidRPr="004E013A">
        <w:rPr>
          <w:b/>
          <w:bCs/>
        </w:rPr>
        <w:t xml:space="preserve">Privacy and Surveillance </w:t>
      </w:r>
    </w:p>
    <w:p w14:paraId="17BFA2EE" w14:textId="1EE87276" w:rsidR="00B549D7" w:rsidRPr="00B91195" w:rsidRDefault="00B549D7" w:rsidP="00324294">
      <w:r w:rsidRPr="00202A36">
        <w:t xml:space="preserve">Privacy and surveillance </w:t>
      </w:r>
      <w:r>
        <w:t xml:space="preserve">risks </w:t>
      </w:r>
      <w:r w:rsidRPr="00202A36">
        <w:t xml:space="preserve">are widely </w:t>
      </w:r>
      <w:r>
        <w:t xml:space="preserve">acknowledged in </w:t>
      </w:r>
      <w:r w:rsidRPr="00202A36">
        <w:t>criminal AI systems, particularly FRT systems</w:t>
      </w:r>
      <w:r>
        <w:t>.</w:t>
      </w:r>
      <w:r>
        <w:rPr>
          <w:rStyle w:val="EndnoteReference"/>
        </w:rPr>
        <w:endnoteReference w:id="21"/>
      </w:r>
      <w:r>
        <w:t xml:space="preserve"> Privacy risks in other criminal justice AI systems can include</w:t>
      </w:r>
      <w:r w:rsidRPr="00202A36">
        <w:t xml:space="preserve">: </w:t>
      </w:r>
    </w:p>
    <w:p w14:paraId="35FAB8A6" w14:textId="0FBCEE82" w:rsidR="00B549D7" w:rsidRPr="00B91195" w:rsidRDefault="00B549D7" w:rsidP="00965500">
      <w:pPr>
        <w:pStyle w:val="ListParagraph"/>
        <w:numPr>
          <w:ilvl w:val="0"/>
          <w:numId w:val="18"/>
        </w:numPr>
      </w:pPr>
      <w:r w:rsidRPr="00202A36">
        <w:t xml:space="preserve">Social media monitoring </w:t>
      </w:r>
      <w:r>
        <w:t xml:space="preserve">systems that can reduce </w:t>
      </w:r>
      <w:r w:rsidRPr="00B91195">
        <w:rPr>
          <w:rFonts w:cstheme="minorHAnsi"/>
        </w:rPr>
        <w:t>privacy in online communications.</w:t>
      </w:r>
    </w:p>
    <w:p w14:paraId="735EA789" w14:textId="1A720D5A" w:rsidR="00B549D7" w:rsidRDefault="00B549D7" w:rsidP="00965500">
      <w:pPr>
        <w:pStyle w:val="ListParagraph"/>
        <w:numPr>
          <w:ilvl w:val="0"/>
          <w:numId w:val="18"/>
        </w:numPr>
        <w:rPr>
          <w:rFonts w:cstheme="minorHAnsi"/>
          <w:color w:val="000000"/>
        </w:rPr>
      </w:pPr>
      <w:r w:rsidRPr="00B91195">
        <w:rPr>
          <w:rFonts w:cstheme="minorHAnsi"/>
          <w:color w:val="000000"/>
        </w:rPr>
        <w:t xml:space="preserve">Automatic licence plate readers that </w:t>
      </w:r>
      <w:r>
        <w:rPr>
          <w:rFonts w:cstheme="minorHAnsi"/>
          <w:color w:val="000000"/>
        </w:rPr>
        <w:t xml:space="preserve">can track an </w:t>
      </w:r>
      <w:r w:rsidRPr="00B91195">
        <w:rPr>
          <w:rFonts w:cstheme="minorHAnsi"/>
          <w:color w:val="000000"/>
        </w:rPr>
        <w:t xml:space="preserve">individual’s movements. </w:t>
      </w:r>
    </w:p>
    <w:p w14:paraId="59CE21D2" w14:textId="1AD11775" w:rsidR="00B549D7" w:rsidRPr="00B91195" w:rsidRDefault="00B549D7" w:rsidP="00965500">
      <w:pPr>
        <w:pStyle w:val="ListParagraph"/>
        <w:numPr>
          <w:ilvl w:val="0"/>
          <w:numId w:val="18"/>
        </w:numPr>
        <w:rPr>
          <w:rFonts w:cstheme="minorHAnsi"/>
          <w:color w:val="000000"/>
        </w:rPr>
      </w:pPr>
      <w:r w:rsidRPr="00B91195">
        <w:rPr>
          <w:rFonts w:cstheme="minorHAnsi"/>
          <w:color w:val="000000"/>
        </w:rPr>
        <w:t xml:space="preserve">Drones </w:t>
      </w:r>
      <w:r>
        <w:rPr>
          <w:rFonts w:cstheme="minorHAnsi"/>
          <w:color w:val="000000"/>
        </w:rPr>
        <w:t xml:space="preserve">that surveil individuals or events or are </w:t>
      </w:r>
      <w:r w:rsidRPr="00B91195">
        <w:rPr>
          <w:rFonts w:cstheme="minorHAnsi"/>
          <w:color w:val="000000"/>
        </w:rPr>
        <w:t>used to collect information about bystanders who are not connected to a law enforcement investigation.</w:t>
      </w:r>
      <w:r>
        <w:rPr>
          <w:rStyle w:val="EndnoteReference"/>
          <w:rFonts w:cstheme="minorHAnsi"/>
          <w:color w:val="000000"/>
        </w:rPr>
        <w:endnoteReference w:id="22"/>
      </w:r>
    </w:p>
    <w:p w14:paraId="30D5B610" w14:textId="773F1047" w:rsidR="00B549D7" w:rsidRDefault="00B549D7" w:rsidP="008510CA">
      <w:pPr>
        <w:rPr>
          <w:rFonts w:cstheme="minorHAnsi"/>
          <w:color w:val="000000"/>
        </w:rPr>
      </w:pPr>
      <w:r>
        <w:rPr>
          <w:rFonts w:cstheme="minorHAnsi"/>
          <w:color w:val="000000"/>
        </w:rPr>
        <w:t>As with FRT, privacy risks have also led to many proposals to regulate or ban criminal AI applications.</w:t>
      </w:r>
      <w:r>
        <w:rPr>
          <w:rStyle w:val="EndnoteReference"/>
          <w:rFonts w:cstheme="minorHAnsi"/>
          <w:color w:val="000000"/>
        </w:rPr>
        <w:endnoteReference w:id="23"/>
      </w:r>
      <w:r>
        <w:rPr>
          <w:rFonts w:cstheme="minorHAnsi"/>
          <w:color w:val="000000"/>
        </w:rPr>
        <w:t xml:space="preserve"> </w:t>
      </w:r>
    </w:p>
    <w:p w14:paraId="35AFF0FC" w14:textId="04D314E8" w:rsidR="00B549D7" w:rsidRPr="004E013A" w:rsidRDefault="00B549D7" w:rsidP="00965500">
      <w:pPr>
        <w:pStyle w:val="ListParagraph"/>
        <w:numPr>
          <w:ilvl w:val="0"/>
          <w:numId w:val="17"/>
        </w:numPr>
        <w:rPr>
          <w:b/>
          <w:bCs/>
        </w:rPr>
      </w:pPr>
      <w:r w:rsidRPr="004E013A">
        <w:rPr>
          <w:b/>
          <w:bCs/>
        </w:rPr>
        <w:lastRenderedPageBreak/>
        <w:t>Disclosure and Transparency</w:t>
      </w:r>
    </w:p>
    <w:p w14:paraId="18995DBD" w14:textId="3BFE136B" w:rsidR="00B549D7" w:rsidRPr="00202A36" w:rsidRDefault="00B549D7" w:rsidP="00764E4B">
      <w:pPr>
        <w:rPr>
          <w:lang w:val="en-US"/>
        </w:rPr>
      </w:pPr>
      <w:r>
        <w:rPr>
          <w:lang w:val="en-US"/>
        </w:rPr>
        <w:t xml:space="preserve">Criminal AI systems are frequently criticized for their </w:t>
      </w:r>
      <w:r w:rsidRPr="00202A36">
        <w:rPr>
          <w:lang w:val="en-US"/>
        </w:rPr>
        <w:t>lack of disclosure and transparency</w:t>
      </w:r>
      <w:r>
        <w:rPr>
          <w:lang w:val="en-US"/>
        </w:rPr>
        <w:t>, including</w:t>
      </w:r>
      <w:r w:rsidRPr="00BF1F52">
        <w:rPr>
          <w:rStyle w:val="EndnoteReference"/>
          <w:lang w:val="en-US"/>
        </w:rPr>
        <w:endnoteReference w:id="24"/>
      </w:r>
      <w:r w:rsidRPr="00BF1F52">
        <w:rPr>
          <w:lang w:val="en-US"/>
        </w:rPr>
        <w:t xml:space="preserve"> </w:t>
      </w:r>
    </w:p>
    <w:p w14:paraId="4EADD534" w14:textId="627D9123" w:rsidR="00B549D7" w:rsidRPr="00202A36" w:rsidRDefault="00B549D7" w:rsidP="00965500">
      <w:pPr>
        <w:pStyle w:val="ListParagraph"/>
        <w:numPr>
          <w:ilvl w:val="0"/>
          <w:numId w:val="15"/>
        </w:numPr>
        <w:rPr>
          <w:lang w:val="en-US"/>
        </w:rPr>
      </w:pPr>
      <w:r w:rsidRPr="00202A36">
        <w:rPr>
          <w:lang w:val="en-US"/>
        </w:rPr>
        <w:t xml:space="preserve">Lack of disclosure </w:t>
      </w:r>
      <w:r>
        <w:rPr>
          <w:lang w:val="en-US"/>
        </w:rPr>
        <w:t xml:space="preserve">about </w:t>
      </w:r>
      <w:r w:rsidRPr="00202A36">
        <w:rPr>
          <w:lang w:val="en-US"/>
        </w:rPr>
        <w:t>the existence of an AI system</w:t>
      </w:r>
      <w:r>
        <w:rPr>
          <w:lang w:val="en-US"/>
        </w:rPr>
        <w:t xml:space="preserve"> generally or to the individual affected.</w:t>
      </w:r>
    </w:p>
    <w:p w14:paraId="7DD918E8" w14:textId="501D262E" w:rsidR="00B549D7" w:rsidRPr="00202A36" w:rsidRDefault="00B549D7" w:rsidP="00965500">
      <w:pPr>
        <w:pStyle w:val="ListParagraph"/>
        <w:numPr>
          <w:ilvl w:val="0"/>
          <w:numId w:val="15"/>
        </w:numPr>
        <w:rPr>
          <w:lang w:val="en-US"/>
        </w:rPr>
      </w:pPr>
      <w:r w:rsidRPr="00202A36">
        <w:rPr>
          <w:lang w:val="en-US"/>
        </w:rPr>
        <w:t xml:space="preserve">Lack of disclosure </w:t>
      </w:r>
      <w:r>
        <w:rPr>
          <w:lang w:val="en-US"/>
        </w:rPr>
        <w:t xml:space="preserve">of </w:t>
      </w:r>
      <w:r w:rsidRPr="00202A36">
        <w:rPr>
          <w:lang w:val="en-US"/>
        </w:rPr>
        <w:t>key elements of an AI system</w:t>
      </w:r>
      <w:r>
        <w:rPr>
          <w:lang w:val="en-US"/>
        </w:rPr>
        <w:t>, such as its training data.</w:t>
      </w:r>
    </w:p>
    <w:p w14:paraId="0C9D8780" w14:textId="4EBED7FF" w:rsidR="00B549D7" w:rsidRPr="00202A36" w:rsidRDefault="00B549D7" w:rsidP="00965500">
      <w:pPr>
        <w:pStyle w:val="ListParagraph"/>
        <w:numPr>
          <w:ilvl w:val="0"/>
          <w:numId w:val="15"/>
        </w:numPr>
        <w:rPr>
          <w:lang w:val="en-US"/>
        </w:rPr>
      </w:pPr>
      <w:r w:rsidRPr="00202A36">
        <w:rPr>
          <w:lang w:val="en-US"/>
        </w:rPr>
        <w:t>Lack of disclosure about how an AI system makes decisions.</w:t>
      </w:r>
      <w:r w:rsidR="00BE6D0C">
        <w:rPr>
          <w:lang w:val="en-US"/>
        </w:rPr>
        <w:t xml:space="preserve"> </w:t>
      </w:r>
    </w:p>
    <w:p w14:paraId="1263FFB6" w14:textId="404B6E08" w:rsidR="00B549D7" w:rsidRDefault="00B549D7" w:rsidP="00764E4B">
      <w:r w:rsidRPr="00BF1F52">
        <w:rPr>
          <w:lang w:val="en-US"/>
        </w:rPr>
        <w:t xml:space="preserve">The </w:t>
      </w:r>
      <w:r>
        <w:rPr>
          <w:lang w:val="en-US"/>
        </w:rPr>
        <w:t xml:space="preserve">RCMP’s use of </w:t>
      </w:r>
      <w:r w:rsidRPr="00CA401C">
        <w:t xml:space="preserve">Clearview </w:t>
      </w:r>
      <w:r>
        <w:t xml:space="preserve">AI is the best-known </w:t>
      </w:r>
      <w:r w:rsidR="000E025D">
        <w:t xml:space="preserve">Canadian </w:t>
      </w:r>
      <w:r>
        <w:t>AI disclosure controversy.</w:t>
      </w:r>
      <w:r>
        <w:rPr>
          <w:rStyle w:val="EndnoteReference"/>
        </w:rPr>
        <w:endnoteReference w:id="25"/>
      </w:r>
      <w:r>
        <w:t xml:space="preserve"> </w:t>
      </w:r>
    </w:p>
    <w:p w14:paraId="0D58145C" w14:textId="7A451EC9" w:rsidR="00B549D7" w:rsidRPr="004E013A" w:rsidRDefault="00B549D7" w:rsidP="00965500">
      <w:pPr>
        <w:pStyle w:val="ListParagraph"/>
        <w:numPr>
          <w:ilvl w:val="0"/>
          <w:numId w:val="17"/>
        </w:numPr>
        <w:spacing w:before="100" w:beforeAutospacing="1"/>
        <w:rPr>
          <w:b/>
          <w:bCs/>
        </w:rPr>
      </w:pPr>
      <w:r>
        <w:rPr>
          <w:b/>
          <w:bCs/>
        </w:rPr>
        <w:t xml:space="preserve">Opacity/Lack of </w:t>
      </w:r>
      <w:r w:rsidR="007C6531">
        <w:rPr>
          <w:b/>
          <w:bCs/>
        </w:rPr>
        <w:t>Explainability</w:t>
      </w:r>
      <w:r w:rsidRPr="004E013A">
        <w:rPr>
          <w:b/>
          <w:bCs/>
        </w:rPr>
        <w:t xml:space="preserve"> </w:t>
      </w:r>
    </w:p>
    <w:p w14:paraId="110B020A" w14:textId="2D85723A" w:rsidR="00B549D7" w:rsidRDefault="00B549D7" w:rsidP="00737BF9">
      <w:r>
        <w:rPr>
          <w:rFonts w:eastAsia="Calibri"/>
          <w:bCs/>
        </w:rPr>
        <w:t xml:space="preserve">Criminal </w:t>
      </w:r>
      <w:r w:rsidRPr="00202A36">
        <w:rPr>
          <w:rFonts w:eastAsia="Calibri"/>
          <w:bCs/>
        </w:rPr>
        <w:t xml:space="preserve">AI systems can </w:t>
      </w:r>
      <w:r w:rsidRPr="00202A36">
        <w:rPr>
          <w:rFonts w:eastAsia="Calibri"/>
        </w:rPr>
        <w:t>embed a complex mix of legal, technical, statistical and operational decisions into code.</w:t>
      </w:r>
      <w:r>
        <w:rPr>
          <w:rFonts w:eastAsia="Calibri"/>
        </w:rPr>
        <w:t xml:space="preserve"> </w:t>
      </w:r>
      <w:r w:rsidRPr="00202A36">
        <w:rPr>
          <w:rFonts w:eastAsia="Calibri"/>
        </w:rPr>
        <w:t>The complexity and opacity of AI tools may make AI-aided decisions “even more inscrutable than human judgments.”</w:t>
      </w:r>
      <w:r w:rsidRPr="00ED126A">
        <w:rPr>
          <w:rFonts w:eastAsia="Calibri"/>
          <w:vertAlign w:val="superscript"/>
        </w:rPr>
        <w:endnoteReference w:id="26"/>
      </w:r>
      <w:r w:rsidRPr="00202A36">
        <w:rPr>
          <w:rFonts w:eastAsia="Calibri"/>
        </w:rPr>
        <w:t xml:space="preserve"> As a result, </w:t>
      </w:r>
      <w:r w:rsidRPr="00202A36">
        <w:rPr>
          <w:rFonts w:eastAsia="Calibri"/>
          <w:bCs/>
        </w:rPr>
        <w:t xml:space="preserve">even simple algorithmic systems </w:t>
      </w:r>
      <w:r w:rsidR="00671283" w:rsidRPr="00202A36">
        <w:rPr>
          <w:rFonts w:eastAsia="Calibri"/>
          <w:bCs/>
        </w:rPr>
        <w:t xml:space="preserve">can </w:t>
      </w:r>
      <w:r w:rsidR="00671283">
        <w:rPr>
          <w:rFonts w:eastAsia="Calibri"/>
          <w:bCs/>
        </w:rPr>
        <w:t>become</w:t>
      </w:r>
      <w:r w:rsidR="000E025D">
        <w:rPr>
          <w:rFonts w:eastAsia="Calibri"/>
          <w:bCs/>
        </w:rPr>
        <w:t xml:space="preserve"> </w:t>
      </w:r>
      <w:r w:rsidRPr="00202A36">
        <w:rPr>
          <w:rFonts w:eastAsia="Calibri"/>
          <w:bCs/>
        </w:rPr>
        <w:t>“black boxes.”</w:t>
      </w:r>
      <w:r w:rsidRPr="00202A36">
        <w:t xml:space="preserve"> </w:t>
      </w:r>
    </w:p>
    <w:p w14:paraId="24EE795E" w14:textId="076930D1" w:rsidR="00B549D7" w:rsidRPr="004E013A" w:rsidRDefault="00B549D7" w:rsidP="00965500">
      <w:pPr>
        <w:pStyle w:val="ListParagraph"/>
        <w:numPr>
          <w:ilvl w:val="0"/>
          <w:numId w:val="17"/>
        </w:numPr>
        <w:spacing w:before="100" w:beforeAutospacing="1" w:after="0"/>
        <w:rPr>
          <w:b/>
          <w:bCs/>
        </w:rPr>
      </w:pPr>
      <w:r w:rsidRPr="004E013A">
        <w:rPr>
          <w:b/>
          <w:bCs/>
        </w:rPr>
        <w:t xml:space="preserve">Data Accuracy, Reliability, and Validity </w:t>
      </w:r>
    </w:p>
    <w:p w14:paraId="36BE35FA" w14:textId="77777777" w:rsidR="00B549D7" w:rsidRDefault="00B549D7" w:rsidP="009E0F67">
      <w:pPr>
        <w:spacing w:after="0"/>
        <w:rPr>
          <w:rStyle w:val="BodyTextChar"/>
        </w:rPr>
      </w:pPr>
    </w:p>
    <w:p w14:paraId="6A9D62B7" w14:textId="2832F627" w:rsidR="00B549D7" w:rsidRDefault="00B549D7" w:rsidP="008510CA">
      <w:pPr>
        <w:spacing w:after="0"/>
        <w:rPr>
          <w:rFonts w:cstheme="minorHAnsi"/>
        </w:rPr>
      </w:pPr>
      <w:r w:rsidRPr="000D649D">
        <w:rPr>
          <w:rFonts w:cstheme="minorHAnsi"/>
        </w:rPr>
        <w:t>FRT, predictive policing and other criminal justice AI systems have been subject to strident criticisms about the accuracy, reliability</w:t>
      </w:r>
      <w:r w:rsidR="003E2307">
        <w:rPr>
          <w:rFonts w:cstheme="minorHAnsi"/>
        </w:rPr>
        <w:t xml:space="preserve"> </w:t>
      </w:r>
      <w:r w:rsidRPr="000D649D">
        <w:rPr>
          <w:rFonts w:cstheme="minorHAnsi"/>
        </w:rPr>
        <w:t>and validity of their training data.</w:t>
      </w:r>
      <w:r w:rsidRPr="000D649D">
        <w:rPr>
          <w:rStyle w:val="EndnoteReference"/>
          <w:rFonts w:cstheme="minorHAnsi"/>
        </w:rPr>
        <w:endnoteReference w:id="27"/>
      </w:r>
      <w:r w:rsidR="00BE6D0C">
        <w:rPr>
          <w:rFonts w:cstheme="minorHAnsi"/>
        </w:rPr>
        <w:t xml:space="preserve"> </w:t>
      </w:r>
    </w:p>
    <w:p w14:paraId="15B3ED77" w14:textId="77777777" w:rsidR="00B549D7" w:rsidRDefault="00B549D7" w:rsidP="008510CA">
      <w:pPr>
        <w:spacing w:after="0"/>
        <w:rPr>
          <w:rFonts w:cstheme="minorHAnsi"/>
        </w:rPr>
      </w:pPr>
    </w:p>
    <w:p w14:paraId="52350142" w14:textId="634DA110" w:rsidR="00001339" w:rsidRPr="00AD6E34" w:rsidRDefault="00F464D4" w:rsidP="00154829">
      <w:pPr>
        <w:pStyle w:val="ListParagraph"/>
        <w:numPr>
          <w:ilvl w:val="0"/>
          <w:numId w:val="17"/>
        </w:numPr>
        <w:spacing w:after="0"/>
        <w:rPr>
          <w:b/>
          <w:bCs/>
          <w:w w:val="105"/>
        </w:rPr>
      </w:pPr>
      <w:r w:rsidRPr="00AD6E34">
        <w:rPr>
          <w:b/>
          <w:bCs/>
          <w:w w:val="105"/>
        </w:rPr>
        <w:t xml:space="preserve">Effective </w:t>
      </w:r>
      <w:r w:rsidR="00965500" w:rsidRPr="00AD6E34">
        <w:rPr>
          <w:b/>
          <w:bCs/>
          <w:w w:val="105"/>
        </w:rPr>
        <w:t>Oversight</w:t>
      </w:r>
    </w:p>
    <w:p w14:paraId="075118D2" w14:textId="77777777" w:rsidR="00A20E8C" w:rsidRPr="00AD6E34" w:rsidRDefault="00A20E8C" w:rsidP="00A20E8C">
      <w:pPr>
        <w:pStyle w:val="ListParagraph"/>
        <w:spacing w:after="0"/>
        <w:ind w:left="1080"/>
        <w:rPr>
          <w:b/>
          <w:bCs/>
          <w:w w:val="105"/>
        </w:rPr>
      </w:pPr>
    </w:p>
    <w:p w14:paraId="06FFC884" w14:textId="67A581C0" w:rsidR="00001339" w:rsidRPr="00AD6E34" w:rsidRDefault="006220C0" w:rsidP="00001339">
      <w:pPr>
        <w:spacing w:after="0"/>
        <w:rPr>
          <w:rFonts w:eastAsia="Times New Roman" w:cstheme="minorHAnsi"/>
          <w:kern w:val="0"/>
          <w:lang w:eastAsia="en-CA"/>
          <w14:ligatures w14:val="none"/>
        </w:rPr>
      </w:pPr>
      <w:r w:rsidRPr="00AD6E34">
        <w:rPr>
          <w:rFonts w:eastAsia="Times New Roman" w:cstheme="minorHAnsi"/>
          <w:kern w:val="0"/>
          <w:lang w:eastAsia="en-CA"/>
          <w14:ligatures w14:val="none"/>
        </w:rPr>
        <w:t>Criminal AI systems raise several oversight</w:t>
      </w:r>
      <w:r w:rsidR="00ED2E3E" w:rsidRPr="00AD6E34">
        <w:rPr>
          <w:rFonts w:eastAsia="Times New Roman" w:cstheme="minorHAnsi"/>
          <w:kern w:val="0"/>
          <w:lang w:eastAsia="en-CA"/>
          <w14:ligatures w14:val="none"/>
        </w:rPr>
        <w:t xml:space="preserve"> risks</w:t>
      </w:r>
      <w:r w:rsidRPr="00AD6E34">
        <w:rPr>
          <w:rFonts w:eastAsia="Times New Roman" w:cstheme="minorHAnsi"/>
          <w:kern w:val="0"/>
          <w:lang w:eastAsia="en-CA"/>
          <w14:ligatures w14:val="none"/>
        </w:rPr>
        <w:t xml:space="preserve">, </w:t>
      </w:r>
      <w:r w:rsidR="00F464D4" w:rsidRPr="00AD6E34">
        <w:rPr>
          <w:rFonts w:eastAsia="Times New Roman" w:cstheme="minorHAnsi"/>
          <w:kern w:val="0"/>
          <w:lang w:eastAsia="en-CA"/>
          <w14:ligatures w14:val="none"/>
        </w:rPr>
        <w:t xml:space="preserve">including: </w:t>
      </w:r>
    </w:p>
    <w:p w14:paraId="1DBC1665" w14:textId="77777777" w:rsidR="00001339" w:rsidRPr="00AD6E34" w:rsidRDefault="00001339" w:rsidP="00001339">
      <w:pPr>
        <w:spacing w:after="0"/>
        <w:rPr>
          <w:rFonts w:eastAsia="Times New Roman" w:cstheme="minorHAnsi"/>
          <w:kern w:val="0"/>
          <w:lang w:eastAsia="en-CA"/>
          <w14:ligatures w14:val="none"/>
        </w:rPr>
      </w:pPr>
    </w:p>
    <w:p w14:paraId="20C7C623" w14:textId="5CF7991D" w:rsidR="00AD6E34" w:rsidRPr="00AD6E34" w:rsidRDefault="00AD6E34" w:rsidP="00965500">
      <w:pPr>
        <w:pStyle w:val="ListParagraph"/>
        <w:numPr>
          <w:ilvl w:val="0"/>
          <w:numId w:val="23"/>
        </w:numPr>
        <w:spacing w:after="0"/>
        <w:rPr>
          <w:w w:val="105"/>
        </w:rPr>
      </w:pPr>
      <w:r w:rsidRPr="00AD6E34">
        <w:rPr>
          <w:b/>
          <w:bCs/>
          <w:w w:val="105"/>
        </w:rPr>
        <w:t>Governance Gaps</w:t>
      </w:r>
      <w:r w:rsidR="00F464D4" w:rsidRPr="00AD6E34">
        <w:rPr>
          <w:b/>
          <w:bCs/>
          <w:w w:val="105"/>
        </w:rPr>
        <w:t xml:space="preserve">. </w:t>
      </w:r>
      <w:r w:rsidR="00516AD8" w:rsidRPr="00AD6E34">
        <w:rPr>
          <w:w w:val="105"/>
        </w:rPr>
        <w:t xml:space="preserve">Without </w:t>
      </w:r>
      <w:r w:rsidR="00F464D4" w:rsidRPr="00AD6E34">
        <w:rPr>
          <w:w w:val="105"/>
        </w:rPr>
        <w:t xml:space="preserve">clear and consistent legal </w:t>
      </w:r>
      <w:r w:rsidR="00A20E8C" w:rsidRPr="00AD6E34">
        <w:rPr>
          <w:w w:val="105"/>
        </w:rPr>
        <w:t xml:space="preserve">policies or </w:t>
      </w:r>
      <w:r w:rsidR="00516AD8" w:rsidRPr="00AD6E34">
        <w:rPr>
          <w:w w:val="105"/>
        </w:rPr>
        <w:t xml:space="preserve">guardrails, </w:t>
      </w:r>
      <w:r w:rsidR="006220C0" w:rsidRPr="00AD6E34">
        <w:rPr>
          <w:w w:val="105"/>
        </w:rPr>
        <w:t xml:space="preserve">there could </w:t>
      </w:r>
      <w:r w:rsidRPr="00AD6E34">
        <w:rPr>
          <w:w w:val="105"/>
        </w:rPr>
        <w:t xml:space="preserve">be </w:t>
      </w:r>
      <w:r w:rsidR="006220C0" w:rsidRPr="00AD6E34">
        <w:rPr>
          <w:w w:val="105"/>
        </w:rPr>
        <w:t xml:space="preserve">gaps in AI legal accountability. </w:t>
      </w:r>
      <w:r w:rsidR="00A20E8C" w:rsidRPr="00AD6E34">
        <w:rPr>
          <w:w w:val="105"/>
        </w:rPr>
        <w:t xml:space="preserve">For example, </w:t>
      </w:r>
      <w:r w:rsidRPr="00AD6E34">
        <w:rPr>
          <w:w w:val="105"/>
        </w:rPr>
        <w:t xml:space="preserve">not all </w:t>
      </w:r>
      <w:r w:rsidR="00ED2E3E" w:rsidRPr="00AD6E34">
        <w:rPr>
          <w:w w:val="105"/>
        </w:rPr>
        <w:t xml:space="preserve">police services </w:t>
      </w:r>
      <w:r w:rsidRPr="00AD6E34">
        <w:rPr>
          <w:w w:val="105"/>
        </w:rPr>
        <w:t xml:space="preserve">could have </w:t>
      </w:r>
      <w:r w:rsidR="00ED2E3E" w:rsidRPr="00AD6E34">
        <w:rPr>
          <w:w w:val="105"/>
        </w:rPr>
        <w:t>AI policies</w:t>
      </w:r>
      <w:r w:rsidRPr="00AD6E34">
        <w:rPr>
          <w:w w:val="105"/>
        </w:rPr>
        <w:t xml:space="preserve">. </w:t>
      </w:r>
    </w:p>
    <w:p w14:paraId="7CF01E95" w14:textId="3E4F6964" w:rsidR="00ED2E3E" w:rsidRPr="00AD6E34" w:rsidRDefault="00AD6E34" w:rsidP="00965500">
      <w:pPr>
        <w:pStyle w:val="ListParagraph"/>
        <w:numPr>
          <w:ilvl w:val="0"/>
          <w:numId w:val="23"/>
        </w:numPr>
        <w:spacing w:after="0"/>
        <w:rPr>
          <w:w w:val="105"/>
        </w:rPr>
      </w:pPr>
      <w:r w:rsidRPr="00AD6E34">
        <w:rPr>
          <w:b/>
          <w:bCs/>
          <w:w w:val="105"/>
        </w:rPr>
        <w:t xml:space="preserve">Inconsistent or Incomplete Judicial Oversight. </w:t>
      </w:r>
      <w:r w:rsidRPr="00AD6E34">
        <w:rPr>
          <w:w w:val="105"/>
        </w:rPr>
        <w:t xml:space="preserve">Absent consistent rules, courts </w:t>
      </w:r>
      <w:r w:rsidR="002465D7">
        <w:rPr>
          <w:w w:val="105"/>
        </w:rPr>
        <w:t xml:space="preserve">may have to </w:t>
      </w:r>
      <w:r w:rsidRPr="00AD6E34">
        <w:rPr>
          <w:w w:val="105"/>
        </w:rPr>
        <w:t xml:space="preserve">decide complex AI issues on a case-by-case basis, </w:t>
      </w:r>
      <w:r w:rsidR="00ED2E3E" w:rsidRPr="00AD6E34">
        <w:rPr>
          <w:w w:val="105"/>
        </w:rPr>
        <w:t xml:space="preserve">risking </w:t>
      </w:r>
      <w:r w:rsidR="00F464D4" w:rsidRPr="00AD6E34">
        <w:rPr>
          <w:w w:val="105"/>
        </w:rPr>
        <w:t xml:space="preserve">inconsistent or incomplete </w:t>
      </w:r>
      <w:r w:rsidR="00ED2E3E" w:rsidRPr="00AD6E34">
        <w:rPr>
          <w:w w:val="105"/>
        </w:rPr>
        <w:t>oversight</w:t>
      </w:r>
      <w:r w:rsidR="00DD3915" w:rsidRPr="00AD6E34">
        <w:rPr>
          <w:w w:val="105"/>
        </w:rPr>
        <w:t xml:space="preserve">; </w:t>
      </w:r>
      <w:r w:rsidR="00516AD8" w:rsidRPr="00AD6E34">
        <w:rPr>
          <w:w w:val="105"/>
        </w:rPr>
        <w:t>delay</w:t>
      </w:r>
      <w:r w:rsidR="00F464D4" w:rsidRPr="00AD6E34">
        <w:rPr>
          <w:w w:val="105"/>
        </w:rPr>
        <w:t>s</w:t>
      </w:r>
      <w:r w:rsidR="00DD3915" w:rsidRPr="00AD6E34">
        <w:rPr>
          <w:w w:val="105"/>
        </w:rPr>
        <w:t>;</w:t>
      </w:r>
      <w:r w:rsidR="00516AD8" w:rsidRPr="00AD6E34">
        <w:rPr>
          <w:w w:val="105"/>
        </w:rPr>
        <w:t xml:space="preserve"> </w:t>
      </w:r>
      <w:r w:rsidR="00F464D4" w:rsidRPr="00AD6E34">
        <w:rPr>
          <w:w w:val="105"/>
        </w:rPr>
        <w:t xml:space="preserve">and increased </w:t>
      </w:r>
      <w:r w:rsidR="00186A4B" w:rsidRPr="00AD6E34">
        <w:rPr>
          <w:w w:val="105"/>
        </w:rPr>
        <w:t>litigation</w:t>
      </w:r>
      <w:r w:rsidR="00ED2E3E" w:rsidRPr="00AD6E34">
        <w:rPr>
          <w:w w:val="105"/>
        </w:rPr>
        <w:t xml:space="preserve"> cost</w:t>
      </w:r>
      <w:r w:rsidR="002465D7">
        <w:rPr>
          <w:w w:val="105"/>
        </w:rPr>
        <w:t>s</w:t>
      </w:r>
      <w:r w:rsidR="00F464D4" w:rsidRPr="00AD6E34">
        <w:rPr>
          <w:w w:val="105"/>
        </w:rPr>
        <w:t xml:space="preserve">. </w:t>
      </w:r>
    </w:p>
    <w:p w14:paraId="43A16E25" w14:textId="07157B2F" w:rsidR="00AD6E34" w:rsidRPr="00AD6E34" w:rsidRDefault="00ED2E3E" w:rsidP="00AD6E34">
      <w:pPr>
        <w:pStyle w:val="ListParagraph"/>
        <w:numPr>
          <w:ilvl w:val="0"/>
          <w:numId w:val="23"/>
        </w:numPr>
        <w:spacing w:after="0"/>
        <w:rPr>
          <w:w w:val="105"/>
        </w:rPr>
      </w:pPr>
      <w:r w:rsidRPr="00AD6E34">
        <w:rPr>
          <w:b/>
          <w:bCs/>
        </w:rPr>
        <w:t>Loss of Judicial Independence</w:t>
      </w:r>
      <w:r w:rsidR="00AD6E34">
        <w:rPr>
          <w:b/>
          <w:bCs/>
        </w:rPr>
        <w:t>/Reduced Discretion</w:t>
      </w:r>
      <w:r w:rsidRPr="00AD6E34">
        <w:rPr>
          <w:b/>
          <w:bCs/>
        </w:rPr>
        <w:t>.</w:t>
      </w:r>
      <w:r w:rsidRPr="00AD6E34">
        <w:t xml:space="preserve"> Over-reliance on AI predictions may compromise the appearance or reality of judicial or tribunal independence. </w:t>
      </w:r>
      <w:r w:rsidR="00AD6E34" w:rsidRPr="00AD6E34">
        <w:t xml:space="preserve">Automation bias may lead decision-makers to limit their discretion, even when there is a “human-in-the-loop.” </w:t>
      </w:r>
    </w:p>
    <w:p w14:paraId="777F33CA" w14:textId="04B729FD" w:rsidR="00ED2E3E" w:rsidRPr="00AD6E34" w:rsidRDefault="002465D7" w:rsidP="00ED2E3E">
      <w:pPr>
        <w:pStyle w:val="ListParagraph"/>
        <w:numPr>
          <w:ilvl w:val="0"/>
          <w:numId w:val="23"/>
        </w:numPr>
        <w:spacing w:before="100" w:beforeAutospacing="1" w:after="0"/>
        <w:rPr>
          <w:w w:val="105"/>
        </w:rPr>
      </w:pPr>
      <w:r>
        <w:rPr>
          <w:b/>
          <w:bCs/>
          <w:w w:val="105"/>
        </w:rPr>
        <w:t>Lack of Public Engagement.</w:t>
      </w:r>
      <w:r>
        <w:rPr>
          <w:w w:val="105"/>
        </w:rPr>
        <w:t xml:space="preserve"> </w:t>
      </w:r>
      <w:r>
        <w:rPr>
          <w:rFonts w:ascii="Aptos" w:hAnsi="Aptos"/>
          <w:color w:val="212121"/>
        </w:rPr>
        <w:t>Many criminal AI systems have been criticized by communities who believe they were not consulted or informed about systems that affect them.</w:t>
      </w:r>
      <w:r>
        <w:rPr>
          <w:b/>
          <w:bCs/>
          <w:w w:val="105"/>
        </w:rPr>
        <w:t xml:space="preserve"> </w:t>
      </w:r>
    </w:p>
    <w:p w14:paraId="10C85E8F" w14:textId="4CBD5EE6" w:rsidR="00516AD8" w:rsidRPr="00AD6E34" w:rsidRDefault="002465D7" w:rsidP="00ED2E3E">
      <w:pPr>
        <w:spacing w:before="100" w:beforeAutospacing="1" w:after="0"/>
        <w:rPr>
          <w:w w:val="105"/>
        </w:rPr>
      </w:pPr>
      <w:r>
        <w:rPr>
          <w:w w:val="105"/>
        </w:rPr>
        <w:t xml:space="preserve">These risks </w:t>
      </w:r>
      <w:r w:rsidR="00ED2E3E" w:rsidRPr="00AD6E34">
        <w:rPr>
          <w:w w:val="105"/>
        </w:rPr>
        <w:t xml:space="preserve">could </w:t>
      </w:r>
      <w:r w:rsidR="00DD3915" w:rsidRPr="00AD6E34">
        <w:t xml:space="preserve">erode </w:t>
      </w:r>
      <w:r w:rsidR="00DD3915" w:rsidRPr="00AD6E34">
        <w:rPr>
          <w:i/>
          <w:iCs/>
        </w:rPr>
        <w:t>Charter</w:t>
      </w:r>
      <w:r w:rsidR="00DD3915" w:rsidRPr="00AD6E34">
        <w:t xml:space="preserve"> rights, procedural fairness, the reliability of evidence, and precedent</w:t>
      </w:r>
      <w:r>
        <w:t>s</w:t>
      </w:r>
      <w:r w:rsidR="00DD3915" w:rsidRPr="00AD6E34">
        <w:t>.</w:t>
      </w:r>
    </w:p>
    <w:p w14:paraId="6F93F91E" w14:textId="77777777" w:rsidR="006220C0" w:rsidRPr="00AD6E34" w:rsidRDefault="006220C0" w:rsidP="00ED2E3E">
      <w:pPr>
        <w:pStyle w:val="ListParagraph"/>
        <w:spacing w:after="0"/>
        <w:rPr>
          <w:b/>
          <w:w w:val="105"/>
        </w:rPr>
      </w:pPr>
    </w:p>
    <w:p w14:paraId="5E7E8073" w14:textId="63042494" w:rsidR="00AD6E34" w:rsidRPr="00AD6E34" w:rsidRDefault="00AD6E34" w:rsidP="006220C0">
      <w:pPr>
        <w:pStyle w:val="ListParagraph"/>
        <w:numPr>
          <w:ilvl w:val="0"/>
          <w:numId w:val="17"/>
        </w:numPr>
        <w:spacing w:after="0"/>
        <w:rPr>
          <w:b/>
          <w:bCs/>
          <w:w w:val="105"/>
        </w:rPr>
      </w:pPr>
      <w:r>
        <w:rPr>
          <w:b/>
          <w:bCs/>
          <w:w w:val="105"/>
        </w:rPr>
        <w:t>Miscarriages of Justice</w:t>
      </w:r>
      <w:r w:rsidR="006220C0" w:rsidRPr="00AD6E34">
        <w:rPr>
          <w:b/>
          <w:bCs/>
          <w:w w:val="105"/>
        </w:rPr>
        <w:t xml:space="preserve">/Access to Justice </w:t>
      </w:r>
      <w:r w:rsidR="00DD3915" w:rsidRPr="00AD6E34">
        <w:rPr>
          <w:b/>
          <w:bCs/>
          <w:w w:val="105"/>
        </w:rPr>
        <w:t xml:space="preserve"> </w:t>
      </w:r>
      <w:r w:rsidR="00001339" w:rsidRPr="00AD6E34">
        <w:rPr>
          <w:b/>
          <w:bCs/>
          <w:w w:val="105"/>
        </w:rPr>
        <w:br/>
      </w:r>
    </w:p>
    <w:p w14:paraId="6BFA711F" w14:textId="54CCC397" w:rsidR="002465D7" w:rsidRDefault="00AD6E34" w:rsidP="00AD6E34">
      <w:r>
        <w:t xml:space="preserve">Any of the risks above could lead to miscarriages of justice for individual </w:t>
      </w:r>
      <w:r w:rsidR="002465D7">
        <w:t>accused, including risks of false arrest</w:t>
      </w:r>
      <w:r w:rsidR="00B54C76">
        <w:t>;</w:t>
      </w:r>
      <w:r w:rsidR="002465D7">
        <w:t xml:space="preserve"> false imprisonment</w:t>
      </w:r>
      <w:r w:rsidR="00B54C76">
        <w:t>;</w:t>
      </w:r>
      <w:r w:rsidR="002465D7">
        <w:t xml:space="preserve"> and risks to </w:t>
      </w:r>
      <w:r w:rsidR="002465D7" w:rsidRPr="002465D7">
        <w:rPr>
          <w:i/>
          <w:iCs/>
        </w:rPr>
        <w:t>Charter</w:t>
      </w:r>
      <w:r w:rsidR="002465D7">
        <w:t xml:space="preserve"> rights, privacy, and procedural fairness.  </w:t>
      </w:r>
    </w:p>
    <w:p w14:paraId="1CBCF4C5" w14:textId="67E1B1C9" w:rsidR="00001339" w:rsidRPr="002465D7" w:rsidRDefault="002465D7" w:rsidP="002465D7">
      <w:pPr>
        <w:rPr>
          <w:rFonts w:ascii="Aptos" w:hAnsi="Aptos"/>
          <w:color w:val="212121"/>
        </w:rPr>
      </w:pPr>
      <w:r>
        <w:rPr>
          <w:rFonts w:ascii="Aptos" w:hAnsi="Aptos"/>
          <w:color w:val="212121"/>
        </w:rPr>
        <w:t xml:space="preserve">Criminal AI systems also raise systemic access to justice concerns, including how criminal accused (particularly accused represented by legal aid or who are self-represented) will be able to effectively challenge AI systems. </w:t>
      </w:r>
    </w:p>
    <w:p w14:paraId="22ACD989" w14:textId="44D55C94" w:rsidR="00B549D7" w:rsidRPr="00182FE0" w:rsidRDefault="00B549D7" w:rsidP="00965500">
      <w:pPr>
        <w:pStyle w:val="Heading1"/>
        <w:numPr>
          <w:ilvl w:val="0"/>
          <w:numId w:val="21"/>
        </w:numPr>
        <w:spacing w:before="0"/>
      </w:pPr>
      <w:bookmarkStart w:id="16" w:name="_Toc194406401"/>
      <w:bookmarkStart w:id="17" w:name="_Toc195604712"/>
      <w:r w:rsidRPr="00182FE0">
        <w:lastRenderedPageBreak/>
        <w:t>AI Benefits and Risks in Context</w:t>
      </w:r>
      <w:bookmarkEnd w:id="16"/>
      <w:bookmarkEnd w:id="17"/>
      <w:r w:rsidRPr="00182FE0">
        <w:t xml:space="preserve"> </w:t>
      </w:r>
    </w:p>
    <w:p w14:paraId="7886A85F" w14:textId="77777777" w:rsidR="00B549D7" w:rsidRDefault="00B549D7" w:rsidP="00305C53">
      <w:pPr>
        <w:spacing w:after="0"/>
        <w:rPr>
          <w:rFonts w:eastAsia="Times New Roman"/>
        </w:rPr>
      </w:pPr>
    </w:p>
    <w:p w14:paraId="5F22F361" w14:textId="6BAF2A67" w:rsidR="00B549D7" w:rsidRDefault="00B549D7" w:rsidP="00784133">
      <w:r w:rsidRPr="00412B4E">
        <w:rPr>
          <w:rFonts w:eastAsia="Times New Roman"/>
        </w:rPr>
        <w:t xml:space="preserve">When assessing criminal AI </w:t>
      </w:r>
      <w:r>
        <w:rPr>
          <w:rFonts w:eastAsia="Times New Roman"/>
        </w:rPr>
        <w:t xml:space="preserve">benefits and </w:t>
      </w:r>
      <w:r w:rsidRPr="00412B4E">
        <w:rPr>
          <w:rFonts w:eastAsia="Times New Roman"/>
        </w:rPr>
        <w:t xml:space="preserve">risks, it is important to account for the </w:t>
      </w:r>
      <w:r w:rsidRPr="00412B4E">
        <w:rPr>
          <w:rFonts w:eastAsia="Times New Roman"/>
          <w:lang w:val="en-US" w:eastAsia="en-CA"/>
        </w:rPr>
        <w:t xml:space="preserve">variations within and between criminal AI systems. These variations can have wide ranging implications for public safety, police investigations, and individual rights. For example, surveillance risks are present in all FRT systems, but the scope of that risk largely depends on how and where FRT images are collected and what database they are compared to. </w:t>
      </w:r>
      <w:r>
        <w:rPr>
          <w:rFonts w:eastAsia="Times New Roman"/>
          <w:lang w:val="en-US" w:eastAsia="en-CA"/>
        </w:rPr>
        <w:t>There are also many variations within and between predictive policing systems</w:t>
      </w:r>
      <w:r w:rsidRPr="00A8323D">
        <w:t>.</w:t>
      </w:r>
      <w:r w:rsidRPr="00A8323D">
        <w:rPr>
          <w:rStyle w:val="EndnoteReference"/>
        </w:rPr>
        <w:endnoteReference w:id="28"/>
      </w:r>
      <w:r w:rsidR="00BE6D0C">
        <w:t xml:space="preserve"> </w:t>
      </w:r>
    </w:p>
    <w:p w14:paraId="568962C9" w14:textId="62A78635" w:rsidR="00B549D7" w:rsidRDefault="00B549D7" w:rsidP="00412B4E">
      <w:pPr>
        <w:spacing w:after="0"/>
      </w:pPr>
      <w:r>
        <w:t>It is also important to note that criminal AI technologies are not static. For example, a recent U.S. National Academy of Sciences report note</w:t>
      </w:r>
      <w:r w:rsidR="003E2307">
        <w:t xml:space="preserve">s </w:t>
      </w:r>
      <w:r>
        <w:t>that predictive policing is evolving and that many of the early predictive policing systems “have come and gone” in the face of significant criticisms.</w:t>
      </w:r>
      <w:r>
        <w:rPr>
          <w:rStyle w:val="EndnoteReference"/>
        </w:rPr>
        <w:endnoteReference w:id="29"/>
      </w:r>
      <w:r>
        <w:t xml:space="preserve"> </w:t>
      </w:r>
    </w:p>
    <w:p w14:paraId="705702AF" w14:textId="7256B563" w:rsidR="00B549D7" w:rsidRPr="00182FE0" w:rsidRDefault="00B549D7" w:rsidP="00965500">
      <w:pPr>
        <w:pStyle w:val="Heading1"/>
        <w:numPr>
          <w:ilvl w:val="0"/>
          <w:numId w:val="21"/>
        </w:numPr>
      </w:pPr>
      <w:bookmarkStart w:id="18" w:name="_Toc173918240"/>
      <w:bookmarkStart w:id="19" w:name="_Toc188900897"/>
      <w:bookmarkStart w:id="20" w:name="_Toc194406402"/>
      <w:bookmarkStart w:id="21" w:name="_Toc195604713"/>
      <w:r w:rsidRPr="00182FE0">
        <w:t>Overview of Criminal AI Project Issue Papers</w:t>
      </w:r>
      <w:bookmarkEnd w:id="18"/>
      <w:bookmarkEnd w:id="19"/>
      <w:bookmarkEnd w:id="20"/>
      <w:bookmarkEnd w:id="21"/>
      <w:r w:rsidRPr="00182FE0">
        <w:t xml:space="preserve"> </w:t>
      </w:r>
    </w:p>
    <w:p w14:paraId="08131CC4" w14:textId="77777777" w:rsidR="00B549D7" w:rsidRDefault="00B549D7" w:rsidP="0049610A">
      <w:pPr>
        <w:spacing w:after="0"/>
      </w:pPr>
    </w:p>
    <w:p w14:paraId="53D30E16" w14:textId="1FB738DF" w:rsidR="00B549D7" w:rsidRPr="00CE221D" w:rsidRDefault="00B549D7" w:rsidP="003E2307">
      <w:pPr>
        <w:spacing w:after="0"/>
        <w:rPr>
          <w:rFonts w:cstheme="minorHAnsi"/>
          <w:i/>
          <w:iCs/>
        </w:rPr>
      </w:pPr>
      <w:r>
        <w:t>Th</w:t>
      </w:r>
      <w:r w:rsidR="00B54C76">
        <w:t xml:space="preserve">e LCO Criminal AI </w:t>
      </w:r>
      <w:r>
        <w:t xml:space="preserve">project includes an Introduction and four </w:t>
      </w:r>
      <w:r w:rsidR="00F730D5">
        <w:t xml:space="preserve">specific </w:t>
      </w:r>
      <w:r>
        <w:t xml:space="preserve">Issue Papers. Each Issue Paper </w:t>
      </w:r>
      <w:r w:rsidR="00F730D5">
        <w:t xml:space="preserve">considers </w:t>
      </w:r>
      <w:r>
        <w:t>the use of AI in a distinct phase of the criminal justice process</w:t>
      </w:r>
      <w:bookmarkStart w:id="22" w:name="_Toc188900898"/>
      <w:r w:rsidR="003E2307">
        <w:t>.</w:t>
      </w:r>
    </w:p>
    <w:p w14:paraId="0FD435E6" w14:textId="77777777" w:rsidR="00B549D7" w:rsidRDefault="00B549D7" w:rsidP="00B549D7">
      <w:pPr>
        <w:spacing w:after="0"/>
        <w:rPr>
          <w:lang w:eastAsia="en-CA"/>
        </w:rPr>
      </w:pPr>
    </w:p>
    <w:p w14:paraId="3738225F" w14:textId="2CD0BC42" w:rsidR="00B549D7" w:rsidRDefault="00B549D7" w:rsidP="00AD6AD7">
      <w:pPr>
        <w:rPr>
          <w:lang w:eastAsia="en-CA"/>
        </w:rPr>
      </w:pPr>
      <w:r>
        <w:rPr>
          <w:lang w:eastAsia="en-CA"/>
        </w:rPr>
        <w:t xml:space="preserve">All project Issue Papers are </w:t>
      </w:r>
      <w:r w:rsidR="007C6531">
        <w:rPr>
          <w:lang w:eastAsia="en-CA"/>
        </w:rPr>
        <w:t>available</w:t>
      </w:r>
      <w:r>
        <w:rPr>
          <w:lang w:eastAsia="en-CA"/>
        </w:rPr>
        <w:t xml:space="preserve"> on the LCO </w:t>
      </w:r>
      <w:r w:rsidR="007C6531">
        <w:rPr>
          <w:lang w:eastAsia="en-CA"/>
        </w:rPr>
        <w:t>project</w:t>
      </w:r>
      <w:r>
        <w:rPr>
          <w:lang w:eastAsia="en-CA"/>
        </w:rPr>
        <w:t xml:space="preserve"> </w:t>
      </w:r>
      <w:hyperlink r:id="rId33" w:history="1">
        <w:r w:rsidRPr="00AD6AD7">
          <w:rPr>
            <w:rStyle w:val="Hyperlink"/>
            <w:lang w:eastAsia="en-CA"/>
          </w:rPr>
          <w:t>website</w:t>
        </w:r>
      </w:hyperlink>
      <w:r>
        <w:rPr>
          <w:lang w:eastAsia="en-CA"/>
        </w:rPr>
        <w:t xml:space="preserve">. </w:t>
      </w:r>
    </w:p>
    <w:p w14:paraId="77B695D4" w14:textId="7FB61B3A" w:rsidR="003E2307" w:rsidRDefault="003E2307" w:rsidP="003E2307">
      <w:pPr>
        <w:spacing w:after="0"/>
        <w:ind w:left="1440" w:hanging="1440"/>
        <w:rPr>
          <w:b/>
          <w:bCs/>
          <w:lang w:eastAsia="en-CA"/>
        </w:rPr>
      </w:pPr>
      <w:r>
        <w:rPr>
          <w:b/>
          <w:bCs/>
          <w:lang w:eastAsia="en-CA"/>
        </w:rPr>
        <w:t xml:space="preserve">Paper 1: </w:t>
      </w:r>
      <w:r>
        <w:rPr>
          <w:b/>
          <w:bCs/>
          <w:lang w:eastAsia="en-CA"/>
        </w:rPr>
        <w:tab/>
        <w:t xml:space="preserve">Introduction to the LCO Criminal AI Project </w:t>
      </w:r>
    </w:p>
    <w:p w14:paraId="0493ACED" w14:textId="77777777" w:rsidR="003E2307" w:rsidRDefault="003E2307" w:rsidP="003E2307">
      <w:pPr>
        <w:spacing w:after="0"/>
        <w:ind w:left="1440" w:hanging="1440"/>
        <w:rPr>
          <w:b/>
          <w:bCs/>
          <w:lang w:eastAsia="en-CA"/>
        </w:rPr>
      </w:pPr>
    </w:p>
    <w:p w14:paraId="5A53A2D3" w14:textId="2FB7350E" w:rsidR="003E2307" w:rsidRDefault="003E2307" w:rsidP="003E2307">
      <w:pPr>
        <w:spacing w:after="0"/>
        <w:rPr>
          <w:color w:val="000000" w:themeColor="text1"/>
        </w:rPr>
      </w:pPr>
      <w:r>
        <w:rPr>
          <w:lang w:eastAsia="en-CA"/>
        </w:rPr>
        <w:t xml:space="preserve">The first paper is an introduction </w:t>
      </w:r>
      <w:r w:rsidR="00EB09CE">
        <w:rPr>
          <w:lang w:eastAsia="en-CA"/>
        </w:rPr>
        <w:t xml:space="preserve">and summary </w:t>
      </w:r>
      <w:r>
        <w:rPr>
          <w:lang w:eastAsia="en-CA"/>
        </w:rPr>
        <w:t xml:space="preserve">to the </w:t>
      </w:r>
      <w:r w:rsidR="00EB09CE">
        <w:rPr>
          <w:lang w:eastAsia="en-CA"/>
        </w:rPr>
        <w:t xml:space="preserve">LCO Criminal AI </w:t>
      </w:r>
      <w:r>
        <w:rPr>
          <w:lang w:eastAsia="en-CA"/>
        </w:rPr>
        <w:t xml:space="preserve">project. </w:t>
      </w:r>
      <w:r>
        <w:rPr>
          <w:color w:val="000000" w:themeColor="text1"/>
        </w:rPr>
        <w:t xml:space="preserve">This paper was written by LCO Executive Director, Nye Thomas. </w:t>
      </w:r>
    </w:p>
    <w:p w14:paraId="1509C83A" w14:textId="559A6F43" w:rsidR="003E2307" w:rsidRDefault="003E2307" w:rsidP="003E2307">
      <w:pPr>
        <w:spacing w:after="0"/>
        <w:ind w:left="1440" w:hanging="1440"/>
        <w:rPr>
          <w:lang w:eastAsia="en-CA"/>
        </w:rPr>
      </w:pPr>
    </w:p>
    <w:p w14:paraId="05629D60" w14:textId="4EA07BF9" w:rsidR="00341AC8" w:rsidRDefault="00F730D5" w:rsidP="00341AC8">
      <w:pPr>
        <w:spacing w:after="0"/>
      </w:pPr>
      <w:r>
        <w:rPr>
          <w:lang w:eastAsia="en-CA"/>
        </w:rPr>
        <w:t>This paper</w:t>
      </w:r>
      <w:r w:rsidR="00EB09CE">
        <w:rPr>
          <w:lang w:eastAsia="en-CA"/>
        </w:rPr>
        <w:t xml:space="preserve"> identifies </w:t>
      </w:r>
      <w:r>
        <w:rPr>
          <w:lang w:eastAsia="en-CA"/>
        </w:rPr>
        <w:t>AI systems currently used in criminal justice and summarizes their respective benefits and risks. The paper also summarizes criminal AI</w:t>
      </w:r>
      <w:r w:rsidR="00EB09CE">
        <w:rPr>
          <w:lang w:eastAsia="en-CA"/>
        </w:rPr>
        <w:t xml:space="preserve"> governance </w:t>
      </w:r>
      <w:r>
        <w:rPr>
          <w:lang w:eastAsia="en-CA"/>
        </w:rPr>
        <w:t>initiatives in</w:t>
      </w:r>
      <w:r w:rsidR="00EB09CE">
        <w:rPr>
          <w:lang w:eastAsia="en-CA"/>
        </w:rPr>
        <w:t>ternationally and in</w:t>
      </w:r>
      <w:r>
        <w:rPr>
          <w:lang w:eastAsia="en-CA"/>
        </w:rPr>
        <w:t xml:space="preserve"> Canada. </w:t>
      </w:r>
      <w:r w:rsidR="00EB09CE">
        <w:rPr>
          <w:lang w:eastAsia="en-CA"/>
        </w:rPr>
        <w:t xml:space="preserve">The paper concludes with an assessment of “trustworthy criminal AI” in Canada and Ontario. </w:t>
      </w:r>
    </w:p>
    <w:p w14:paraId="7BA28E50" w14:textId="77777777" w:rsidR="003E2307" w:rsidRPr="003E2307" w:rsidRDefault="003E2307" w:rsidP="00341AC8">
      <w:pPr>
        <w:spacing w:after="0"/>
        <w:rPr>
          <w:lang w:eastAsia="en-CA"/>
        </w:rPr>
      </w:pPr>
    </w:p>
    <w:p w14:paraId="748236DB" w14:textId="42BD6ACA" w:rsidR="00B549D7" w:rsidRPr="009C2ED0" w:rsidRDefault="009C2ED0" w:rsidP="009C2ED0">
      <w:pPr>
        <w:spacing w:after="0"/>
        <w:rPr>
          <w:b/>
          <w:bCs/>
          <w:lang w:eastAsia="en-CA"/>
        </w:rPr>
      </w:pPr>
      <w:r>
        <w:rPr>
          <w:b/>
          <w:bCs/>
          <w:lang w:eastAsia="en-CA"/>
        </w:rPr>
        <w:t>Paper 2:</w:t>
      </w:r>
      <w:r>
        <w:rPr>
          <w:b/>
          <w:bCs/>
          <w:lang w:eastAsia="en-CA"/>
        </w:rPr>
        <w:tab/>
      </w:r>
      <w:r w:rsidR="00B549D7" w:rsidRPr="009C2ED0">
        <w:rPr>
          <w:b/>
          <w:bCs/>
          <w:lang w:eastAsia="en-CA"/>
        </w:rPr>
        <w:t>Use of AI by Law Enforcement</w:t>
      </w:r>
      <w:bookmarkEnd w:id="22"/>
    </w:p>
    <w:p w14:paraId="18A28A83" w14:textId="77777777" w:rsidR="00B549D7" w:rsidRDefault="00B549D7" w:rsidP="00CE221D">
      <w:pPr>
        <w:pStyle w:val="Heading2"/>
        <w:spacing w:before="0"/>
        <w:rPr>
          <w:sz w:val="24"/>
          <w:szCs w:val="24"/>
          <w:lang w:eastAsia="en-CA"/>
        </w:rPr>
      </w:pPr>
    </w:p>
    <w:p w14:paraId="3F79AFD4" w14:textId="2182D973" w:rsidR="00B549D7" w:rsidRDefault="00B549D7" w:rsidP="00ED74D8">
      <w:pPr>
        <w:spacing w:after="0"/>
        <w:rPr>
          <w:color w:val="000000" w:themeColor="text1"/>
        </w:rPr>
      </w:pPr>
      <w:r w:rsidRPr="003D63EF">
        <w:rPr>
          <w:color w:val="000000" w:themeColor="text1"/>
        </w:rPr>
        <w:t>Th</w:t>
      </w:r>
      <w:r>
        <w:rPr>
          <w:color w:val="000000" w:themeColor="text1"/>
        </w:rPr>
        <w:t xml:space="preserve">e </w:t>
      </w:r>
      <w:r w:rsidR="00F730D5">
        <w:rPr>
          <w:color w:val="000000" w:themeColor="text1"/>
        </w:rPr>
        <w:t xml:space="preserve">second </w:t>
      </w:r>
      <w:r w:rsidR="00B54C76">
        <w:rPr>
          <w:color w:val="000000" w:themeColor="text1"/>
        </w:rPr>
        <w:t xml:space="preserve">project </w:t>
      </w:r>
      <w:r w:rsidR="00EB09CE">
        <w:rPr>
          <w:color w:val="000000" w:themeColor="text1"/>
        </w:rPr>
        <w:t>p</w:t>
      </w:r>
      <w:r>
        <w:rPr>
          <w:color w:val="000000" w:themeColor="text1"/>
        </w:rPr>
        <w:t xml:space="preserve">aper </w:t>
      </w:r>
      <w:r w:rsidRPr="003D63EF">
        <w:rPr>
          <w:color w:val="000000" w:themeColor="text1"/>
        </w:rPr>
        <w:t>considers the use of AI by law enforcement</w:t>
      </w:r>
      <w:r>
        <w:rPr>
          <w:color w:val="000000" w:themeColor="text1"/>
        </w:rPr>
        <w:t>. This paper was written by LCO Counsel, Ryan Fritsch.</w:t>
      </w:r>
      <w:r w:rsidR="00BE6D0C">
        <w:rPr>
          <w:color w:val="000000" w:themeColor="text1"/>
        </w:rPr>
        <w:t xml:space="preserve"> </w:t>
      </w:r>
    </w:p>
    <w:p w14:paraId="66E6B581" w14:textId="77777777" w:rsidR="00B549D7" w:rsidRDefault="00B549D7" w:rsidP="00ED74D8">
      <w:pPr>
        <w:spacing w:after="0"/>
        <w:rPr>
          <w:color w:val="000000" w:themeColor="text1"/>
        </w:rPr>
      </w:pPr>
    </w:p>
    <w:p w14:paraId="414D2DF6" w14:textId="7806AA27" w:rsidR="00B549D7" w:rsidRPr="003D63EF" w:rsidRDefault="00B549D7" w:rsidP="00ED74D8">
      <w:pPr>
        <w:spacing w:after="0"/>
        <w:rPr>
          <w:color w:val="000000" w:themeColor="text1"/>
        </w:rPr>
      </w:pPr>
      <w:r>
        <w:rPr>
          <w:color w:val="000000" w:themeColor="text1"/>
        </w:rPr>
        <w:t>T</w:t>
      </w:r>
      <w:r w:rsidRPr="007A66BB">
        <w:t xml:space="preserve">his paper discusses the </w:t>
      </w:r>
      <w:r>
        <w:t xml:space="preserve">broad range of </w:t>
      </w:r>
      <w:r w:rsidRPr="007A66BB">
        <w:t>AI-enabled technologies used by law enforcement</w:t>
      </w:r>
      <w:r>
        <w:t xml:space="preserve"> </w:t>
      </w:r>
      <w:r w:rsidRPr="007A66BB">
        <w:t>internationally and within Canada</w:t>
      </w:r>
      <w:r>
        <w:t>, including FRT</w:t>
      </w:r>
      <w:r w:rsidRPr="007A66BB">
        <w:t xml:space="preserve">, predictive policing, object recognition, </w:t>
      </w:r>
      <w:r>
        <w:t xml:space="preserve">AI </w:t>
      </w:r>
      <w:r w:rsidRPr="007A66BB">
        <w:t xml:space="preserve">generated evidence </w:t>
      </w:r>
      <w:r>
        <w:t xml:space="preserve">and others. The paper </w:t>
      </w:r>
      <w:r w:rsidRPr="007A66BB">
        <w:t xml:space="preserve">considers </w:t>
      </w:r>
      <w:r>
        <w:t xml:space="preserve">the potential benefits and risks of these systems and how they </w:t>
      </w:r>
      <w:r w:rsidRPr="007A66BB">
        <w:t xml:space="preserve">raise </w:t>
      </w:r>
      <w:r>
        <w:t xml:space="preserve">novel </w:t>
      </w:r>
      <w:r w:rsidRPr="007A66BB">
        <w:t>legal, societal</w:t>
      </w:r>
      <w:r w:rsidR="00EB09CE">
        <w:t xml:space="preserve"> </w:t>
      </w:r>
      <w:r w:rsidRPr="007A66BB">
        <w:t>and constitutional issues.</w:t>
      </w:r>
    </w:p>
    <w:p w14:paraId="48A3DF49" w14:textId="77777777" w:rsidR="00B549D7" w:rsidRDefault="00B549D7" w:rsidP="00CE221D">
      <w:pPr>
        <w:spacing w:after="0" w:line="240" w:lineRule="auto"/>
      </w:pPr>
    </w:p>
    <w:p w14:paraId="5C94A08A" w14:textId="3B4F75F2" w:rsidR="00B549D7" w:rsidRDefault="00B549D7" w:rsidP="00CE221D">
      <w:pPr>
        <w:spacing w:after="0" w:line="240" w:lineRule="auto"/>
        <w:rPr>
          <w:rFonts w:eastAsia="Times New Roman" w:cstheme="minorHAnsi"/>
          <w:kern w:val="0"/>
          <w:lang w:eastAsia="en-CA"/>
          <w14:ligatures w14:val="none"/>
        </w:rPr>
      </w:pPr>
      <w:r>
        <w:t xml:space="preserve">The paper also considers the how AI could influence the Crown’s assessment of charges and the advice function between Crowns and law enforcement, including questions about </w:t>
      </w:r>
      <w:r>
        <w:rPr>
          <w:rFonts w:eastAsia="Times New Roman" w:cstheme="minorHAnsi"/>
          <w:kern w:val="0"/>
          <w:lang w:eastAsia="en-CA"/>
          <w14:ligatures w14:val="none"/>
        </w:rPr>
        <w:t xml:space="preserve">AI </w:t>
      </w:r>
      <w:r w:rsidRPr="007F4486">
        <w:rPr>
          <w:rFonts w:eastAsia="Times New Roman" w:cstheme="minorHAnsi"/>
          <w:kern w:val="0"/>
          <w:lang w:eastAsia="en-CA"/>
          <w14:ligatures w14:val="none"/>
        </w:rPr>
        <w:t xml:space="preserve">admissibility, disclosure requirements </w:t>
      </w:r>
      <w:r>
        <w:rPr>
          <w:rFonts w:eastAsia="Times New Roman" w:cstheme="minorHAnsi"/>
          <w:kern w:val="0"/>
          <w:lang w:eastAsia="en-CA"/>
          <w14:ligatures w14:val="none"/>
        </w:rPr>
        <w:t xml:space="preserve">and </w:t>
      </w:r>
      <w:r w:rsidRPr="007F4486">
        <w:rPr>
          <w:rFonts w:eastAsia="Times New Roman" w:cstheme="minorHAnsi"/>
          <w:kern w:val="0"/>
          <w:lang w:eastAsia="en-CA"/>
          <w14:ligatures w14:val="none"/>
        </w:rPr>
        <w:t>privacy issues.</w:t>
      </w:r>
    </w:p>
    <w:p w14:paraId="6A8DE815" w14:textId="77777777" w:rsidR="00341AC8" w:rsidRDefault="00341AC8" w:rsidP="00CE221D">
      <w:pPr>
        <w:spacing w:after="0" w:line="240" w:lineRule="auto"/>
        <w:rPr>
          <w:rFonts w:eastAsia="Times New Roman" w:cstheme="minorHAnsi"/>
          <w:kern w:val="0"/>
          <w:lang w:eastAsia="en-CA"/>
          <w14:ligatures w14:val="none"/>
        </w:rPr>
      </w:pPr>
    </w:p>
    <w:p w14:paraId="566D0D67" w14:textId="77777777" w:rsidR="00341AC8" w:rsidRDefault="00341AC8" w:rsidP="00CE221D">
      <w:pPr>
        <w:spacing w:after="0" w:line="240" w:lineRule="auto"/>
        <w:rPr>
          <w:rFonts w:eastAsia="Times New Roman" w:cstheme="minorHAnsi"/>
          <w:kern w:val="0"/>
          <w:lang w:eastAsia="en-CA"/>
          <w14:ligatures w14:val="none"/>
        </w:rPr>
      </w:pPr>
    </w:p>
    <w:p w14:paraId="450F51CE" w14:textId="77777777" w:rsidR="00B549D7" w:rsidRDefault="00B549D7" w:rsidP="00CE221D">
      <w:pPr>
        <w:spacing w:after="0" w:line="240" w:lineRule="auto"/>
        <w:rPr>
          <w:rFonts w:eastAsia="Times New Roman" w:cstheme="minorHAnsi"/>
          <w:kern w:val="0"/>
          <w:lang w:eastAsia="en-CA"/>
          <w14:ligatures w14:val="none"/>
        </w:rPr>
      </w:pPr>
    </w:p>
    <w:p w14:paraId="44B86483" w14:textId="2F20DFF5" w:rsidR="00B549D7" w:rsidRPr="009C2ED0" w:rsidRDefault="009C2ED0" w:rsidP="009C2ED0">
      <w:pPr>
        <w:spacing w:after="0"/>
        <w:rPr>
          <w:b/>
          <w:bCs/>
          <w:lang w:eastAsia="en-CA"/>
        </w:rPr>
      </w:pPr>
      <w:bookmarkStart w:id="23" w:name="_Toc188900899"/>
      <w:r>
        <w:rPr>
          <w:b/>
          <w:bCs/>
          <w:lang w:eastAsia="en-CA"/>
        </w:rPr>
        <w:lastRenderedPageBreak/>
        <w:t>Paper 3:</w:t>
      </w:r>
      <w:r>
        <w:rPr>
          <w:b/>
          <w:bCs/>
          <w:lang w:eastAsia="en-CA"/>
        </w:rPr>
        <w:tab/>
      </w:r>
      <w:r w:rsidR="00B549D7" w:rsidRPr="009C2ED0">
        <w:rPr>
          <w:b/>
          <w:bCs/>
          <w:lang w:eastAsia="en-CA"/>
        </w:rPr>
        <w:t>AI and the Assessment of Risk in Bail, Sentencing, and Recidivism</w:t>
      </w:r>
      <w:bookmarkEnd w:id="23"/>
    </w:p>
    <w:p w14:paraId="6F96D409" w14:textId="77777777" w:rsidR="00B549D7" w:rsidRDefault="00B549D7" w:rsidP="00CE221D">
      <w:pPr>
        <w:spacing w:after="0"/>
        <w:rPr>
          <w:lang w:eastAsia="en-CA"/>
        </w:rPr>
      </w:pPr>
    </w:p>
    <w:p w14:paraId="4F860888" w14:textId="227C2BAC" w:rsidR="00B549D7" w:rsidRDefault="00B549D7" w:rsidP="003D63EF">
      <w:pPr>
        <w:spacing w:after="0"/>
        <w:rPr>
          <w:lang w:eastAsia="en-CA"/>
        </w:rPr>
      </w:pPr>
      <w:r w:rsidRPr="003D63EF">
        <w:t>Th</w:t>
      </w:r>
      <w:r>
        <w:t xml:space="preserve">e </w:t>
      </w:r>
      <w:r w:rsidR="00B54C76">
        <w:t xml:space="preserve">third project paper </w:t>
      </w:r>
      <w:r w:rsidRPr="003D63EF">
        <w:t>addresses AI, algorithms, and bail</w:t>
      </w:r>
      <w:r>
        <w:t>.</w:t>
      </w:r>
      <w:r w:rsidRPr="0053578E">
        <w:rPr>
          <w:lang w:eastAsia="en-CA"/>
        </w:rPr>
        <w:t xml:space="preserve"> The authors of th</w:t>
      </w:r>
      <w:r>
        <w:rPr>
          <w:lang w:eastAsia="en-CA"/>
        </w:rPr>
        <w:t xml:space="preserve">is paper </w:t>
      </w:r>
      <w:r w:rsidRPr="0053578E">
        <w:rPr>
          <w:lang w:eastAsia="en-CA"/>
        </w:rPr>
        <w:t>are Armando D’Andrea, Criminal Panel Manager and former Criminal Duty Counsel, Legal Aid Ontario and Gideon Christian, Professor of Law, University of Calgary</w:t>
      </w:r>
      <w:r>
        <w:rPr>
          <w:lang w:eastAsia="en-CA"/>
        </w:rPr>
        <w:t xml:space="preserve"> </w:t>
      </w:r>
      <w:r w:rsidRPr="0053578E">
        <w:rPr>
          <w:lang w:eastAsia="en-CA"/>
        </w:rPr>
        <w:t>Faculty of Law.</w:t>
      </w:r>
      <w:r w:rsidRPr="0053578E">
        <w:rPr>
          <w:highlight w:val="yellow"/>
          <w:lang w:eastAsia="en-CA"/>
        </w:rPr>
        <w:t xml:space="preserve"> </w:t>
      </w:r>
    </w:p>
    <w:p w14:paraId="30D4A4C3" w14:textId="7328AA7E" w:rsidR="00B549D7" w:rsidRPr="00695E1B" w:rsidRDefault="00B549D7" w:rsidP="001B7EFB">
      <w:p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 xml:space="preserve">Bail, sentencing, and post-sentencing decisions have long relied on professional risk assessments to predict an accused or offender’s potential danger to the public. However, AI-enabled risk assessments bring new complications, such as the inability to cross-examine “black box” algorithms; technological deference when humans over-rely on AI-generated recommendations; the need to balance the protection of trade secrets against </w:t>
      </w:r>
      <w:r w:rsidRPr="00695E1B">
        <w:rPr>
          <w:rFonts w:eastAsia="Times New Roman" w:cstheme="minorHAnsi"/>
          <w:i/>
          <w:iCs/>
          <w:kern w:val="0"/>
          <w:lang w:eastAsia="en-CA"/>
          <w14:ligatures w14:val="none"/>
        </w:rPr>
        <w:t>Charter</w:t>
      </w:r>
      <w:r w:rsidRPr="00695E1B">
        <w:rPr>
          <w:rFonts w:eastAsia="Times New Roman" w:cstheme="minorHAnsi"/>
          <w:kern w:val="0"/>
          <w:lang w:eastAsia="en-CA"/>
          <w14:ligatures w14:val="none"/>
        </w:rPr>
        <w:t xml:space="preserve"> and due process rights; and AI systems’ potential perpetuation of racist and colonialist systemic biases.</w:t>
      </w:r>
    </w:p>
    <w:p w14:paraId="45F97FB2" w14:textId="30A800E9" w:rsidR="000E025D" w:rsidRDefault="00B549D7" w:rsidP="009D767E">
      <w:p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The</w:t>
      </w:r>
      <w:r>
        <w:rPr>
          <w:rFonts w:eastAsia="Times New Roman" w:cstheme="minorHAnsi"/>
          <w:kern w:val="0"/>
          <w:lang w:eastAsia="en-CA"/>
          <w14:ligatures w14:val="none"/>
        </w:rPr>
        <w:t xml:space="preserve"> paper also considers </w:t>
      </w:r>
      <w:r w:rsidRPr="00695E1B">
        <w:rPr>
          <w:rFonts w:eastAsia="Times New Roman" w:cstheme="minorHAnsi"/>
          <w:kern w:val="0"/>
          <w:lang w:eastAsia="en-CA"/>
          <w14:ligatures w14:val="none"/>
        </w:rPr>
        <w:t>the unique nature of bail hearings, which tend to be quicker and informal, and sentencing and post-sentencing hearings, in which the presumption of innocence is no longer operative.</w:t>
      </w:r>
    </w:p>
    <w:p w14:paraId="7A07AEBC" w14:textId="0FDB7162" w:rsidR="00B549D7" w:rsidRPr="00AA74AE" w:rsidRDefault="00AA74AE" w:rsidP="00AA74AE">
      <w:pPr>
        <w:spacing w:after="0"/>
        <w:rPr>
          <w:b/>
          <w:bCs/>
          <w:lang w:eastAsia="en-CA"/>
        </w:rPr>
      </w:pPr>
      <w:bookmarkStart w:id="24" w:name="_Toc188900900"/>
      <w:r>
        <w:rPr>
          <w:b/>
          <w:bCs/>
          <w:lang w:eastAsia="en-CA"/>
        </w:rPr>
        <w:t>Paper 4:</w:t>
      </w:r>
      <w:r>
        <w:rPr>
          <w:b/>
          <w:bCs/>
          <w:lang w:eastAsia="en-CA"/>
        </w:rPr>
        <w:tab/>
      </w:r>
      <w:r w:rsidR="00B549D7" w:rsidRPr="00AA74AE">
        <w:rPr>
          <w:b/>
          <w:bCs/>
          <w:lang w:eastAsia="en-CA"/>
        </w:rPr>
        <w:t>AI at Trial and on Appeal</w:t>
      </w:r>
      <w:bookmarkEnd w:id="24"/>
    </w:p>
    <w:p w14:paraId="47564BA0" w14:textId="77777777" w:rsidR="00B549D7" w:rsidRDefault="00B549D7" w:rsidP="00CE221D">
      <w:pPr>
        <w:spacing w:after="0" w:line="240" w:lineRule="auto"/>
        <w:rPr>
          <w:rFonts w:eastAsia="Times New Roman" w:cstheme="minorHAnsi"/>
          <w:kern w:val="0"/>
          <w:lang w:eastAsia="en-CA"/>
          <w14:ligatures w14:val="none"/>
        </w:rPr>
      </w:pPr>
    </w:p>
    <w:p w14:paraId="4D76A0DC" w14:textId="48AEBDF5" w:rsidR="00B549D7" w:rsidRDefault="00B549D7" w:rsidP="00CE221D">
      <w:pPr>
        <w:spacing w:after="0" w:line="240" w:lineRule="auto"/>
        <w:rPr>
          <w:rFonts w:eastAsia="Times New Roman" w:cstheme="minorHAnsi"/>
          <w:kern w:val="0"/>
          <w:lang w:eastAsia="en-CA"/>
          <w14:ligatures w14:val="none"/>
        </w:rPr>
      </w:pPr>
      <w:r w:rsidRPr="003D63EF">
        <w:t xml:space="preserve">The </w:t>
      </w:r>
      <w:r w:rsidR="00B54C76">
        <w:t xml:space="preserve">fourth project paper </w:t>
      </w:r>
      <w:r w:rsidRPr="003D63EF">
        <w:t xml:space="preserve">addresses AI </w:t>
      </w:r>
      <w:r>
        <w:t xml:space="preserve">at criminal </w:t>
      </w:r>
      <w:r w:rsidRPr="003D63EF">
        <w:t>trial</w:t>
      </w:r>
      <w:r>
        <w:t>s</w:t>
      </w:r>
      <w:r w:rsidRPr="003D63EF">
        <w:t xml:space="preserve"> and appeal</w:t>
      </w:r>
      <w:r>
        <w:t>s</w:t>
      </w:r>
      <w:r w:rsidRPr="003D63EF">
        <w:t>.</w:t>
      </w:r>
      <w:r w:rsidR="00BE6D0C">
        <w:t xml:space="preserve"> </w:t>
      </w:r>
      <w:r w:rsidRPr="003D63EF">
        <w:rPr>
          <w:rFonts w:eastAsia="Times New Roman" w:cstheme="minorHAnsi"/>
          <w:kern w:val="0"/>
          <w:lang w:eastAsia="en-CA"/>
          <w14:ligatures w14:val="none"/>
        </w:rPr>
        <w:t>Th</w:t>
      </w:r>
      <w:r>
        <w:rPr>
          <w:rFonts w:eastAsia="Times New Roman" w:cstheme="minorHAnsi"/>
          <w:kern w:val="0"/>
          <w:lang w:eastAsia="en-CA"/>
          <w14:ligatures w14:val="none"/>
        </w:rPr>
        <w:t xml:space="preserve">is paper was written by </w:t>
      </w:r>
      <w:r w:rsidRPr="003D63EF">
        <w:rPr>
          <w:rFonts w:eastAsia="Times New Roman" w:cstheme="minorHAnsi"/>
          <w:kern w:val="0"/>
          <w:lang w:eastAsia="en-CA"/>
          <w14:ligatures w14:val="none"/>
        </w:rPr>
        <w:t>Paula Thompson, Strategic Initiatives, Ministry of the Attorney General</w:t>
      </w:r>
      <w:r>
        <w:rPr>
          <w:rFonts w:eastAsia="Times New Roman" w:cstheme="minorHAnsi"/>
          <w:kern w:val="0"/>
          <w:lang w:eastAsia="en-CA"/>
          <w14:ligatures w14:val="none"/>
        </w:rPr>
        <w:t xml:space="preserve"> </w:t>
      </w:r>
      <w:r w:rsidRPr="003D63EF">
        <w:rPr>
          <w:rFonts w:eastAsia="Times New Roman" w:cstheme="minorHAnsi"/>
          <w:kern w:val="0"/>
          <w:lang w:eastAsia="en-CA"/>
          <w14:ligatures w14:val="none"/>
        </w:rPr>
        <w:t>and</w:t>
      </w:r>
      <w:r w:rsidRPr="0053578E">
        <w:rPr>
          <w:rFonts w:eastAsia="Times New Roman" w:cstheme="minorHAnsi"/>
          <w:kern w:val="0"/>
          <w:lang w:eastAsia="en-CA"/>
          <w14:ligatures w14:val="none"/>
        </w:rPr>
        <w:t xml:space="preserve"> Eric Neubauer, Defense Counsel, Neubauer Law, and Co-Chair, Criminal Lawyers Association Technology Committee.</w:t>
      </w:r>
    </w:p>
    <w:p w14:paraId="0C91A91A" w14:textId="77777777" w:rsidR="00B549D7" w:rsidRDefault="00B549D7" w:rsidP="00CE221D">
      <w:pPr>
        <w:spacing w:after="0" w:line="240" w:lineRule="auto"/>
        <w:rPr>
          <w:rFonts w:eastAsia="Times New Roman" w:cstheme="minorHAnsi"/>
          <w:kern w:val="0"/>
          <w:lang w:eastAsia="en-CA"/>
          <w14:ligatures w14:val="none"/>
        </w:rPr>
      </w:pPr>
    </w:p>
    <w:p w14:paraId="756BB9A1" w14:textId="371B31C7" w:rsidR="00B549D7" w:rsidRPr="00695E1B" w:rsidRDefault="00B549D7" w:rsidP="00CE221D">
      <w:pPr>
        <w:spacing w:after="0" w:line="240" w:lineRule="auto"/>
        <w:rPr>
          <w:rFonts w:eastAsia="Times New Roman" w:cstheme="minorHAnsi"/>
          <w:kern w:val="0"/>
          <w:lang w:eastAsia="en-CA"/>
          <w14:ligatures w14:val="none"/>
        </w:rPr>
      </w:pPr>
      <w:r>
        <w:rPr>
          <w:rFonts w:eastAsia="Times New Roman" w:cstheme="minorHAnsi"/>
          <w:kern w:val="0"/>
          <w:lang w:eastAsia="en-CA"/>
          <w14:ligatures w14:val="none"/>
        </w:rPr>
        <w:t xml:space="preserve">AI raises </w:t>
      </w:r>
      <w:r w:rsidRPr="003D63EF">
        <w:t xml:space="preserve">novel issues that are fundamental to ensure fair trial process and protection of liberty and constitutional rights. </w:t>
      </w:r>
      <w:r w:rsidRPr="00695E1B">
        <w:rPr>
          <w:rFonts w:eastAsia="Times New Roman" w:cstheme="minorHAnsi"/>
          <w:kern w:val="0"/>
          <w:lang w:eastAsia="en-CA"/>
          <w14:ligatures w14:val="none"/>
        </w:rPr>
        <w:t xml:space="preserve">Trials and appeals ensure a fair and transparent proceeding by relying on the </w:t>
      </w:r>
      <w:r w:rsidRPr="00B06F10">
        <w:rPr>
          <w:rFonts w:eastAsia="Times New Roman" w:cstheme="minorHAnsi"/>
          <w:i/>
          <w:iCs/>
          <w:kern w:val="0"/>
          <w:lang w:eastAsia="en-CA"/>
          <w14:ligatures w14:val="none"/>
        </w:rPr>
        <w:t>Charter of Rights and Freedoms</w:t>
      </w:r>
      <w:r w:rsidRPr="00695E1B">
        <w:rPr>
          <w:rFonts w:eastAsia="Times New Roman" w:cstheme="minorHAnsi"/>
          <w:kern w:val="0"/>
          <w:lang w:eastAsia="en-CA"/>
          <w14:ligatures w14:val="none"/>
        </w:rPr>
        <w:t>; common law principles guiding case interpretation and procedural fairness; and evidence law. The introduction of AI—both as evidence and in analytical tools employed by litigants and officers of the court—raises new concerns about disclosure, admissibility, bias</w:t>
      </w:r>
      <w:r w:rsidR="00EB09CE">
        <w:rPr>
          <w:rFonts w:eastAsia="Times New Roman" w:cstheme="minorHAnsi"/>
          <w:kern w:val="0"/>
          <w:lang w:eastAsia="en-CA"/>
          <w14:ligatures w14:val="none"/>
        </w:rPr>
        <w:t xml:space="preserve"> </w:t>
      </w:r>
      <w:r w:rsidRPr="00695E1B">
        <w:rPr>
          <w:rFonts w:eastAsia="Times New Roman" w:cstheme="minorHAnsi"/>
          <w:kern w:val="0"/>
          <w:lang w:eastAsia="en-CA"/>
          <w14:ligatures w14:val="none"/>
        </w:rPr>
        <w:t xml:space="preserve">and access to justice that are not directly addressed by existing legislation and case law. </w:t>
      </w:r>
    </w:p>
    <w:p w14:paraId="54D9075A" w14:textId="77777777" w:rsidR="00B549D7" w:rsidRPr="0049610A" w:rsidRDefault="00B549D7" w:rsidP="00CE221D">
      <w:pPr>
        <w:spacing w:after="0"/>
        <w:rPr>
          <w:lang w:eastAsia="en-CA"/>
        </w:rPr>
      </w:pPr>
    </w:p>
    <w:p w14:paraId="38D962EB" w14:textId="25769C3F" w:rsidR="00B549D7" w:rsidRPr="00AA74AE" w:rsidRDefault="00AA74AE" w:rsidP="00AA74AE">
      <w:pPr>
        <w:spacing w:after="0"/>
        <w:rPr>
          <w:b/>
          <w:bCs/>
          <w:lang w:eastAsia="en-CA"/>
        </w:rPr>
      </w:pPr>
      <w:bookmarkStart w:id="25" w:name="_Toc188900901"/>
      <w:r>
        <w:rPr>
          <w:b/>
          <w:bCs/>
          <w:lang w:eastAsia="en-CA"/>
        </w:rPr>
        <w:t>Paper 5:</w:t>
      </w:r>
      <w:r>
        <w:rPr>
          <w:b/>
          <w:bCs/>
          <w:lang w:eastAsia="en-CA"/>
        </w:rPr>
        <w:tab/>
      </w:r>
      <w:r w:rsidR="00B549D7" w:rsidRPr="00AA74AE">
        <w:rPr>
          <w:b/>
          <w:bCs/>
          <w:lang w:eastAsia="en-CA"/>
        </w:rPr>
        <w:t>AI and Systemic Oversight Mechanisms</w:t>
      </w:r>
      <w:bookmarkEnd w:id="25"/>
    </w:p>
    <w:p w14:paraId="5F11A6DB" w14:textId="77777777" w:rsidR="00B549D7" w:rsidRDefault="00B549D7" w:rsidP="00CE221D">
      <w:pPr>
        <w:spacing w:after="0" w:line="240" w:lineRule="auto"/>
        <w:rPr>
          <w:rFonts w:eastAsia="Times New Roman" w:cstheme="minorHAnsi"/>
          <w:kern w:val="0"/>
          <w:lang w:eastAsia="en-CA"/>
          <w14:ligatures w14:val="none"/>
        </w:rPr>
      </w:pPr>
    </w:p>
    <w:p w14:paraId="4ADD1470" w14:textId="1EC0E99F" w:rsidR="00B549D7" w:rsidRDefault="00B549D7" w:rsidP="00CE221D">
      <w:pPr>
        <w:spacing w:after="0"/>
        <w:rPr>
          <w:rFonts w:eastAsia="Times New Roman" w:cstheme="minorHAnsi"/>
          <w:kern w:val="0"/>
          <w:lang w:eastAsia="en-CA"/>
          <w14:ligatures w14:val="none"/>
        </w:rPr>
      </w:pPr>
      <w:r w:rsidRPr="00ED126A">
        <w:rPr>
          <w:rFonts w:cstheme="minorHAnsi"/>
        </w:rPr>
        <w:t xml:space="preserve">The final </w:t>
      </w:r>
      <w:r w:rsidR="00B54C76">
        <w:rPr>
          <w:rFonts w:cstheme="minorHAnsi"/>
        </w:rPr>
        <w:t>project p</w:t>
      </w:r>
      <w:r w:rsidRPr="00ED126A">
        <w:rPr>
          <w:rFonts w:cstheme="minorHAnsi"/>
        </w:rPr>
        <w:t xml:space="preserve">aper addresses systemic oversight. </w:t>
      </w:r>
      <w:r w:rsidR="00F84F97" w:rsidRPr="00F84F97">
        <w:rPr>
          <w:rFonts w:eastAsia="Times New Roman" w:cstheme="minorHAnsi"/>
          <w:kern w:val="0"/>
          <w:lang w:eastAsia="en-CA"/>
          <w14:ligatures w14:val="none"/>
        </w:rPr>
        <w:t>The authors of this paper are Brenda McPhail, senior Technology and Policy Advisor, Office of the Information and Privacy Commissioner of Ontario; Marcus Pratt, Senior Advisor, Policy, Legal Aid Ontario; and Jagtaran Singh, Legal Counsel, Ontario Human Rights Commission</w:t>
      </w:r>
      <w:r w:rsidRPr="0053578E">
        <w:rPr>
          <w:rFonts w:eastAsia="Times New Roman" w:cstheme="minorHAnsi"/>
          <w:kern w:val="0"/>
          <w:lang w:eastAsia="en-CA"/>
          <w14:ligatures w14:val="none"/>
        </w:rPr>
        <w:t>.</w:t>
      </w:r>
    </w:p>
    <w:p w14:paraId="17A99F4A" w14:textId="77777777" w:rsidR="00B549D7" w:rsidRPr="00663CF6" w:rsidRDefault="00B549D7" w:rsidP="00CE221D">
      <w:pPr>
        <w:spacing w:after="0"/>
      </w:pPr>
    </w:p>
    <w:p w14:paraId="6C35D324" w14:textId="1710A32C" w:rsidR="00485C5F" w:rsidRDefault="00B549D7" w:rsidP="00485C5F">
      <w:pPr>
        <w:spacing w:after="0"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Without robust legal, regulatory, and policy frameworks, the criminal law process is limited in its ability to oversee the use of AI by state actors and mitigate potential abuses.</w:t>
      </w:r>
      <w:r>
        <w:rPr>
          <w:rFonts w:eastAsia="Times New Roman" w:cstheme="minorHAnsi"/>
          <w:kern w:val="0"/>
          <w:lang w:eastAsia="en-CA"/>
          <w14:ligatures w14:val="none"/>
        </w:rPr>
        <w:t xml:space="preserve"> </w:t>
      </w:r>
      <w:r w:rsidRPr="00695E1B">
        <w:rPr>
          <w:rFonts w:eastAsia="Times New Roman" w:cstheme="minorHAnsi"/>
          <w:kern w:val="0"/>
          <w:lang w:eastAsia="en-CA"/>
          <w14:ligatures w14:val="none"/>
        </w:rPr>
        <w:t xml:space="preserve">While federal Bill C-27 and Ontario’s </w:t>
      </w:r>
      <w:r w:rsidR="006B0A40" w:rsidRPr="006B0A40">
        <w:rPr>
          <w:rFonts w:eastAsia="Times New Roman" w:cstheme="minorHAnsi"/>
          <w:i/>
          <w:iCs/>
          <w:kern w:val="0"/>
          <w:lang w:eastAsia="en-CA"/>
          <w14:ligatures w14:val="none"/>
        </w:rPr>
        <w:t>EDSTA</w:t>
      </w:r>
      <w:r w:rsidR="006B0A40">
        <w:rPr>
          <w:rFonts w:eastAsia="Times New Roman" w:cstheme="minorHAnsi"/>
          <w:kern w:val="0"/>
          <w:lang w:eastAsia="en-CA"/>
          <w14:ligatures w14:val="none"/>
        </w:rPr>
        <w:t xml:space="preserve"> </w:t>
      </w:r>
      <w:r w:rsidRPr="00695E1B">
        <w:rPr>
          <w:rFonts w:eastAsia="Times New Roman" w:cstheme="minorHAnsi"/>
          <w:kern w:val="0"/>
          <w:lang w:eastAsia="en-CA"/>
          <w14:ligatures w14:val="none"/>
        </w:rPr>
        <w:t xml:space="preserve">contain some important regulatory measures, their application to criminal law is limited. Key issues include the lack of access to remedies for rights breaches, the lack of independent oversight bodies, and the relatively narrow understanding of privacy rights reflected in current legislation and case law. New and proposed legislation from jurisdictions such as the EU and the US may offer guidance; however, these approaches also have gaps. </w:t>
      </w:r>
      <w:r w:rsidR="00EA5FC7">
        <w:rPr>
          <w:rFonts w:eastAsia="Times New Roman" w:cstheme="minorHAnsi"/>
          <w:kern w:val="0"/>
          <w:lang w:eastAsia="en-CA"/>
          <w14:ligatures w14:val="none"/>
        </w:rPr>
        <w:t xml:space="preserve">This paper also explores how AI is sure to test </w:t>
      </w:r>
      <w:r w:rsidR="00EA5FC7">
        <w:t>rights to a full defence and access to justice, including adequate time and funding to defense counsel to challenge the use of AI in bail or sentencing, or the admission of AI evidence at trial.</w:t>
      </w:r>
    </w:p>
    <w:p w14:paraId="5D23D95B" w14:textId="3378CA8D" w:rsidR="00B549D7" w:rsidRPr="00182FE0" w:rsidRDefault="00B549D7" w:rsidP="00965500">
      <w:pPr>
        <w:pStyle w:val="Heading1"/>
        <w:numPr>
          <w:ilvl w:val="0"/>
          <w:numId w:val="21"/>
        </w:numPr>
      </w:pPr>
      <w:bookmarkStart w:id="26" w:name="_Toc188900903"/>
      <w:bookmarkStart w:id="27" w:name="_Toc188902171"/>
      <w:bookmarkStart w:id="28" w:name="_Toc194406403"/>
      <w:bookmarkStart w:id="29" w:name="_Toc195604714"/>
      <w:r w:rsidRPr="00182FE0">
        <w:lastRenderedPageBreak/>
        <w:t>Trustworthy Criminal AI</w:t>
      </w:r>
      <w:bookmarkEnd w:id="26"/>
      <w:bookmarkEnd w:id="27"/>
      <w:bookmarkEnd w:id="28"/>
      <w:bookmarkEnd w:id="29"/>
      <w:r w:rsidRPr="00182FE0">
        <w:t xml:space="preserve"> </w:t>
      </w:r>
    </w:p>
    <w:p w14:paraId="43565738" w14:textId="77777777" w:rsidR="00B549D7" w:rsidRDefault="00B549D7" w:rsidP="0002605E">
      <w:pPr>
        <w:spacing w:after="0"/>
      </w:pPr>
    </w:p>
    <w:p w14:paraId="625CCD0B" w14:textId="087B9DBA" w:rsidR="00B549D7" w:rsidRDefault="00B549D7" w:rsidP="0002605E">
      <w:pPr>
        <w:spacing w:after="0"/>
      </w:pPr>
      <w:bookmarkStart w:id="30" w:name="_Hlk101271966"/>
      <w:r w:rsidRPr="00EC17ED">
        <w:t xml:space="preserve">The </w:t>
      </w:r>
      <w:r>
        <w:t xml:space="preserve">potential benefits, </w:t>
      </w:r>
      <w:r w:rsidRPr="00EC17ED">
        <w:t>risks</w:t>
      </w:r>
      <w:r>
        <w:t>,</w:t>
      </w:r>
      <w:r w:rsidRPr="00EC17ED">
        <w:t xml:space="preserve"> and harms of AI in criminal justice are widely acknowledged by governments, </w:t>
      </w:r>
      <w:r>
        <w:t>police services, prosecutors, defence counsel</w:t>
      </w:r>
      <w:r w:rsidRPr="00EC17ED">
        <w:t xml:space="preserve">, academics </w:t>
      </w:r>
      <w:r>
        <w:t xml:space="preserve">and </w:t>
      </w:r>
      <w:r w:rsidRPr="00EC17ED">
        <w:t>NGOs</w:t>
      </w:r>
      <w:r>
        <w:t xml:space="preserve"> around the world</w:t>
      </w:r>
      <w:r w:rsidRPr="00EC17ED">
        <w:t>.</w:t>
      </w:r>
      <w:r>
        <w:rPr>
          <w:rStyle w:val="EndnoteReference"/>
        </w:rPr>
        <w:endnoteReference w:id="30"/>
      </w:r>
      <w:r>
        <w:t xml:space="preserve"> This acknowledgement has led to a</w:t>
      </w:r>
      <w:r w:rsidR="00341AC8">
        <w:t xml:space="preserve"> wide </w:t>
      </w:r>
      <w:r>
        <w:t xml:space="preserve">range of laws, policies and frameworks based on the principle that </w:t>
      </w:r>
      <w:r w:rsidR="00341AC8">
        <w:t xml:space="preserve">AI </w:t>
      </w:r>
      <w:r>
        <w:t>benefits depend on dedicated and sophisticated rules minimiz</w:t>
      </w:r>
      <w:r w:rsidR="00341AC8">
        <w:t xml:space="preserve">ing </w:t>
      </w:r>
      <w:r>
        <w:t>risks and harms.</w:t>
      </w:r>
      <w:r w:rsidR="00BE6D0C">
        <w:t xml:space="preserve"> </w:t>
      </w:r>
    </w:p>
    <w:p w14:paraId="1D3306B3" w14:textId="77777777" w:rsidR="00B549D7" w:rsidRDefault="00B549D7" w:rsidP="0002605E">
      <w:pPr>
        <w:spacing w:after="0"/>
      </w:pPr>
    </w:p>
    <w:p w14:paraId="72629601" w14:textId="5FFADBD9" w:rsidR="00B549D7" w:rsidRPr="000365AD" w:rsidRDefault="00B549D7" w:rsidP="00724051">
      <w:pPr>
        <w:spacing w:after="0"/>
      </w:pPr>
      <w:r>
        <w:rPr>
          <w:lang w:val="en-US"/>
        </w:rPr>
        <w:t>T</w:t>
      </w:r>
      <w:r w:rsidRPr="000365AD">
        <w:rPr>
          <w:lang w:val="en-US"/>
        </w:rPr>
        <w:t>he</w:t>
      </w:r>
      <w:r w:rsidR="00341AC8">
        <w:rPr>
          <w:lang w:val="en-US"/>
        </w:rPr>
        <w:t xml:space="preserve">re is a broad </w:t>
      </w:r>
      <w:r>
        <w:rPr>
          <w:lang w:val="en-US"/>
        </w:rPr>
        <w:t xml:space="preserve">range and diversity </w:t>
      </w:r>
      <w:r w:rsidRPr="000365AD">
        <w:rPr>
          <w:lang w:val="en-US" w:eastAsia="en-CA"/>
        </w:rPr>
        <w:t xml:space="preserve">of </w:t>
      </w:r>
      <w:r>
        <w:rPr>
          <w:lang w:val="en-US" w:eastAsia="en-CA"/>
        </w:rPr>
        <w:t xml:space="preserve">trustworthy </w:t>
      </w:r>
      <w:r w:rsidRPr="000365AD">
        <w:rPr>
          <w:lang w:val="en-US" w:eastAsia="en-CA"/>
        </w:rPr>
        <w:t xml:space="preserve">criminal </w:t>
      </w:r>
      <w:r>
        <w:rPr>
          <w:lang w:val="en-US" w:eastAsia="en-CA"/>
        </w:rPr>
        <w:t xml:space="preserve">AI initiatives </w:t>
      </w:r>
      <w:r w:rsidRPr="000365AD">
        <w:rPr>
          <w:lang w:val="en-US" w:eastAsia="en-CA"/>
        </w:rPr>
        <w:t>in Europe and the United States</w:t>
      </w:r>
      <w:r>
        <w:rPr>
          <w:lang w:val="en-US" w:eastAsia="en-CA"/>
        </w:rPr>
        <w:t xml:space="preserve">. </w:t>
      </w:r>
      <w:r w:rsidRPr="000365AD">
        <w:rPr>
          <w:lang w:val="en-US" w:eastAsia="en-CA"/>
        </w:rPr>
        <w:t xml:space="preserve">For example, </w:t>
      </w:r>
      <w:r w:rsidRPr="000365AD">
        <w:rPr>
          <w:rFonts w:ascii="Calibri" w:eastAsia="Calibri" w:hAnsi="Calibri" w:cs="Calibri"/>
          <w:kern w:val="0"/>
          <w:u w:color="000000"/>
          <w:bdr w:val="nil"/>
          <w:shd w:val="clear" w:color="auto" w:fill="FFFFFF"/>
          <w:lang w:val="en-US"/>
          <w14:ligatures w14:val="none"/>
        </w:rPr>
        <w:t>the E</w:t>
      </w:r>
      <w:r>
        <w:rPr>
          <w:rFonts w:ascii="Calibri" w:eastAsia="Calibri" w:hAnsi="Calibri" w:cs="Calibri"/>
          <w:kern w:val="0"/>
          <w:u w:color="000000"/>
          <w:bdr w:val="nil"/>
          <w:shd w:val="clear" w:color="auto" w:fill="FFFFFF"/>
          <w:lang w:val="en-US"/>
          <w14:ligatures w14:val="none"/>
        </w:rPr>
        <w:t xml:space="preserve">uropean </w:t>
      </w:r>
      <w:r w:rsidRPr="000365AD">
        <w:rPr>
          <w:rFonts w:ascii="Calibri" w:eastAsia="Calibri" w:hAnsi="Calibri" w:cs="Calibri"/>
          <w:kern w:val="0"/>
          <w:u w:color="000000"/>
          <w:bdr w:val="nil"/>
          <w:shd w:val="clear" w:color="auto" w:fill="FFFFFF"/>
          <w:lang w:val="en-US"/>
          <w14:ligatures w14:val="none"/>
        </w:rPr>
        <w:t>U</w:t>
      </w:r>
      <w:r>
        <w:rPr>
          <w:rFonts w:ascii="Calibri" w:eastAsia="Calibri" w:hAnsi="Calibri" w:cs="Calibri"/>
          <w:kern w:val="0"/>
          <w:u w:color="000000"/>
          <w:bdr w:val="nil"/>
          <w:shd w:val="clear" w:color="auto" w:fill="FFFFFF"/>
          <w:lang w:val="en-US"/>
          <w14:ligatures w14:val="none"/>
        </w:rPr>
        <w:t>nion’s</w:t>
      </w:r>
      <w:r w:rsidRPr="000365AD">
        <w:rPr>
          <w:rFonts w:ascii="Calibri" w:eastAsia="Calibri" w:hAnsi="Calibri" w:cs="Calibri"/>
          <w:kern w:val="0"/>
          <w:u w:color="000000"/>
          <w:bdr w:val="nil"/>
          <w:shd w:val="clear" w:color="auto" w:fill="FFFFFF"/>
          <w:lang w:val="en-US"/>
          <w14:ligatures w14:val="none"/>
        </w:rPr>
        <w:t xml:space="preserve"> </w:t>
      </w:r>
      <w:r w:rsidR="00C716B8">
        <w:rPr>
          <w:rFonts w:ascii="Calibri" w:eastAsia="Calibri" w:hAnsi="Calibri" w:cs="Calibri"/>
          <w:i/>
          <w:iCs/>
          <w:kern w:val="0"/>
          <w:u w:color="000000"/>
          <w:bdr w:val="nil"/>
          <w:shd w:val="clear" w:color="auto" w:fill="FFFFFF"/>
          <w:lang w:val="en-US"/>
          <w14:ligatures w14:val="none"/>
        </w:rPr>
        <w:t>Artificial Intelligence</w:t>
      </w:r>
      <w:r w:rsidRPr="000365AD">
        <w:rPr>
          <w:rFonts w:ascii="Calibri" w:eastAsia="Calibri" w:hAnsi="Calibri" w:cs="Calibri"/>
          <w:i/>
          <w:iCs/>
          <w:kern w:val="0"/>
          <w:u w:color="000000"/>
          <w:bdr w:val="nil"/>
          <w:shd w:val="clear" w:color="auto" w:fill="FFFFFF"/>
          <w:lang w:val="en-US"/>
          <w14:ligatures w14:val="none"/>
        </w:rPr>
        <w:t xml:space="preserve"> Act</w:t>
      </w:r>
      <w:r w:rsidRPr="000365AD">
        <w:rPr>
          <w:rFonts w:ascii="Calibri" w:eastAsia="Calibri" w:hAnsi="Calibri" w:cs="Calibri"/>
          <w:kern w:val="0"/>
          <w:u w:color="000000"/>
          <w:bdr w:val="nil"/>
          <w:shd w:val="clear" w:color="auto" w:fill="FFFFFF"/>
          <w:lang w:val="en-US"/>
          <w14:ligatures w14:val="none"/>
        </w:rPr>
        <w:t xml:space="preserve"> </w:t>
      </w:r>
      <w:r w:rsidR="00C716B8">
        <w:rPr>
          <w:rFonts w:ascii="Calibri" w:eastAsia="Calibri" w:hAnsi="Calibri" w:cs="Calibri"/>
          <w:kern w:val="0"/>
          <w:u w:color="000000"/>
          <w:bdr w:val="nil"/>
          <w:shd w:val="clear" w:color="auto" w:fill="FFFFFF"/>
          <w:lang w:val="en-US"/>
          <w14:ligatures w14:val="none"/>
        </w:rPr>
        <w:t xml:space="preserve">(EU </w:t>
      </w:r>
      <w:r w:rsidR="00C716B8" w:rsidRPr="00C716B8">
        <w:rPr>
          <w:rFonts w:ascii="Calibri" w:eastAsia="Calibri" w:hAnsi="Calibri" w:cs="Calibri"/>
          <w:i/>
          <w:iCs/>
          <w:kern w:val="0"/>
          <w:u w:color="000000"/>
          <w:bdr w:val="nil"/>
          <w:shd w:val="clear" w:color="auto" w:fill="FFFFFF"/>
          <w:lang w:val="en-US"/>
          <w14:ligatures w14:val="none"/>
        </w:rPr>
        <w:t>AI Act</w:t>
      </w:r>
      <w:r w:rsidR="00C716B8">
        <w:rPr>
          <w:rFonts w:ascii="Calibri" w:eastAsia="Calibri" w:hAnsi="Calibri" w:cs="Calibri"/>
          <w:kern w:val="0"/>
          <w:u w:color="000000"/>
          <w:bdr w:val="nil"/>
          <w:shd w:val="clear" w:color="auto" w:fill="FFFFFF"/>
          <w:lang w:val="en-US"/>
          <w14:ligatures w14:val="none"/>
        </w:rPr>
        <w:t xml:space="preserve">) </w:t>
      </w:r>
      <w:r>
        <w:rPr>
          <w:rFonts w:ascii="Calibri" w:eastAsia="Calibri" w:hAnsi="Calibri" w:cs="Calibri"/>
          <w:kern w:val="0"/>
          <w:u w:color="000000"/>
          <w:bdr w:val="nil"/>
          <w:shd w:val="clear" w:color="auto" w:fill="FFFFFF"/>
          <w:lang w:val="en-US"/>
          <w14:ligatures w14:val="none"/>
        </w:rPr>
        <w:t>includes prohibitions on several criminal AI systems, including real time biometric surveillance and certain predictive policing systems.</w:t>
      </w:r>
      <w:r>
        <w:rPr>
          <w:rStyle w:val="EndnoteReference"/>
          <w:rFonts w:ascii="Calibri" w:eastAsia="Calibri" w:hAnsi="Calibri" w:cs="Calibri"/>
          <w:kern w:val="0"/>
          <w:u w:color="000000"/>
          <w:bdr w:val="nil"/>
          <w:shd w:val="clear" w:color="auto" w:fill="FFFFFF"/>
          <w:lang w:val="en-US"/>
          <w14:ligatures w14:val="none"/>
        </w:rPr>
        <w:endnoteReference w:id="31"/>
      </w:r>
      <w:r>
        <w:rPr>
          <w:rFonts w:ascii="Calibri" w:eastAsia="Calibri" w:hAnsi="Calibri" w:cs="Calibri"/>
          <w:kern w:val="0"/>
          <w:u w:color="000000"/>
          <w:bdr w:val="nil"/>
          <w:shd w:val="clear" w:color="auto" w:fill="FFFFFF"/>
          <w:lang w:val="en-US"/>
          <w14:ligatures w14:val="none"/>
        </w:rPr>
        <w:t xml:space="preserve"> The EU </w:t>
      </w:r>
      <w:r>
        <w:rPr>
          <w:rFonts w:ascii="Calibri" w:eastAsia="Calibri" w:hAnsi="Calibri" w:cs="Calibri"/>
          <w:i/>
          <w:iCs/>
          <w:kern w:val="0"/>
          <w:u w:color="000000"/>
          <w:bdr w:val="nil"/>
          <w:shd w:val="clear" w:color="auto" w:fill="FFFFFF"/>
          <w:lang w:val="en-US"/>
          <w14:ligatures w14:val="none"/>
        </w:rPr>
        <w:t xml:space="preserve">AI Act </w:t>
      </w:r>
      <w:r>
        <w:rPr>
          <w:rFonts w:ascii="Calibri" w:eastAsia="Calibri" w:hAnsi="Calibri" w:cs="Calibri"/>
          <w:kern w:val="0"/>
          <w:u w:color="000000"/>
          <w:bdr w:val="nil"/>
          <w:shd w:val="clear" w:color="auto" w:fill="FFFFFF"/>
          <w:lang w:val="en-US"/>
          <w14:ligatures w14:val="none"/>
        </w:rPr>
        <w:t xml:space="preserve">also </w:t>
      </w:r>
      <w:r w:rsidRPr="000365AD">
        <w:rPr>
          <w:rFonts w:ascii="Calibri" w:eastAsia="Calibri" w:hAnsi="Calibri" w:cs="Calibri"/>
          <w:kern w:val="0"/>
          <w:u w:color="000000"/>
          <w:bdr w:val="nil"/>
          <w:shd w:val="clear" w:color="auto" w:fill="FFFFFF"/>
          <w:lang w:val="en-US"/>
          <w14:ligatures w14:val="none"/>
        </w:rPr>
        <w:t xml:space="preserve">identifies </w:t>
      </w:r>
      <w:r>
        <w:rPr>
          <w:rFonts w:ascii="Calibri" w:eastAsia="Calibri" w:hAnsi="Calibri" w:cs="Calibri"/>
          <w:kern w:val="0"/>
          <w:u w:color="000000"/>
          <w:bdr w:val="nil"/>
          <w:shd w:val="clear" w:color="auto" w:fill="FFFFFF"/>
          <w:lang w:val="en-US"/>
          <w14:ligatures w14:val="none"/>
        </w:rPr>
        <w:t xml:space="preserve">several </w:t>
      </w:r>
      <w:r w:rsidRPr="000365AD">
        <w:rPr>
          <w:rFonts w:ascii="Calibri" w:eastAsia="Calibri" w:hAnsi="Calibri" w:cs="Calibri"/>
          <w:kern w:val="0"/>
          <w:u w:color="000000"/>
          <w:bdr w:val="nil"/>
          <w:shd w:val="clear" w:color="auto" w:fill="FFFFFF"/>
          <w:lang w:val="en-US"/>
          <w14:ligatures w14:val="none"/>
        </w:rPr>
        <w:t>AI tools in “law enforcement” and the “administration of justice” as being presumptively high-risk and thus subject to more detailed regulatory requirements.</w:t>
      </w:r>
      <w:r>
        <w:rPr>
          <w:rStyle w:val="EndnoteReference"/>
          <w:rFonts w:ascii="Calibri" w:eastAsia="Calibri" w:hAnsi="Calibri" w:cs="Calibri"/>
          <w:kern w:val="0"/>
          <w:u w:color="000000"/>
          <w:bdr w:val="nil"/>
          <w:shd w:val="clear" w:color="auto" w:fill="FFFFFF"/>
          <w:lang w:val="en-US"/>
          <w14:ligatures w14:val="none"/>
        </w:rPr>
        <w:endnoteReference w:id="32"/>
      </w:r>
      <w:r w:rsidRPr="000365AD">
        <w:rPr>
          <w:rFonts w:ascii="Calibri" w:eastAsia="Calibri" w:hAnsi="Calibri" w:cs="Calibri"/>
          <w:kern w:val="0"/>
          <w:u w:color="000000"/>
          <w:bdr w:val="nil"/>
          <w:shd w:val="clear" w:color="auto" w:fill="FFFFFF"/>
          <w:lang w:val="en-US"/>
          <w14:ligatures w14:val="none"/>
        </w:rPr>
        <w:t xml:space="preserve"> In the United States, detailed criminal justice AI legislation, executive orders, policies, and rules have been adopted </w:t>
      </w:r>
      <w:r>
        <w:rPr>
          <w:rFonts w:ascii="Calibri" w:eastAsia="Calibri" w:hAnsi="Calibri" w:cs="Calibri"/>
          <w:kern w:val="0"/>
          <w:u w:color="000000"/>
          <w:bdr w:val="nil"/>
          <w:shd w:val="clear" w:color="auto" w:fill="FFFFFF"/>
          <w:lang w:val="en-US"/>
          <w14:ligatures w14:val="none"/>
        </w:rPr>
        <w:t xml:space="preserve">or proposed </w:t>
      </w:r>
      <w:r w:rsidRPr="000365AD">
        <w:rPr>
          <w:rFonts w:ascii="Calibri" w:eastAsia="Calibri" w:hAnsi="Calibri" w:cs="Calibri"/>
          <w:kern w:val="0"/>
          <w:u w:color="000000"/>
          <w:bdr w:val="nil"/>
          <w:shd w:val="clear" w:color="auto" w:fill="FFFFFF"/>
          <w:lang w:val="en-US"/>
          <w14:ligatures w14:val="none"/>
        </w:rPr>
        <w:t>by the federal government</w:t>
      </w:r>
      <w:r>
        <w:rPr>
          <w:rFonts w:ascii="Calibri" w:eastAsia="Calibri" w:hAnsi="Calibri" w:cs="Calibri"/>
          <w:kern w:val="0"/>
          <w:u w:color="000000"/>
          <w:bdr w:val="nil"/>
          <w:shd w:val="clear" w:color="auto" w:fill="FFFFFF"/>
          <w:lang w:val="en-US"/>
          <w14:ligatures w14:val="none"/>
        </w:rPr>
        <w:t xml:space="preserve">, </w:t>
      </w:r>
      <w:r w:rsidRPr="000365AD">
        <w:rPr>
          <w:rFonts w:ascii="Calibri" w:eastAsia="Calibri" w:hAnsi="Calibri" w:cs="Calibri"/>
          <w:kern w:val="0"/>
          <w:u w:color="000000"/>
          <w:bdr w:val="nil"/>
          <w:shd w:val="clear" w:color="auto" w:fill="FFFFFF"/>
          <w:lang w:val="en-US"/>
          <w14:ligatures w14:val="none"/>
        </w:rPr>
        <w:t>states</w:t>
      </w:r>
      <w:r>
        <w:rPr>
          <w:rFonts w:ascii="Calibri" w:eastAsia="Calibri" w:hAnsi="Calibri" w:cs="Calibri"/>
          <w:kern w:val="0"/>
          <w:u w:color="000000"/>
          <w:bdr w:val="nil"/>
          <w:shd w:val="clear" w:color="auto" w:fill="FFFFFF"/>
          <w:lang w:val="en-US"/>
          <w14:ligatures w14:val="none"/>
        </w:rPr>
        <w:t xml:space="preserve">, </w:t>
      </w:r>
      <w:r w:rsidRPr="000365AD">
        <w:rPr>
          <w:rFonts w:ascii="Calibri" w:eastAsia="Calibri" w:hAnsi="Calibri" w:cs="Calibri"/>
          <w:kern w:val="0"/>
          <w:u w:color="000000"/>
          <w:bdr w:val="nil"/>
          <w:shd w:val="clear" w:color="auto" w:fill="FFFFFF"/>
          <w:lang w:val="en-US"/>
          <w14:ligatures w14:val="none"/>
        </w:rPr>
        <w:t>municipalities</w:t>
      </w:r>
      <w:r>
        <w:rPr>
          <w:rFonts w:ascii="Calibri" w:eastAsia="Calibri" w:hAnsi="Calibri" w:cs="Calibri"/>
          <w:kern w:val="0"/>
          <w:u w:color="000000"/>
          <w:bdr w:val="nil"/>
          <w:shd w:val="clear" w:color="auto" w:fill="FFFFFF"/>
          <w:lang w:val="en-US"/>
          <w14:ligatures w14:val="none"/>
        </w:rPr>
        <w:t>, police services and NGOs</w:t>
      </w:r>
      <w:r w:rsidRPr="000365AD">
        <w:rPr>
          <w:rFonts w:ascii="Calibri" w:eastAsia="Calibri" w:hAnsi="Calibri" w:cs="Calibri"/>
          <w:kern w:val="0"/>
          <w:u w:color="000000"/>
          <w:bdr w:val="nil"/>
          <w:shd w:val="clear" w:color="auto" w:fill="FFFFFF"/>
          <w:lang w:val="en-US"/>
          <w14:ligatures w14:val="none"/>
        </w:rPr>
        <w:t>.</w:t>
      </w:r>
      <w:r>
        <w:rPr>
          <w:rStyle w:val="EndnoteReference"/>
          <w:rFonts w:ascii="Calibri" w:eastAsia="Calibri" w:hAnsi="Calibri" w:cs="Calibri"/>
          <w:kern w:val="0"/>
          <w:u w:color="000000"/>
          <w:bdr w:val="nil"/>
          <w:shd w:val="clear" w:color="auto" w:fill="FFFFFF"/>
          <w:lang w:val="en-US"/>
          <w14:ligatures w14:val="none"/>
        </w:rPr>
        <w:endnoteReference w:id="33"/>
      </w:r>
      <w:r w:rsidR="00BE6D0C">
        <w:rPr>
          <w:rFonts w:ascii="Calibri" w:eastAsia="Calibri" w:hAnsi="Calibri" w:cs="Calibri"/>
          <w:kern w:val="0"/>
          <w:u w:color="000000"/>
          <w:bdr w:val="nil"/>
          <w:shd w:val="clear" w:color="auto" w:fill="FFFFFF"/>
          <w:lang w:val="en-US"/>
          <w14:ligatures w14:val="none"/>
        </w:rPr>
        <w:t xml:space="preserve"> </w:t>
      </w:r>
    </w:p>
    <w:p w14:paraId="154A8E8D" w14:textId="77777777" w:rsidR="00EC0C2B" w:rsidRDefault="00EC0C2B" w:rsidP="00724051">
      <w:pPr>
        <w:spacing w:after="0"/>
      </w:pPr>
    </w:p>
    <w:p w14:paraId="649661B7" w14:textId="2A6C7709" w:rsidR="00B549D7" w:rsidRPr="000365AD" w:rsidRDefault="00AC62BD" w:rsidP="00724051">
      <w:pPr>
        <w:spacing w:after="0"/>
      </w:pPr>
      <w:r w:rsidRPr="000365AD">
        <w:t>The</w:t>
      </w:r>
      <w:r>
        <w:t xml:space="preserve"> </w:t>
      </w:r>
      <w:r w:rsidRPr="000365AD">
        <w:t>overarching theme</w:t>
      </w:r>
      <w:r>
        <w:t xml:space="preserve"> of these initiatives is </w:t>
      </w:r>
      <w:r w:rsidRPr="000365AD">
        <w:t xml:space="preserve">that consistent and comprehensive </w:t>
      </w:r>
      <w:r>
        <w:t xml:space="preserve">rules are needed to ensure criminal AI systems are beneficial, legal and accountable. That said, the </w:t>
      </w:r>
      <w:r w:rsidR="00B549D7">
        <w:t>substance and form of these initiatives varies significantly</w:t>
      </w:r>
      <w:r>
        <w:t xml:space="preserve"> and </w:t>
      </w:r>
      <w:r w:rsidR="00341AC8">
        <w:t>can</w:t>
      </w:r>
      <w:r w:rsidR="006E3A1D">
        <w:t xml:space="preserve"> include</w:t>
      </w:r>
      <w:r w:rsidR="00B549D7">
        <w:t>:</w:t>
      </w:r>
    </w:p>
    <w:p w14:paraId="782F8CAF" w14:textId="77777777" w:rsidR="00B549D7" w:rsidRPr="000365AD" w:rsidRDefault="00B549D7" w:rsidP="00724051">
      <w:pPr>
        <w:spacing w:after="0"/>
      </w:pPr>
    </w:p>
    <w:p w14:paraId="5335024B" w14:textId="77777777" w:rsidR="00B549D7" w:rsidRPr="000365AD" w:rsidRDefault="00B549D7" w:rsidP="00965500">
      <w:pPr>
        <w:pStyle w:val="ListParagraph"/>
        <w:numPr>
          <w:ilvl w:val="0"/>
          <w:numId w:val="4"/>
        </w:numPr>
        <w:spacing w:after="240" w:line="240" w:lineRule="auto"/>
      </w:pPr>
      <w:r w:rsidRPr="000365AD">
        <w:t xml:space="preserve">Mandatory disclosure of criminal AI systems, including public “AI registers”. </w:t>
      </w:r>
    </w:p>
    <w:p w14:paraId="4ED46EB5" w14:textId="77777777" w:rsidR="00AC62BD" w:rsidRDefault="006E3A1D" w:rsidP="006E3A1D">
      <w:pPr>
        <w:pStyle w:val="ListParagraph"/>
        <w:numPr>
          <w:ilvl w:val="0"/>
          <w:numId w:val="4"/>
        </w:numPr>
        <w:spacing w:after="240" w:line="240" w:lineRule="auto"/>
      </w:pPr>
      <w:r>
        <w:t xml:space="preserve">Prohibitions </w:t>
      </w:r>
      <w:r w:rsidR="00B549D7" w:rsidRPr="000365AD">
        <w:t>on highest risk criminal AI systems</w:t>
      </w:r>
      <w:r>
        <w:t xml:space="preserve"> </w:t>
      </w:r>
    </w:p>
    <w:p w14:paraId="7E8EE56A" w14:textId="3691F9FB" w:rsidR="00B549D7" w:rsidRPr="000365AD" w:rsidRDefault="00AC62BD" w:rsidP="006E3A1D">
      <w:pPr>
        <w:pStyle w:val="ListParagraph"/>
        <w:numPr>
          <w:ilvl w:val="0"/>
          <w:numId w:val="4"/>
        </w:numPr>
        <w:spacing w:after="240" w:line="240" w:lineRule="auto"/>
      </w:pPr>
      <w:r>
        <w:t>C</w:t>
      </w:r>
      <w:r w:rsidR="00B549D7" w:rsidRPr="000365AD">
        <w:t xml:space="preserve">riteria to identify prohibited </w:t>
      </w:r>
      <w:r w:rsidR="006E3A1D">
        <w:t xml:space="preserve">or </w:t>
      </w:r>
      <w:r w:rsidR="00B549D7" w:rsidRPr="000365AD">
        <w:t xml:space="preserve">high-risk systems. </w:t>
      </w:r>
    </w:p>
    <w:p w14:paraId="0DB42EBC" w14:textId="77777777" w:rsidR="0099008B" w:rsidRDefault="0099008B" w:rsidP="00965500">
      <w:pPr>
        <w:pStyle w:val="ListParagraph"/>
        <w:numPr>
          <w:ilvl w:val="0"/>
          <w:numId w:val="4"/>
        </w:numPr>
        <w:spacing w:after="240" w:line="240" w:lineRule="auto"/>
      </w:pPr>
      <w:r>
        <w:t xml:space="preserve">Purpose and use limitations. </w:t>
      </w:r>
    </w:p>
    <w:p w14:paraId="76BFBB80" w14:textId="77777777" w:rsidR="00B549D7" w:rsidRDefault="00B549D7" w:rsidP="00965500">
      <w:pPr>
        <w:pStyle w:val="ListParagraph"/>
        <w:numPr>
          <w:ilvl w:val="0"/>
          <w:numId w:val="4"/>
        </w:numPr>
        <w:spacing w:after="240" w:line="240" w:lineRule="auto"/>
      </w:pPr>
      <w:r w:rsidRPr="000365AD">
        <w:t>Mandatory and transparent AI impact assessments.</w:t>
      </w:r>
    </w:p>
    <w:p w14:paraId="4ADF4D8A" w14:textId="77777777" w:rsidR="006E3A1D" w:rsidRPr="0099008B" w:rsidRDefault="006E3A1D" w:rsidP="006E3A1D">
      <w:pPr>
        <w:pStyle w:val="ListParagraph"/>
        <w:numPr>
          <w:ilvl w:val="0"/>
          <w:numId w:val="4"/>
        </w:numPr>
        <w:spacing w:after="240" w:line="240" w:lineRule="auto"/>
      </w:pPr>
      <w:r>
        <w:t>Mitigation requirements.</w:t>
      </w:r>
    </w:p>
    <w:p w14:paraId="348905CD" w14:textId="38A24EA9" w:rsidR="00B549D7" w:rsidRPr="000365AD" w:rsidRDefault="00AC62BD" w:rsidP="006E3A1D">
      <w:pPr>
        <w:pStyle w:val="ListParagraph"/>
        <w:numPr>
          <w:ilvl w:val="0"/>
          <w:numId w:val="4"/>
        </w:numPr>
        <w:spacing w:after="240" w:line="240" w:lineRule="auto"/>
      </w:pPr>
      <w:r>
        <w:t xml:space="preserve">Mandatory obligations to </w:t>
      </w:r>
      <w:r w:rsidR="00B549D7" w:rsidRPr="000365AD">
        <w:t>measure, correct and audit bias in AI systems.</w:t>
      </w:r>
    </w:p>
    <w:p w14:paraId="07B05D52" w14:textId="5674B0A6" w:rsidR="00B549D7" w:rsidRPr="000365AD" w:rsidRDefault="00B549D7" w:rsidP="00965500">
      <w:pPr>
        <w:pStyle w:val="ListParagraph"/>
        <w:numPr>
          <w:ilvl w:val="0"/>
          <w:numId w:val="4"/>
        </w:numPr>
        <w:spacing w:after="240" w:line="240" w:lineRule="auto"/>
      </w:pPr>
      <w:r w:rsidRPr="000365AD">
        <w:t>Procedural protections, such as warrant requirements for high-risk systems</w:t>
      </w:r>
      <w:r>
        <w:t xml:space="preserve">. </w:t>
      </w:r>
    </w:p>
    <w:p w14:paraId="13F8D015" w14:textId="77777777" w:rsidR="00B549D7" w:rsidRPr="000365AD" w:rsidRDefault="00B549D7" w:rsidP="00965500">
      <w:pPr>
        <w:pStyle w:val="ListParagraph"/>
        <w:numPr>
          <w:ilvl w:val="0"/>
          <w:numId w:val="4"/>
        </w:numPr>
        <w:spacing w:after="240" w:line="240" w:lineRule="auto"/>
      </w:pPr>
      <w:r w:rsidRPr="000365AD">
        <w:t xml:space="preserve">Mandatory “human in the loop” requirements and training. </w:t>
      </w:r>
    </w:p>
    <w:p w14:paraId="4B537F6F" w14:textId="77777777" w:rsidR="00B549D7" w:rsidRPr="000365AD" w:rsidRDefault="00B549D7" w:rsidP="00965500">
      <w:pPr>
        <w:pStyle w:val="ListParagraph"/>
        <w:numPr>
          <w:ilvl w:val="0"/>
          <w:numId w:val="4"/>
        </w:numPr>
        <w:spacing w:after="240" w:line="240" w:lineRule="auto"/>
      </w:pPr>
      <w:r w:rsidRPr="000365AD">
        <w:t xml:space="preserve">Mandatory auditing and evaluation requirements. </w:t>
      </w:r>
    </w:p>
    <w:p w14:paraId="5D4C9BF1" w14:textId="7138CBA8" w:rsidR="00B549D7" w:rsidRPr="000365AD" w:rsidRDefault="00B549D7" w:rsidP="00965500">
      <w:pPr>
        <w:pStyle w:val="ListParagraph"/>
        <w:numPr>
          <w:ilvl w:val="0"/>
          <w:numId w:val="4"/>
        </w:numPr>
        <w:spacing w:after="240" w:line="240" w:lineRule="auto"/>
      </w:pPr>
      <w:r w:rsidRPr="000365AD">
        <w:t>Independent oversight of individual systems and government AI generally.</w:t>
      </w:r>
      <w:r w:rsidR="00BE6D0C">
        <w:t xml:space="preserve"> </w:t>
      </w:r>
    </w:p>
    <w:p w14:paraId="36988CEB" w14:textId="32830660" w:rsidR="000E025D" w:rsidRDefault="00B549D7" w:rsidP="000E025D">
      <w:pPr>
        <w:spacing w:after="0" w:line="240" w:lineRule="auto"/>
      </w:pPr>
      <w:bookmarkStart w:id="31" w:name="_Toc188900914"/>
      <w:bookmarkStart w:id="32" w:name="_Toc188902181"/>
      <w:bookmarkEnd w:id="30"/>
      <w:r w:rsidRPr="00383CA4">
        <w:t>The LCO does not believe any single precedent or framework can or should be adopted in Canada</w:t>
      </w:r>
      <w:r w:rsidR="00BD0472">
        <w:t xml:space="preserve"> or Ontario</w:t>
      </w:r>
      <w:r w:rsidRPr="00383CA4">
        <w:t xml:space="preserve">. </w:t>
      </w:r>
      <w:r w:rsidR="00BD0472">
        <w:rPr>
          <w:rFonts w:eastAsia="Times New Roman"/>
        </w:rPr>
        <w:t xml:space="preserve">Trustworthy criminal AI laws and policies </w:t>
      </w:r>
      <w:r w:rsidRPr="00383CA4">
        <w:t xml:space="preserve">must be tailored </w:t>
      </w:r>
      <w:r>
        <w:t xml:space="preserve">to </w:t>
      </w:r>
      <w:r w:rsidRPr="00383CA4">
        <w:t xml:space="preserve">our </w:t>
      </w:r>
      <w:r w:rsidR="00BD0472">
        <w:t xml:space="preserve">laws, </w:t>
      </w:r>
      <w:r w:rsidRPr="00383CA4">
        <w:t xml:space="preserve">criminal justice system and institutions. </w:t>
      </w:r>
      <w:r w:rsidR="00B54C76">
        <w:t>T</w:t>
      </w:r>
      <w:r w:rsidRPr="00383CA4">
        <w:t>he LCO believe</w:t>
      </w:r>
      <w:r>
        <w:t>s</w:t>
      </w:r>
      <w:r w:rsidRPr="00383CA4">
        <w:t xml:space="preserve"> Canadian policymakers and stakeholders can learn important lessons from the experience of other jurisdictions.</w:t>
      </w:r>
      <w:r w:rsidR="00BE6D0C">
        <w:t xml:space="preserve"> </w:t>
      </w:r>
    </w:p>
    <w:p w14:paraId="0EDFA60B" w14:textId="77777777" w:rsidR="000E025D" w:rsidRDefault="000E025D" w:rsidP="000E025D">
      <w:pPr>
        <w:spacing w:after="0" w:line="240" w:lineRule="auto"/>
      </w:pPr>
    </w:p>
    <w:p w14:paraId="4EF9E18B" w14:textId="447ED325" w:rsidR="00B549D7" w:rsidRPr="002334C8" w:rsidRDefault="00B549D7" w:rsidP="00965500">
      <w:pPr>
        <w:pStyle w:val="Heading1"/>
        <w:numPr>
          <w:ilvl w:val="0"/>
          <w:numId w:val="21"/>
        </w:numPr>
      </w:pPr>
      <w:bookmarkStart w:id="33" w:name="_Toc194406404"/>
      <w:bookmarkStart w:id="34" w:name="_Toc195604715"/>
      <w:r w:rsidRPr="002334C8">
        <w:t>Trustworthy AI in Canadian Criminal Justice</w:t>
      </w:r>
      <w:bookmarkEnd w:id="33"/>
      <w:bookmarkEnd w:id="34"/>
      <w:r w:rsidRPr="002334C8">
        <w:t xml:space="preserve"> </w:t>
      </w:r>
      <w:bookmarkEnd w:id="31"/>
      <w:bookmarkEnd w:id="32"/>
    </w:p>
    <w:p w14:paraId="2130BDB0" w14:textId="77777777" w:rsidR="00B549D7" w:rsidRDefault="00B549D7" w:rsidP="009F0A62">
      <w:pPr>
        <w:spacing w:after="0"/>
      </w:pPr>
    </w:p>
    <w:p w14:paraId="6F5D406A" w14:textId="677D08EF" w:rsidR="00B549D7" w:rsidRPr="00F64420" w:rsidRDefault="00B549D7" w:rsidP="00F64420">
      <w:pPr>
        <w:pStyle w:val="Heading2"/>
        <w:rPr>
          <w:b w:val="0"/>
          <w:bCs/>
        </w:rPr>
      </w:pPr>
      <w:bookmarkStart w:id="35" w:name="_Toc194406405"/>
      <w:bookmarkStart w:id="36" w:name="_Toc195604716"/>
      <w:r w:rsidRPr="00F64420">
        <w:rPr>
          <w:b w:val="0"/>
          <w:bCs/>
        </w:rPr>
        <w:t>Existing Laws and Policies</w:t>
      </w:r>
      <w:bookmarkEnd w:id="35"/>
      <w:bookmarkEnd w:id="36"/>
    </w:p>
    <w:p w14:paraId="3EE3C141" w14:textId="77777777" w:rsidR="00B549D7" w:rsidRDefault="00B549D7" w:rsidP="00114CC4">
      <w:pPr>
        <w:spacing w:after="0"/>
      </w:pPr>
    </w:p>
    <w:p w14:paraId="55A32F71" w14:textId="7AA813E2" w:rsidR="00B549D7" w:rsidRDefault="00B549D7" w:rsidP="00114CC4">
      <w:pPr>
        <w:spacing w:after="0"/>
      </w:pPr>
      <w:r>
        <w:t xml:space="preserve">The LCO’s project Issue Papers analyze how existing </w:t>
      </w:r>
      <w:r>
        <w:rPr>
          <w:i/>
          <w:iCs/>
        </w:rPr>
        <w:t xml:space="preserve">Charter </w:t>
      </w:r>
      <w:r>
        <w:t xml:space="preserve">protections, the </w:t>
      </w:r>
      <w:r>
        <w:rPr>
          <w:i/>
          <w:iCs/>
        </w:rPr>
        <w:t>Criminal Code,</w:t>
      </w:r>
      <w:r>
        <w:t xml:space="preserve"> human rights law, common law rules, criminal procedure</w:t>
      </w:r>
      <w:r w:rsidR="0058773E">
        <w:t xml:space="preserve"> </w:t>
      </w:r>
      <w:r>
        <w:t xml:space="preserve">and rules of evidence can or will be used to respond to the </w:t>
      </w:r>
      <w:r>
        <w:lastRenderedPageBreak/>
        <w:t xml:space="preserve">challenges of AI in each stage of the criminal justice system. The Issue Papers present a comprehensive analysis of the strengths and gaps of this complex legal framework. </w:t>
      </w:r>
    </w:p>
    <w:p w14:paraId="535FC88D" w14:textId="77777777" w:rsidR="00B549D7" w:rsidRDefault="00B549D7" w:rsidP="009F0A62">
      <w:pPr>
        <w:spacing w:after="0"/>
      </w:pPr>
    </w:p>
    <w:p w14:paraId="705FF690" w14:textId="359A5BC3" w:rsidR="00B549D7" w:rsidRDefault="00B549D7" w:rsidP="009F0A62">
      <w:pPr>
        <w:spacing w:after="0"/>
      </w:pPr>
      <w:r>
        <w:t xml:space="preserve">The LCO and our authors have concluded that, while existing legal rules and procedures have many strengths, they do not establish trustworthy criminal AI in Canada. </w:t>
      </w:r>
      <w:r w:rsidR="00BD0472">
        <w:t>This is because</w:t>
      </w:r>
      <w:r>
        <w:t>:</w:t>
      </w:r>
      <w:r w:rsidR="00BE6D0C">
        <w:t xml:space="preserve"> </w:t>
      </w:r>
    </w:p>
    <w:p w14:paraId="2C82DD76" w14:textId="77777777" w:rsidR="00B549D7" w:rsidRDefault="00B549D7" w:rsidP="000607D4">
      <w:pPr>
        <w:spacing w:after="0"/>
      </w:pPr>
    </w:p>
    <w:p w14:paraId="3376C7F7" w14:textId="1D0FB220" w:rsidR="00B549D7" w:rsidRDefault="00B549D7" w:rsidP="00965500">
      <w:pPr>
        <w:pStyle w:val="ListParagraph"/>
        <w:numPr>
          <w:ilvl w:val="0"/>
          <w:numId w:val="13"/>
        </w:numPr>
        <w:spacing w:after="0"/>
        <w:contextualSpacing w:val="0"/>
        <w:rPr>
          <w:lang w:eastAsia="en-CA"/>
        </w:rPr>
      </w:pPr>
      <w:r w:rsidRPr="00211868">
        <w:rPr>
          <w:lang w:eastAsia="en-CA"/>
        </w:rPr>
        <w:t xml:space="preserve">AI raises novel, complex and consequential issues at each stage of a criminal proceeding. </w:t>
      </w:r>
    </w:p>
    <w:p w14:paraId="6EE22F3C" w14:textId="24824FAB" w:rsidR="00B549D7" w:rsidRPr="00211868" w:rsidRDefault="00B549D7" w:rsidP="00965500">
      <w:pPr>
        <w:pStyle w:val="ListParagraph"/>
        <w:numPr>
          <w:ilvl w:val="0"/>
          <w:numId w:val="13"/>
        </w:numPr>
        <w:spacing w:before="100" w:beforeAutospacing="1" w:after="0"/>
        <w:contextualSpacing w:val="0"/>
        <w:rPr>
          <w:lang w:eastAsia="en-CA"/>
        </w:rPr>
      </w:pPr>
      <w:r>
        <w:rPr>
          <w:lang w:eastAsia="en-CA"/>
        </w:rPr>
        <w:t>I</w:t>
      </w:r>
      <w:r w:rsidRPr="00211868">
        <w:rPr>
          <w:lang w:eastAsia="en-CA"/>
        </w:rPr>
        <w:t xml:space="preserve">mproperly designed or operated AI systems </w:t>
      </w:r>
      <w:r>
        <w:rPr>
          <w:lang w:eastAsia="en-CA"/>
        </w:rPr>
        <w:t xml:space="preserve">could </w:t>
      </w:r>
      <w:r w:rsidRPr="00211868">
        <w:rPr>
          <w:lang w:eastAsia="en-CA"/>
        </w:rPr>
        <w:t xml:space="preserve">have profound implications for liberty interests, constitutional rights, </w:t>
      </w:r>
      <w:r>
        <w:rPr>
          <w:lang w:eastAsia="en-CA"/>
        </w:rPr>
        <w:t>privacy,</w:t>
      </w:r>
      <w:r w:rsidRPr="00211868">
        <w:rPr>
          <w:lang w:eastAsia="en-CA"/>
        </w:rPr>
        <w:t xml:space="preserve"> criminal procedure, court efficiency, access to justice and public trust in the Canadian criminal justice system.</w:t>
      </w:r>
      <w:r w:rsidR="00BE6D0C">
        <w:rPr>
          <w:lang w:eastAsia="en-CA"/>
        </w:rPr>
        <w:t xml:space="preserve"> </w:t>
      </w:r>
    </w:p>
    <w:p w14:paraId="763B0F33" w14:textId="77777777" w:rsidR="00B549D7" w:rsidRDefault="00B549D7" w:rsidP="00965500">
      <w:pPr>
        <w:pStyle w:val="ListParagraph"/>
        <w:numPr>
          <w:ilvl w:val="0"/>
          <w:numId w:val="13"/>
        </w:numPr>
        <w:spacing w:before="100" w:beforeAutospacing="1" w:after="0"/>
        <w:contextualSpacing w:val="0"/>
        <w:rPr>
          <w:lang w:eastAsia="en-CA"/>
        </w:rPr>
      </w:pPr>
      <w:r w:rsidRPr="00211868">
        <w:rPr>
          <w:rFonts w:ascii="Calibri" w:eastAsia="Times New Roman" w:hAnsi="Calibri" w:cs="Calibri"/>
          <w:kern w:val="0"/>
          <w:lang w:eastAsia="en-CA"/>
          <w14:ligatures w14:val="none"/>
        </w:rPr>
        <w:t xml:space="preserve">There is a </w:t>
      </w:r>
      <w:r w:rsidRPr="00211868">
        <w:rPr>
          <w:lang w:eastAsia="en-CA"/>
        </w:rPr>
        <w:t xml:space="preserve">need for AI accountability at each stage of the criminal justice system. </w:t>
      </w:r>
    </w:p>
    <w:p w14:paraId="179F26D7" w14:textId="781BEC37" w:rsidR="00B549D7" w:rsidRPr="00211868" w:rsidRDefault="00B549D7" w:rsidP="00965500">
      <w:pPr>
        <w:pStyle w:val="ListParagraph"/>
        <w:numPr>
          <w:ilvl w:val="0"/>
          <w:numId w:val="13"/>
        </w:numPr>
        <w:spacing w:before="100" w:beforeAutospacing="1" w:after="0"/>
        <w:contextualSpacing w:val="0"/>
        <w:rPr>
          <w:lang w:eastAsia="en-CA"/>
        </w:rPr>
      </w:pPr>
      <w:r>
        <w:rPr>
          <w:lang w:eastAsia="en-CA"/>
        </w:rPr>
        <w:t>“R</w:t>
      </w:r>
      <w:r w:rsidRPr="00211868">
        <w:rPr>
          <w:lang w:eastAsia="en-CA"/>
        </w:rPr>
        <w:t>egulation by litigation”</w:t>
      </w:r>
      <w:r>
        <w:rPr>
          <w:lang w:eastAsia="en-CA"/>
        </w:rPr>
        <w:t xml:space="preserve"> is unlikely </w:t>
      </w:r>
      <w:r w:rsidRPr="00211868">
        <w:rPr>
          <w:lang w:eastAsia="en-CA"/>
        </w:rPr>
        <w:t xml:space="preserve">to </w:t>
      </w:r>
      <w:r>
        <w:rPr>
          <w:lang w:eastAsia="en-CA"/>
        </w:rPr>
        <w:t xml:space="preserve">effectively </w:t>
      </w:r>
      <w:r w:rsidRPr="00211868">
        <w:rPr>
          <w:lang w:eastAsia="en-CA"/>
        </w:rPr>
        <w:t>address the systemic</w:t>
      </w:r>
      <w:r w:rsidR="00124640">
        <w:rPr>
          <w:lang w:eastAsia="en-CA"/>
        </w:rPr>
        <w:t xml:space="preserve"> and </w:t>
      </w:r>
      <w:r w:rsidRPr="00211868">
        <w:rPr>
          <w:lang w:eastAsia="en-CA"/>
        </w:rPr>
        <w:t xml:space="preserve">complex challenges of </w:t>
      </w:r>
      <w:r>
        <w:rPr>
          <w:lang w:eastAsia="en-CA"/>
        </w:rPr>
        <w:t>criminal AI systems</w:t>
      </w:r>
      <w:r w:rsidRPr="00211868">
        <w:rPr>
          <w:lang w:eastAsia="en-CA"/>
        </w:rPr>
        <w:t>.</w:t>
      </w:r>
      <w:r w:rsidR="00BE6D0C">
        <w:rPr>
          <w:lang w:eastAsia="en-CA"/>
        </w:rPr>
        <w:t xml:space="preserve"> </w:t>
      </w:r>
    </w:p>
    <w:p w14:paraId="52C301DA" w14:textId="1960A391" w:rsidR="00B549D7" w:rsidRDefault="00B549D7" w:rsidP="00965500">
      <w:pPr>
        <w:pStyle w:val="ListParagraph"/>
        <w:numPr>
          <w:ilvl w:val="0"/>
          <w:numId w:val="13"/>
        </w:numPr>
        <w:spacing w:before="100" w:beforeAutospacing="1" w:after="0"/>
        <w:contextualSpacing w:val="0"/>
        <w:rPr>
          <w:lang w:eastAsia="en-CA"/>
        </w:rPr>
      </w:pPr>
      <w:r>
        <w:rPr>
          <w:lang w:eastAsia="en-CA"/>
        </w:rPr>
        <w:t xml:space="preserve">It is not clear that </w:t>
      </w:r>
      <w:r w:rsidRPr="00211868">
        <w:rPr>
          <w:lang w:eastAsia="en-CA"/>
        </w:rPr>
        <w:t xml:space="preserve">agencies and courts will be able to determine or apply consistent </w:t>
      </w:r>
      <w:r>
        <w:rPr>
          <w:lang w:eastAsia="en-CA"/>
        </w:rPr>
        <w:t xml:space="preserve">AI </w:t>
      </w:r>
      <w:r w:rsidRPr="00211868">
        <w:rPr>
          <w:lang w:eastAsia="en-CA"/>
        </w:rPr>
        <w:t>disclosure obligations, bias and privacy testing, reliability criteria, etc.</w:t>
      </w:r>
    </w:p>
    <w:p w14:paraId="6CBE557E" w14:textId="06312A47" w:rsidR="00B549D7" w:rsidRDefault="00B549D7" w:rsidP="00C71C2A">
      <w:pPr>
        <w:pStyle w:val="ListParagraph"/>
        <w:spacing w:before="100" w:beforeAutospacing="1" w:after="0"/>
        <w:ind w:left="0"/>
        <w:contextualSpacing w:val="0"/>
      </w:pPr>
      <w:r w:rsidRPr="00211868">
        <w:rPr>
          <w:lang w:eastAsia="en-CA"/>
        </w:rPr>
        <w:t>The</w:t>
      </w:r>
      <w:r>
        <w:rPr>
          <w:lang w:eastAsia="en-CA"/>
        </w:rPr>
        <w:t xml:space="preserve"> LCO and our authors </w:t>
      </w:r>
      <w:r w:rsidR="00BD0472">
        <w:rPr>
          <w:lang w:eastAsia="en-CA"/>
        </w:rPr>
        <w:t xml:space="preserve">are concerned </w:t>
      </w:r>
      <w:r>
        <w:rPr>
          <w:lang w:eastAsia="en-CA"/>
        </w:rPr>
        <w:t>these issues will</w:t>
      </w:r>
      <w:r w:rsidR="0058773E">
        <w:rPr>
          <w:lang w:eastAsia="en-CA"/>
        </w:rPr>
        <w:t xml:space="preserve"> spread and </w:t>
      </w:r>
      <w:r>
        <w:rPr>
          <w:lang w:eastAsia="en-CA"/>
        </w:rPr>
        <w:t>compound</w:t>
      </w:r>
      <w:r w:rsidR="0058773E">
        <w:rPr>
          <w:lang w:eastAsia="en-CA"/>
        </w:rPr>
        <w:t xml:space="preserve"> across </w:t>
      </w:r>
      <w:r>
        <w:rPr>
          <w:lang w:eastAsia="en-CA"/>
        </w:rPr>
        <w:t xml:space="preserve">the </w:t>
      </w:r>
      <w:r w:rsidRPr="00211868">
        <w:rPr>
          <w:lang w:eastAsia="en-CA"/>
        </w:rPr>
        <w:t xml:space="preserve">wide, diverse, and decentralized network of institutions and actors involved in developing, operating, litigating or overseeing AI in </w:t>
      </w:r>
      <w:r>
        <w:rPr>
          <w:lang w:eastAsia="en-CA"/>
        </w:rPr>
        <w:t xml:space="preserve">Canada’s and </w:t>
      </w:r>
      <w:r w:rsidRPr="00211868">
        <w:rPr>
          <w:lang w:eastAsia="en-CA"/>
        </w:rPr>
        <w:t xml:space="preserve">Ontario’s criminal justice system. </w:t>
      </w:r>
      <w:bookmarkStart w:id="37" w:name="_Toc188900917"/>
      <w:bookmarkStart w:id="38" w:name="_Toc188902183"/>
    </w:p>
    <w:p w14:paraId="0AFAB128" w14:textId="77777777" w:rsidR="00B549D7" w:rsidRDefault="00B549D7" w:rsidP="00B549D7">
      <w:pPr>
        <w:pStyle w:val="Heading3"/>
        <w:spacing w:before="0"/>
      </w:pPr>
    </w:p>
    <w:p w14:paraId="5CE2B8EF" w14:textId="40BB0BF1" w:rsidR="00B549D7" w:rsidRPr="00F64420" w:rsidRDefault="00B549D7" w:rsidP="00F64420">
      <w:pPr>
        <w:pStyle w:val="Heading2"/>
        <w:rPr>
          <w:b w:val="0"/>
          <w:bCs/>
        </w:rPr>
      </w:pPr>
      <w:bookmarkStart w:id="39" w:name="_Toc194406406"/>
      <w:bookmarkStart w:id="40" w:name="_Toc195604717"/>
      <w:r w:rsidRPr="00F64420">
        <w:rPr>
          <w:b w:val="0"/>
          <w:bCs/>
        </w:rPr>
        <w:t>Federal AI Legislation, Government Directives</w:t>
      </w:r>
      <w:bookmarkEnd w:id="37"/>
      <w:bookmarkEnd w:id="38"/>
      <w:r w:rsidRPr="00F64420">
        <w:rPr>
          <w:b w:val="0"/>
          <w:bCs/>
        </w:rPr>
        <w:t xml:space="preserve"> and Policies</w:t>
      </w:r>
      <w:bookmarkEnd w:id="39"/>
      <w:bookmarkEnd w:id="40"/>
    </w:p>
    <w:p w14:paraId="7A6C79E5" w14:textId="77777777" w:rsidR="00B549D7" w:rsidRDefault="00B549D7" w:rsidP="000607D4">
      <w:pPr>
        <w:spacing w:after="0"/>
        <w:rPr>
          <w:b/>
          <w:bCs/>
        </w:rPr>
      </w:pPr>
      <w:bookmarkStart w:id="41" w:name="_Toc188900918"/>
      <w:bookmarkStart w:id="42" w:name="_Toc188902184"/>
    </w:p>
    <w:p w14:paraId="2544C688" w14:textId="30A45534" w:rsidR="00B549D7" w:rsidRDefault="00B549D7" w:rsidP="000607D4">
      <w:pPr>
        <w:spacing w:after="0"/>
      </w:pPr>
      <w:r w:rsidRPr="00A552A8">
        <w:t>Th</w:t>
      </w:r>
      <w:r>
        <w:t>e</w:t>
      </w:r>
      <w:r w:rsidRPr="00A552A8">
        <w:t xml:space="preserve">re are </w:t>
      </w:r>
      <w:r>
        <w:t xml:space="preserve">three initiatives at the federal level relevant to criminal AI systems. </w:t>
      </w:r>
    </w:p>
    <w:p w14:paraId="02FEFEC4" w14:textId="77777777" w:rsidR="00B549D7" w:rsidRPr="00A552A8" w:rsidRDefault="00B549D7" w:rsidP="000607D4">
      <w:pPr>
        <w:spacing w:after="0"/>
      </w:pPr>
    </w:p>
    <w:p w14:paraId="4F7FA7AF" w14:textId="36874D7A" w:rsidR="00B549D7" w:rsidRPr="00F034C2" w:rsidRDefault="00B549D7" w:rsidP="00965500">
      <w:pPr>
        <w:pStyle w:val="ListParagraph"/>
        <w:numPr>
          <w:ilvl w:val="0"/>
          <w:numId w:val="24"/>
        </w:numPr>
        <w:spacing w:after="0"/>
        <w:rPr>
          <w:b/>
          <w:bCs/>
        </w:rPr>
      </w:pPr>
      <w:r w:rsidRPr="00A552A8">
        <w:rPr>
          <w:b/>
          <w:bCs/>
        </w:rPr>
        <w:t>The Federal Artificial Intelligence and Data Act (</w:t>
      </w:r>
      <w:r w:rsidRPr="00A552A8">
        <w:rPr>
          <w:b/>
          <w:bCs/>
          <w:i/>
          <w:iCs/>
        </w:rPr>
        <w:t>AI</w:t>
      </w:r>
      <w:bookmarkEnd w:id="41"/>
      <w:bookmarkEnd w:id="42"/>
      <w:r>
        <w:rPr>
          <w:b/>
          <w:bCs/>
          <w:i/>
          <w:iCs/>
        </w:rPr>
        <w:t>DA)</w:t>
      </w:r>
    </w:p>
    <w:p w14:paraId="37F0AEB1" w14:textId="77777777" w:rsidR="00B549D7" w:rsidRPr="00F034C2" w:rsidRDefault="00B549D7" w:rsidP="00F034C2">
      <w:pPr>
        <w:spacing w:after="0"/>
        <w:ind w:left="720"/>
        <w:rPr>
          <w:b/>
          <w:bCs/>
        </w:rPr>
      </w:pPr>
    </w:p>
    <w:p w14:paraId="6F50C934" w14:textId="18E5664A" w:rsidR="00B549D7" w:rsidRDefault="00B549D7" w:rsidP="009F0A62">
      <w:r w:rsidRPr="00765169">
        <w:t xml:space="preserve">In June 2022, the federal Minister of Industry, Science and Economic Development (ISED) </w:t>
      </w:r>
      <w:r>
        <w:t xml:space="preserve">introduced the </w:t>
      </w:r>
      <w:r w:rsidRPr="00765169">
        <w:t>draft </w:t>
      </w:r>
      <w:r w:rsidRPr="00765169">
        <w:rPr>
          <w:i/>
          <w:iCs/>
        </w:rPr>
        <w:t>Artificial Intelligence and Data Act</w:t>
      </w:r>
      <w:r w:rsidRPr="00765169">
        <w:t> (AIDA</w:t>
      </w:r>
      <w:r>
        <w:t>) as part of Bill C-27.</w:t>
      </w:r>
      <w:r w:rsidRPr="004F6F15">
        <w:rPr>
          <w:vertAlign w:val="superscript"/>
        </w:rPr>
        <w:endnoteReference w:id="34"/>
      </w:r>
      <w:r w:rsidR="00BE6D0C">
        <w:t xml:space="preserve"> </w:t>
      </w:r>
    </w:p>
    <w:p w14:paraId="0943B306" w14:textId="7D9BEDCA" w:rsidR="00B549D7" w:rsidRPr="00D326BA" w:rsidRDefault="00B549D7" w:rsidP="009F0A62">
      <w:pPr>
        <w:rPr>
          <w:vertAlign w:val="superscript"/>
        </w:rPr>
      </w:pPr>
      <w:r>
        <w:t xml:space="preserve">Like the EU </w:t>
      </w:r>
      <w:r>
        <w:rPr>
          <w:i/>
          <w:iCs/>
        </w:rPr>
        <w:t>AI</w:t>
      </w:r>
      <w:r w:rsidRPr="00290A7C">
        <w:rPr>
          <w:i/>
          <w:iCs/>
        </w:rPr>
        <w:t xml:space="preserve"> Act</w:t>
      </w:r>
      <w:r>
        <w:t xml:space="preserve">, </w:t>
      </w:r>
      <w:r w:rsidRPr="00765169">
        <w:rPr>
          <w:i/>
          <w:iCs/>
        </w:rPr>
        <w:t>AIDA</w:t>
      </w:r>
      <w:r w:rsidRPr="00765169">
        <w:t> </w:t>
      </w:r>
      <w:r>
        <w:t xml:space="preserve">proposed a </w:t>
      </w:r>
      <w:r w:rsidRPr="00765169">
        <w:t>risk-based approach</w:t>
      </w:r>
      <w:r>
        <w:t xml:space="preserve"> to AI governance</w:t>
      </w:r>
      <w:r w:rsidRPr="00765169">
        <w:t>.</w:t>
      </w:r>
      <w:r>
        <w:rPr>
          <w:vertAlign w:val="superscript"/>
        </w:rPr>
        <w:t xml:space="preserve"> </w:t>
      </w:r>
      <w:r>
        <w:t xml:space="preserve">Unlike the EU </w:t>
      </w:r>
      <w:r>
        <w:rPr>
          <w:i/>
          <w:iCs/>
        </w:rPr>
        <w:t>AI</w:t>
      </w:r>
      <w:r w:rsidRPr="00C2474D">
        <w:rPr>
          <w:i/>
          <w:iCs/>
        </w:rPr>
        <w:t xml:space="preserve"> Act</w:t>
      </w:r>
      <w:r>
        <w:t xml:space="preserve">, however, </w:t>
      </w:r>
      <w:r w:rsidRPr="00C2474D">
        <w:rPr>
          <w:rFonts w:eastAsia="Calibri"/>
          <w:i/>
          <w:iCs/>
        </w:rPr>
        <w:t>AIDA</w:t>
      </w:r>
      <w:r w:rsidRPr="00601DB9">
        <w:rPr>
          <w:rFonts w:eastAsia="Calibri"/>
        </w:rPr>
        <w:t xml:space="preserve"> d</w:t>
      </w:r>
      <w:r>
        <w:rPr>
          <w:rFonts w:eastAsia="Calibri"/>
        </w:rPr>
        <w:t>id</w:t>
      </w:r>
      <w:r w:rsidRPr="00601DB9">
        <w:rPr>
          <w:rFonts w:eastAsia="Calibri"/>
        </w:rPr>
        <w:t xml:space="preserve"> not directly regulate the use of </w:t>
      </w:r>
      <w:r>
        <w:rPr>
          <w:rFonts w:eastAsia="Calibri"/>
        </w:rPr>
        <w:t>AI</w:t>
      </w:r>
      <w:r w:rsidRPr="00601DB9">
        <w:rPr>
          <w:rFonts w:eastAsia="Calibri"/>
        </w:rPr>
        <w:t xml:space="preserve"> in the public sector or criminal justice system. </w:t>
      </w:r>
      <w:r w:rsidRPr="00601DB9">
        <w:rPr>
          <w:iCs/>
        </w:rPr>
        <w:t xml:space="preserve">Rather, </w:t>
      </w:r>
      <w:r w:rsidRPr="00C2474D">
        <w:rPr>
          <w:i/>
        </w:rPr>
        <w:t>AIDA</w:t>
      </w:r>
      <w:r>
        <w:rPr>
          <w:iCs/>
        </w:rPr>
        <w:t xml:space="preserve"> would have </w:t>
      </w:r>
      <w:r w:rsidRPr="00601DB9">
        <w:t>appl</w:t>
      </w:r>
      <w:r>
        <w:t xml:space="preserve">ied </w:t>
      </w:r>
      <w:r w:rsidRPr="00601DB9">
        <w:t xml:space="preserve">to private sector organizations responsible for the “development, deployment, use or making available of </w:t>
      </w:r>
      <w:r>
        <w:t>AI</w:t>
      </w:r>
      <w:r w:rsidRPr="00601DB9">
        <w:t xml:space="preserve"> systems</w:t>
      </w:r>
      <w:r>
        <w:t>.</w:t>
      </w:r>
      <w:r w:rsidRPr="00601DB9">
        <w:t>”</w:t>
      </w:r>
      <w:r w:rsidRPr="00601DB9">
        <w:rPr>
          <w:vertAlign w:val="superscript"/>
        </w:rPr>
        <w:t xml:space="preserve"> </w:t>
      </w:r>
      <w:r w:rsidRPr="00601DB9">
        <w:rPr>
          <w:vertAlign w:val="superscript"/>
        </w:rPr>
        <w:endnoteReference w:id="35"/>
      </w:r>
      <w:r w:rsidR="00BE6D0C">
        <w:rPr>
          <w:vertAlign w:val="superscript"/>
        </w:rPr>
        <w:t xml:space="preserve"> </w:t>
      </w:r>
      <w:r>
        <w:t xml:space="preserve">Nor did </w:t>
      </w:r>
      <w:r w:rsidRPr="005E181D">
        <w:rPr>
          <w:i/>
          <w:iCs/>
        </w:rPr>
        <w:t>AIDA</w:t>
      </w:r>
      <w:r>
        <w:t xml:space="preserve"> originally include explicit </w:t>
      </w:r>
      <w:r w:rsidRPr="004F6F15">
        <w:t>ban</w:t>
      </w:r>
      <w:r>
        <w:t>s</w:t>
      </w:r>
      <w:r w:rsidRPr="004F6F15">
        <w:t xml:space="preserve"> </w:t>
      </w:r>
      <w:r>
        <w:t xml:space="preserve">or prohibitions </w:t>
      </w:r>
      <w:r w:rsidRPr="004F6F15">
        <w:t xml:space="preserve">on AI systems that </w:t>
      </w:r>
      <w:r>
        <w:t xml:space="preserve">have </w:t>
      </w:r>
      <w:r w:rsidRPr="004F6F15">
        <w:t>unacceptable risk</w:t>
      </w:r>
      <w:r>
        <w:t xml:space="preserve">s. </w:t>
      </w:r>
    </w:p>
    <w:p w14:paraId="3FF0BF53" w14:textId="272FAC61" w:rsidR="00B549D7" w:rsidRDefault="00B549D7" w:rsidP="009F0A62">
      <w:pPr>
        <w:spacing w:after="0"/>
      </w:pPr>
      <w:r>
        <w:t xml:space="preserve">Upon introduction, </w:t>
      </w:r>
      <w:r w:rsidRPr="00C2474D">
        <w:rPr>
          <w:i/>
          <w:iCs/>
        </w:rPr>
        <w:t>AIDA</w:t>
      </w:r>
      <w:r>
        <w:t xml:space="preserve"> </w:t>
      </w:r>
      <w:r w:rsidRPr="00765169">
        <w:t xml:space="preserve">was heavily criticized for </w:t>
      </w:r>
      <w:r>
        <w:t>its lack of detail, consultations and important trustworthy AI protections.</w:t>
      </w:r>
      <w:r w:rsidR="004457E1">
        <w:rPr>
          <w:rStyle w:val="EndnoteReference"/>
        </w:rPr>
        <w:endnoteReference w:id="36"/>
      </w:r>
      <w:r>
        <w:t xml:space="preserve"> </w:t>
      </w:r>
      <w:r w:rsidRPr="00765169">
        <w:t xml:space="preserve">The </w:t>
      </w:r>
      <w:r>
        <w:t xml:space="preserve">federal </w:t>
      </w:r>
      <w:r w:rsidRPr="00765169">
        <w:t>government responded</w:t>
      </w:r>
      <w:r>
        <w:t xml:space="preserve">, in part, </w:t>
      </w:r>
      <w:r w:rsidRPr="00765169">
        <w:t xml:space="preserve">by </w:t>
      </w:r>
      <w:r>
        <w:t xml:space="preserve">proposing several </w:t>
      </w:r>
      <w:r w:rsidRPr="00765169">
        <w:t>amendments</w:t>
      </w:r>
      <w:r>
        <w:t xml:space="preserve">, including a proposed list of </w:t>
      </w:r>
      <w:r w:rsidRPr="00176236">
        <w:t>“classes of systems that would be considered high impact”, including three relevant to criminal justice</w:t>
      </w:r>
      <w:r>
        <w:t xml:space="preserve"> (some biometric systems, AI systems used by courts, and AI systems “to assist a peace officer…”).</w:t>
      </w:r>
      <w:r>
        <w:rPr>
          <w:rStyle w:val="EndnoteReference"/>
        </w:rPr>
        <w:endnoteReference w:id="37"/>
      </w:r>
      <w:r w:rsidRPr="00765169">
        <w:t> </w:t>
      </w:r>
      <w:r>
        <w:t xml:space="preserve">The federal government’s proposed </w:t>
      </w:r>
      <w:r w:rsidRPr="00E45169">
        <w:t xml:space="preserve">amendments did not assuage </w:t>
      </w:r>
      <w:r w:rsidRPr="006C75B4">
        <w:rPr>
          <w:i/>
          <w:iCs/>
        </w:rPr>
        <w:t>AIDA</w:t>
      </w:r>
      <w:r w:rsidRPr="00E45169">
        <w:t>’s critics</w:t>
      </w:r>
      <w:r>
        <w:t>, who continued to criticize the legislation.</w:t>
      </w:r>
      <w:r>
        <w:rPr>
          <w:rStyle w:val="EndnoteReference"/>
        </w:rPr>
        <w:endnoteReference w:id="38"/>
      </w:r>
      <w:r>
        <w:t xml:space="preserve"> </w:t>
      </w:r>
    </w:p>
    <w:p w14:paraId="11E8AAE6" w14:textId="77777777" w:rsidR="00B549D7" w:rsidRDefault="00B549D7" w:rsidP="009F0A62">
      <w:pPr>
        <w:spacing w:after="0"/>
      </w:pPr>
    </w:p>
    <w:p w14:paraId="25F0E191" w14:textId="741B2DB5" w:rsidR="00B549D7" w:rsidRDefault="00B549D7" w:rsidP="009F0A62">
      <w:pPr>
        <w:spacing w:after="0"/>
      </w:pPr>
      <w:r w:rsidRPr="00921C68">
        <w:rPr>
          <w:i/>
          <w:iCs/>
        </w:rPr>
        <w:t>AIDA</w:t>
      </w:r>
      <w:r>
        <w:t xml:space="preserve"> was not passed by the federal government before Parliament was prorogued in January 2025.</w:t>
      </w:r>
      <w:r w:rsidR="00BE6D0C">
        <w:t xml:space="preserve"> </w:t>
      </w:r>
    </w:p>
    <w:p w14:paraId="5F77790B" w14:textId="77777777" w:rsidR="00ED2E3E" w:rsidRDefault="00ED2E3E" w:rsidP="009F0A62">
      <w:pPr>
        <w:spacing w:after="0"/>
      </w:pPr>
    </w:p>
    <w:p w14:paraId="04B4189F" w14:textId="77777777" w:rsidR="00ED2E3E" w:rsidRDefault="00ED2E3E" w:rsidP="009F0A62">
      <w:pPr>
        <w:spacing w:after="0"/>
      </w:pPr>
    </w:p>
    <w:p w14:paraId="74D3FE30" w14:textId="77777777" w:rsidR="00ED2E3E" w:rsidRDefault="00ED2E3E" w:rsidP="009F0A62">
      <w:pPr>
        <w:spacing w:after="0"/>
      </w:pPr>
    </w:p>
    <w:p w14:paraId="250A515E" w14:textId="77777777" w:rsidR="00B549D7" w:rsidRDefault="00B549D7" w:rsidP="009F0A62">
      <w:pPr>
        <w:spacing w:after="0"/>
      </w:pPr>
    </w:p>
    <w:p w14:paraId="17E046E3" w14:textId="77777777" w:rsidR="00B549D7" w:rsidRPr="006371BE" w:rsidRDefault="00B549D7" w:rsidP="00965500">
      <w:pPr>
        <w:pStyle w:val="ListParagraph"/>
        <w:numPr>
          <w:ilvl w:val="0"/>
          <w:numId w:val="24"/>
        </w:numPr>
        <w:rPr>
          <w:b/>
          <w:bCs/>
        </w:rPr>
      </w:pPr>
      <w:bookmarkStart w:id="43" w:name="_Toc188900919"/>
      <w:bookmarkStart w:id="44" w:name="_Toc188902185"/>
      <w:r w:rsidRPr="006371BE">
        <w:rPr>
          <w:b/>
          <w:bCs/>
        </w:rPr>
        <w:t>The Federal Automated Decision-making Directive</w:t>
      </w:r>
      <w:bookmarkEnd w:id="43"/>
      <w:bookmarkEnd w:id="44"/>
    </w:p>
    <w:p w14:paraId="784352C5" w14:textId="4DF9F7ED" w:rsidR="00B549D7" w:rsidRDefault="00B549D7" w:rsidP="009F0A62">
      <w:pPr>
        <w:spacing w:after="0"/>
        <w:rPr>
          <w:rFonts w:eastAsia="Calibri" w:cs="Calibri"/>
          <w:color w:val="000000"/>
          <w:u w:color="000000"/>
        </w:rPr>
      </w:pPr>
      <w:r>
        <w:rPr>
          <w:rFonts w:eastAsia="Calibri" w:cs="Calibri"/>
          <w:color w:val="000000"/>
          <w:u w:color="000000"/>
        </w:rPr>
        <w:t xml:space="preserve">In 2021, the federal government enacted the Automated Decision-making </w:t>
      </w:r>
      <w:r w:rsidRPr="007573A8">
        <w:rPr>
          <w:rFonts w:eastAsia="Calibri" w:cs="Calibri"/>
          <w:color w:val="000000"/>
          <w:u w:color="000000"/>
        </w:rPr>
        <w:t xml:space="preserve">Directive </w:t>
      </w:r>
      <w:r>
        <w:rPr>
          <w:rFonts w:eastAsia="Calibri" w:cs="Calibri"/>
          <w:color w:val="000000"/>
          <w:u w:color="000000"/>
        </w:rPr>
        <w:t xml:space="preserve">(federal ADM Directive) </w:t>
      </w:r>
      <w:r w:rsidRPr="007573A8">
        <w:rPr>
          <w:rFonts w:eastAsia="Calibri" w:cs="Calibri"/>
          <w:color w:val="000000"/>
          <w:u w:color="000000"/>
        </w:rPr>
        <w:t xml:space="preserve">and its companion Algorithmic Impact Assessment </w:t>
      </w:r>
      <w:r>
        <w:rPr>
          <w:rFonts w:eastAsia="Calibri" w:cs="Calibri"/>
          <w:color w:val="000000"/>
          <w:u w:color="000000"/>
        </w:rPr>
        <w:t>(AIA). The federal ADM Directive and AIA apply to a broad range of federal technology systems, not just AI systems.</w:t>
      </w:r>
      <w:r>
        <w:rPr>
          <w:rStyle w:val="EndnoteReference"/>
          <w:rFonts w:eastAsia="Calibri" w:cs="Calibri"/>
          <w:color w:val="000000"/>
          <w:u w:color="000000"/>
        </w:rPr>
        <w:endnoteReference w:id="39"/>
      </w:r>
    </w:p>
    <w:p w14:paraId="49CB48BA" w14:textId="77777777" w:rsidR="00B549D7" w:rsidRDefault="00B549D7" w:rsidP="009F0A62">
      <w:pPr>
        <w:spacing w:after="0"/>
        <w:rPr>
          <w:rFonts w:eastAsia="Calibri" w:cs="Calibri"/>
          <w:color w:val="000000"/>
          <w:u w:color="000000"/>
        </w:rPr>
      </w:pPr>
    </w:p>
    <w:p w14:paraId="16B1D679" w14:textId="586767FB" w:rsidR="00B549D7" w:rsidRDefault="00B549D7" w:rsidP="009F0A62">
      <w:pPr>
        <w:spacing w:after="0"/>
        <w:rPr>
          <w:rFonts w:eastAsia="Calibri" w:cs="Calibri"/>
          <w:color w:val="000000"/>
          <w:u w:color="000000"/>
        </w:rPr>
      </w:pPr>
      <w:r>
        <w:rPr>
          <w:rFonts w:eastAsia="Calibri" w:cs="Calibri"/>
          <w:color w:val="000000"/>
          <w:u w:color="000000"/>
        </w:rPr>
        <w:t>The LCO has written at length about federal ADM Directive and AIA.</w:t>
      </w:r>
      <w:r w:rsidRPr="007573A8">
        <w:rPr>
          <w:rFonts w:eastAsia="Calibri" w:cs="Calibri"/>
          <w:color w:val="000000"/>
          <w:u w:color="000000"/>
          <w:vertAlign w:val="superscript"/>
        </w:rPr>
        <w:endnoteReference w:id="40"/>
      </w:r>
      <w:r>
        <w:rPr>
          <w:rFonts w:eastAsia="Calibri" w:cs="Calibri"/>
          <w:color w:val="000000"/>
          <w:u w:color="000000"/>
        </w:rPr>
        <w:t xml:space="preserve"> We have praised both as </w:t>
      </w:r>
      <w:r w:rsidRPr="007573A8">
        <w:rPr>
          <w:rFonts w:eastAsia="Calibri" w:cs="Calibri"/>
          <w:color w:val="000000"/>
          <w:u w:color="000000"/>
        </w:rPr>
        <w:t>leading examples of tools and strategies that incorporate procedural fairness protections into the design and operation of automated government decision-making.</w:t>
      </w:r>
      <w:r w:rsidRPr="007573A8">
        <w:rPr>
          <w:rFonts w:eastAsia="Calibri" w:cs="Calibri"/>
          <w:color w:val="000000"/>
          <w:u w:color="000000"/>
          <w:vertAlign w:val="superscript"/>
        </w:rPr>
        <w:endnoteReference w:id="41"/>
      </w:r>
      <w:r>
        <w:rPr>
          <w:rFonts w:eastAsia="Calibri" w:cs="Calibri"/>
          <w:color w:val="000000"/>
          <w:u w:color="000000"/>
        </w:rPr>
        <w:t xml:space="preserve"> The Federal ADM Directive and AIA </w:t>
      </w:r>
      <w:r w:rsidRPr="002F79A6">
        <w:rPr>
          <w:rFonts w:eastAsia="Calibri" w:cs="Calibri"/>
          <w:color w:val="000000"/>
          <w:u w:color="000000"/>
        </w:rPr>
        <w:t>do not</w:t>
      </w:r>
      <w:r>
        <w:rPr>
          <w:rFonts w:eastAsia="Calibri" w:cs="Calibri"/>
          <w:color w:val="000000"/>
          <w:u w:color="000000"/>
        </w:rPr>
        <w:t xml:space="preserve"> apply to federal law enforcement agencies.</w:t>
      </w:r>
      <w:r>
        <w:rPr>
          <w:rStyle w:val="EndnoteReference"/>
          <w:rFonts w:eastAsia="Calibri" w:cs="Calibri"/>
          <w:color w:val="000000"/>
          <w:u w:color="000000"/>
        </w:rPr>
        <w:endnoteReference w:id="42"/>
      </w:r>
      <w:r>
        <w:rPr>
          <w:rFonts w:eastAsia="Calibri" w:cs="Calibri"/>
          <w:color w:val="000000"/>
          <w:u w:color="000000"/>
        </w:rPr>
        <w:t xml:space="preserve"> </w:t>
      </w:r>
    </w:p>
    <w:p w14:paraId="3F7D9DB3" w14:textId="77777777" w:rsidR="00B549D7" w:rsidRDefault="00B549D7" w:rsidP="009F0A62">
      <w:pPr>
        <w:spacing w:after="0"/>
        <w:rPr>
          <w:rFonts w:eastAsia="Calibri" w:cs="Calibri"/>
          <w:color w:val="000000"/>
          <w:u w:color="000000"/>
        </w:rPr>
      </w:pPr>
    </w:p>
    <w:p w14:paraId="5117A947" w14:textId="6BAF80B3" w:rsidR="00B549D7" w:rsidRDefault="00B549D7" w:rsidP="009F0A62">
      <w:pPr>
        <w:spacing w:after="0"/>
        <w:rPr>
          <w:rFonts w:eastAsia="Times New Roman" w:cstheme="minorHAnsi"/>
          <w:color w:val="1A1A1A"/>
        </w:rPr>
      </w:pPr>
      <w:r>
        <w:rPr>
          <w:rFonts w:eastAsia="Calibri" w:cs="Calibri"/>
          <w:color w:val="000000"/>
          <w:u w:color="000000"/>
        </w:rPr>
        <w:t>T</w:t>
      </w:r>
      <w:r w:rsidRPr="00FE067B">
        <w:rPr>
          <w:rFonts w:eastAsia="Calibri" w:cs="Calibri"/>
          <w:color w:val="000000"/>
          <w:u w:color="000000"/>
        </w:rPr>
        <w:t xml:space="preserve">he federal government is </w:t>
      </w:r>
      <w:r w:rsidRPr="00FE067B">
        <w:rPr>
          <w:rFonts w:eastAsia="Times New Roman" w:cstheme="minorHAnsi"/>
          <w:color w:val="1A1A1A"/>
        </w:rPr>
        <w:t>currently undertaking its fourth review of the federal ADM Directive and AIA.</w:t>
      </w:r>
      <w:r w:rsidRPr="00FE067B">
        <w:rPr>
          <w:rStyle w:val="EndnoteReference"/>
          <w:rFonts w:eastAsia="Times New Roman" w:cstheme="minorHAnsi"/>
          <w:color w:val="1A1A1A"/>
        </w:rPr>
        <w:endnoteReference w:id="43"/>
      </w:r>
      <w:r w:rsidRPr="00FE067B">
        <w:rPr>
          <w:rFonts w:eastAsia="Times New Roman" w:cstheme="minorHAnsi"/>
          <w:color w:val="1A1A1A"/>
        </w:rPr>
        <w:t xml:space="preserve"> This review </w:t>
      </w:r>
      <w:r>
        <w:rPr>
          <w:rFonts w:eastAsia="Times New Roman" w:cstheme="minorHAnsi"/>
          <w:color w:val="1A1A1A"/>
        </w:rPr>
        <w:t xml:space="preserve">could </w:t>
      </w:r>
      <w:r w:rsidRPr="00FE067B">
        <w:rPr>
          <w:rFonts w:eastAsia="Times New Roman" w:cstheme="minorHAnsi"/>
          <w:color w:val="1A1A1A"/>
        </w:rPr>
        <w:t>include</w:t>
      </w:r>
      <w:r>
        <w:rPr>
          <w:rFonts w:eastAsia="Times New Roman" w:cstheme="minorHAnsi"/>
          <w:color w:val="1A1A1A"/>
        </w:rPr>
        <w:t xml:space="preserve"> </w:t>
      </w:r>
      <w:r w:rsidRPr="00FE067B">
        <w:rPr>
          <w:rFonts w:eastAsia="Times New Roman" w:cstheme="minorHAnsi"/>
          <w:color w:val="1A1A1A"/>
        </w:rPr>
        <w:t xml:space="preserve">proposals to strengthen the </w:t>
      </w:r>
      <w:r>
        <w:rPr>
          <w:rFonts w:eastAsia="Times New Roman" w:cstheme="minorHAnsi"/>
          <w:color w:val="1A1A1A"/>
        </w:rPr>
        <w:t xml:space="preserve">federal ADM </w:t>
      </w:r>
      <w:r w:rsidRPr="00FE067B">
        <w:rPr>
          <w:rFonts w:eastAsia="Times New Roman" w:cstheme="minorHAnsi"/>
          <w:color w:val="1A1A1A"/>
        </w:rPr>
        <w:t xml:space="preserve">Directive’s human rights provisions and more explicit criteria addressing prohibited or banned federal AI systems. </w:t>
      </w:r>
      <w:r>
        <w:rPr>
          <w:rFonts w:eastAsia="Times New Roman" w:cstheme="minorHAnsi"/>
          <w:color w:val="1A1A1A"/>
        </w:rPr>
        <w:t xml:space="preserve">This revision will not apply the federal ADM Directive and AIA to </w:t>
      </w:r>
      <w:r w:rsidRPr="00FE067B">
        <w:rPr>
          <w:rFonts w:eastAsia="Times New Roman" w:cstheme="minorHAnsi"/>
          <w:color w:val="1A1A1A"/>
        </w:rPr>
        <w:t>federal law enforcement agencies.</w:t>
      </w:r>
      <w:r>
        <w:rPr>
          <w:rFonts w:eastAsia="Times New Roman" w:cstheme="minorHAnsi"/>
          <w:color w:val="1A1A1A"/>
        </w:rPr>
        <w:t xml:space="preserve"> </w:t>
      </w:r>
    </w:p>
    <w:p w14:paraId="13C5ED0D" w14:textId="77777777" w:rsidR="00B549D7" w:rsidRDefault="00B549D7" w:rsidP="009F0A62">
      <w:pPr>
        <w:spacing w:after="0"/>
      </w:pPr>
    </w:p>
    <w:p w14:paraId="2B23C08C" w14:textId="77777777" w:rsidR="00B549D7" w:rsidRPr="006371BE" w:rsidRDefault="00B549D7" w:rsidP="00965500">
      <w:pPr>
        <w:pStyle w:val="ListParagraph"/>
        <w:numPr>
          <w:ilvl w:val="0"/>
          <w:numId w:val="24"/>
        </w:numPr>
        <w:rPr>
          <w:b/>
          <w:bCs/>
        </w:rPr>
      </w:pPr>
      <w:bookmarkStart w:id="45" w:name="_Toc188900920"/>
      <w:bookmarkStart w:id="46" w:name="_Toc188902186"/>
      <w:r w:rsidRPr="006371BE">
        <w:rPr>
          <w:b/>
          <w:bCs/>
        </w:rPr>
        <w:t>RCMP</w:t>
      </w:r>
      <w:bookmarkEnd w:id="45"/>
      <w:bookmarkEnd w:id="46"/>
    </w:p>
    <w:p w14:paraId="000EC4F4" w14:textId="7592E3DF" w:rsidR="00B549D7" w:rsidRDefault="00B549D7" w:rsidP="009F0A62">
      <w:pPr>
        <w:spacing w:after="0"/>
      </w:pPr>
      <w:r w:rsidRPr="00087E7A">
        <w:t>In response the O</w:t>
      </w:r>
      <w:r>
        <w:t xml:space="preserve">ffice of the </w:t>
      </w:r>
      <w:r w:rsidRPr="00087E7A">
        <w:t>P</w:t>
      </w:r>
      <w:r>
        <w:t xml:space="preserve">rivacy </w:t>
      </w:r>
      <w:r w:rsidRPr="00087E7A">
        <w:t>C</w:t>
      </w:r>
      <w:r>
        <w:t>ommissioner</w:t>
      </w:r>
      <w:r w:rsidRPr="00087E7A">
        <w:t>’s special report</w:t>
      </w:r>
      <w:r>
        <w:t xml:space="preserve"> on the RCMP’s use of Clearview AI</w:t>
      </w:r>
      <w:r w:rsidRPr="00087E7A">
        <w:t>, the RCMP created the National Technologies Onboarding Program (NTOP)</w:t>
      </w:r>
      <w:r>
        <w:t>.</w:t>
      </w:r>
      <w:r>
        <w:rPr>
          <w:rStyle w:val="EndnoteReference"/>
        </w:rPr>
        <w:endnoteReference w:id="44"/>
      </w:r>
      <w:r>
        <w:t xml:space="preserve"> NTOP is an internal program to evaluate RCMP technology systems. The RCMP says AI </w:t>
      </w:r>
      <w:r w:rsidRPr="00087E7A">
        <w:t xml:space="preserve">and privacy intrusive technologies are </w:t>
      </w:r>
      <w:r>
        <w:t xml:space="preserve">NTOP’s </w:t>
      </w:r>
      <w:r w:rsidRPr="00087E7A">
        <w:t>highest priorities.</w:t>
      </w:r>
      <w:r w:rsidRPr="00087E7A">
        <w:rPr>
          <w:vertAlign w:val="superscript"/>
        </w:rPr>
        <w:endnoteReference w:id="45"/>
      </w:r>
      <w:r w:rsidRPr="00087E7A">
        <w:t xml:space="preserve"> </w:t>
      </w:r>
    </w:p>
    <w:p w14:paraId="51A6733F" w14:textId="77777777" w:rsidR="00B549D7" w:rsidRDefault="00B549D7" w:rsidP="009F0A62">
      <w:pPr>
        <w:spacing w:after="0"/>
      </w:pPr>
    </w:p>
    <w:p w14:paraId="0E8D740E" w14:textId="319CEBB2" w:rsidR="00B549D7" w:rsidRDefault="00B549D7" w:rsidP="000607D4">
      <w:pPr>
        <w:spacing w:after="0"/>
      </w:pPr>
      <w:r w:rsidRPr="00087E7A">
        <w:t xml:space="preserve">The NTOP’s first transparency report, </w:t>
      </w:r>
      <w:r w:rsidRPr="00087E7A">
        <w:rPr>
          <w:i/>
          <w:iCs/>
        </w:rPr>
        <w:t>Transparency Blueprint: Snapshot of Operational Technologies</w:t>
      </w:r>
      <w:r w:rsidR="00047DC2" w:rsidRPr="00047DC2">
        <w:t>,</w:t>
      </w:r>
      <w:r w:rsidR="00047DC2">
        <w:rPr>
          <w:i/>
          <w:iCs/>
        </w:rPr>
        <w:t xml:space="preserve"> </w:t>
      </w:r>
      <w:r w:rsidRPr="00087E7A">
        <w:t xml:space="preserve">was released in </w:t>
      </w:r>
      <w:r>
        <w:t xml:space="preserve">September </w:t>
      </w:r>
      <w:r w:rsidRPr="00087E7A">
        <w:t>2024.</w:t>
      </w:r>
      <w:r w:rsidRPr="002F5CDF">
        <w:rPr>
          <w:rStyle w:val="EndnoteReference"/>
          <w:rFonts w:cstheme="minorHAnsi"/>
          <w:bCs/>
        </w:rPr>
        <w:endnoteReference w:id="46"/>
      </w:r>
      <w:r w:rsidRPr="002F5CDF">
        <w:rPr>
          <w:sz w:val="21"/>
          <w:szCs w:val="21"/>
        </w:rPr>
        <w:t xml:space="preserve"> </w:t>
      </w:r>
      <w:r w:rsidRPr="00087E7A">
        <w:t xml:space="preserve">The </w:t>
      </w:r>
      <w:r w:rsidRPr="00083979">
        <w:rPr>
          <w:i/>
          <w:iCs/>
        </w:rPr>
        <w:t>Transparency Blueprint</w:t>
      </w:r>
      <w:r>
        <w:t xml:space="preserve"> </w:t>
      </w:r>
      <w:r w:rsidRPr="00087E7A">
        <w:t xml:space="preserve">outlines how the </w:t>
      </w:r>
      <w:r>
        <w:t xml:space="preserve">RCMP </w:t>
      </w:r>
      <w:r w:rsidRPr="00087E7A">
        <w:t>is implementing a more proactive approach to technology assessment and transparency</w:t>
      </w:r>
      <w:r>
        <w:t>, including AI systems</w:t>
      </w:r>
      <w:r w:rsidRPr="00087E7A">
        <w:t>.</w:t>
      </w:r>
      <w:r>
        <w:t xml:space="preserve"> </w:t>
      </w:r>
      <w:r w:rsidRPr="00C511FE">
        <w:t>The RCMP state</w:t>
      </w:r>
      <w:r>
        <w:t>s</w:t>
      </w:r>
      <w:r w:rsidRPr="00C511FE">
        <w:t xml:space="preserve"> NTOP ha</w:t>
      </w:r>
      <w:r>
        <w:t xml:space="preserve">d </w:t>
      </w:r>
      <w:r w:rsidRPr="00C511FE">
        <w:t>evaluated 28 technologies as of September 2024.</w:t>
      </w:r>
      <w:r w:rsidRPr="00C511FE">
        <w:rPr>
          <w:rStyle w:val="EndnoteReference"/>
        </w:rPr>
        <w:endnoteReference w:id="47"/>
      </w:r>
      <w:r w:rsidRPr="00C511FE">
        <w:t xml:space="preserve"> </w:t>
      </w:r>
      <w:bookmarkStart w:id="47" w:name="_Toc188900921"/>
      <w:bookmarkStart w:id="48" w:name="_Toc188902187"/>
    </w:p>
    <w:p w14:paraId="084823F5" w14:textId="77777777" w:rsidR="00B549D7" w:rsidRDefault="00B549D7" w:rsidP="000607D4">
      <w:pPr>
        <w:spacing w:after="0"/>
      </w:pPr>
    </w:p>
    <w:p w14:paraId="6D5D38C3" w14:textId="63A9E878" w:rsidR="00B549D7" w:rsidRPr="006371BE" w:rsidRDefault="00B549D7" w:rsidP="00965500">
      <w:pPr>
        <w:pStyle w:val="ListParagraph"/>
        <w:numPr>
          <w:ilvl w:val="0"/>
          <w:numId w:val="24"/>
        </w:numPr>
        <w:spacing w:after="0"/>
        <w:rPr>
          <w:b/>
          <w:bCs/>
        </w:rPr>
      </w:pPr>
      <w:r w:rsidRPr="006371BE">
        <w:rPr>
          <w:b/>
          <w:bCs/>
        </w:rPr>
        <w:t>Assessing Federal Initiatives to Promote Trustworthy Criminal AI</w:t>
      </w:r>
      <w:bookmarkEnd w:id="47"/>
      <w:bookmarkEnd w:id="48"/>
    </w:p>
    <w:p w14:paraId="2EED9884" w14:textId="77777777" w:rsidR="00B549D7" w:rsidRDefault="00B549D7" w:rsidP="000607D4">
      <w:pPr>
        <w:spacing w:after="0"/>
      </w:pPr>
    </w:p>
    <w:p w14:paraId="786F8B02" w14:textId="6C0AE4C0" w:rsidR="00B549D7" w:rsidRDefault="00B549D7" w:rsidP="00083979">
      <w:pPr>
        <w:spacing w:after="0"/>
      </w:pPr>
      <w:r>
        <w:t xml:space="preserve">Had it </w:t>
      </w:r>
      <w:r w:rsidRPr="00C511FE">
        <w:t xml:space="preserve">passed, a revised </w:t>
      </w:r>
      <w:r w:rsidRPr="00C511FE">
        <w:rPr>
          <w:i/>
          <w:iCs/>
        </w:rPr>
        <w:t xml:space="preserve">AIDA </w:t>
      </w:r>
      <w:r w:rsidRPr="00C511FE">
        <w:t xml:space="preserve">would </w:t>
      </w:r>
      <w:r>
        <w:t xml:space="preserve">have </w:t>
      </w:r>
      <w:r w:rsidRPr="00C511FE">
        <w:t>include</w:t>
      </w:r>
      <w:r>
        <w:t>d limited</w:t>
      </w:r>
      <w:r w:rsidRPr="00C511FE">
        <w:t xml:space="preserve"> provisions to promote trustworthy AI in Canada. The addition of pr</w:t>
      </w:r>
      <w:r>
        <w:t>e</w:t>
      </w:r>
      <w:r w:rsidRPr="00C511FE">
        <w:t>scribed “</w:t>
      </w:r>
      <w:r w:rsidR="00671283" w:rsidRPr="00C511FE">
        <w:t>high impact</w:t>
      </w:r>
      <w:r w:rsidRPr="00C511FE">
        <w:t xml:space="preserve">” AI systems in biometrics, courts and policing </w:t>
      </w:r>
      <w:r>
        <w:t xml:space="preserve">would have been </w:t>
      </w:r>
      <w:r w:rsidRPr="00C511FE">
        <w:t xml:space="preserve">helpful additions to the legislation. Other positive aspects of </w:t>
      </w:r>
      <w:r w:rsidRPr="00C511FE">
        <w:rPr>
          <w:i/>
          <w:iCs/>
        </w:rPr>
        <w:t>AIDA</w:t>
      </w:r>
      <w:r w:rsidRPr="00C511FE">
        <w:t xml:space="preserve"> include</w:t>
      </w:r>
      <w:r>
        <w:t>d</w:t>
      </w:r>
      <w:r w:rsidRPr="00C511FE">
        <w:t xml:space="preserve"> publication and plain language notice requirements, mandatory bias and mitigation requirements, and notable penalties for non-compliance. </w:t>
      </w:r>
      <w:r>
        <w:t xml:space="preserve">Nevertheless, an amended </w:t>
      </w:r>
      <w:r w:rsidRPr="00C511FE">
        <w:rPr>
          <w:i/>
          <w:iCs/>
        </w:rPr>
        <w:t>AIDA</w:t>
      </w:r>
      <w:r w:rsidRPr="00C511FE">
        <w:t xml:space="preserve"> would </w:t>
      </w:r>
      <w:r>
        <w:t xml:space="preserve">still </w:t>
      </w:r>
      <w:r w:rsidRPr="00C511FE">
        <w:t xml:space="preserve">not </w:t>
      </w:r>
      <w:r>
        <w:t xml:space="preserve">have </w:t>
      </w:r>
      <w:r w:rsidRPr="00C511FE">
        <w:t>establish</w:t>
      </w:r>
      <w:r>
        <w:t>ed</w:t>
      </w:r>
      <w:r w:rsidRPr="00C511FE">
        <w:t xml:space="preserve"> trustworthy criminal AI in federal law enforcement or the criminal justice system. </w:t>
      </w:r>
    </w:p>
    <w:p w14:paraId="22D2E276" w14:textId="77777777" w:rsidR="00B549D7" w:rsidRDefault="00B549D7" w:rsidP="00083979">
      <w:pPr>
        <w:spacing w:after="0"/>
      </w:pPr>
    </w:p>
    <w:p w14:paraId="026D65B3" w14:textId="2959FCAE" w:rsidR="00B549D7" w:rsidRDefault="00B549D7" w:rsidP="00083979">
      <w:pPr>
        <w:spacing w:after="0"/>
        <w:rPr>
          <w:rFonts w:eastAsia="Times New Roman" w:cstheme="minorHAnsi"/>
          <w:color w:val="1A1A1A"/>
        </w:rPr>
      </w:pPr>
      <w:r w:rsidRPr="00C511FE">
        <w:t xml:space="preserve">The </w:t>
      </w:r>
      <w:r>
        <w:t>f</w:t>
      </w:r>
      <w:r w:rsidRPr="00C511FE">
        <w:t xml:space="preserve">ederal </w:t>
      </w:r>
      <w:r>
        <w:t xml:space="preserve">ADM </w:t>
      </w:r>
      <w:r w:rsidRPr="00C511FE">
        <w:t>Directive and AIA remain</w:t>
      </w:r>
      <w:r>
        <w:t xml:space="preserve"> </w:t>
      </w:r>
      <w:r w:rsidRPr="00C511FE">
        <w:t xml:space="preserve">leading examples of how to ensure procedure fairness in public sector AI systems. The current review of the </w:t>
      </w:r>
      <w:r>
        <w:t xml:space="preserve">federal ADM </w:t>
      </w:r>
      <w:r w:rsidRPr="00C511FE">
        <w:t xml:space="preserve">Directive and AIA could make these instruments even stronger. </w:t>
      </w:r>
      <w:r w:rsidRPr="00FE067B">
        <w:rPr>
          <w:rFonts w:eastAsia="Times New Roman" w:cstheme="minorHAnsi"/>
          <w:color w:val="1A1A1A"/>
        </w:rPr>
        <w:t xml:space="preserve">These proposals, while welcome, </w:t>
      </w:r>
      <w:r>
        <w:rPr>
          <w:rFonts w:eastAsia="Times New Roman" w:cstheme="minorHAnsi"/>
          <w:color w:val="1A1A1A"/>
        </w:rPr>
        <w:t xml:space="preserve">would still </w:t>
      </w:r>
      <w:r w:rsidRPr="00FE067B">
        <w:rPr>
          <w:rFonts w:eastAsia="Times New Roman" w:cstheme="minorHAnsi"/>
          <w:color w:val="1A1A1A"/>
        </w:rPr>
        <w:t xml:space="preserve">not </w:t>
      </w:r>
      <w:r>
        <w:rPr>
          <w:rFonts w:eastAsia="Times New Roman" w:cstheme="minorHAnsi"/>
          <w:color w:val="1A1A1A"/>
        </w:rPr>
        <w:t xml:space="preserve">apply </w:t>
      </w:r>
      <w:r w:rsidRPr="00FE067B">
        <w:rPr>
          <w:rFonts w:eastAsia="Times New Roman" w:cstheme="minorHAnsi"/>
          <w:color w:val="1A1A1A"/>
        </w:rPr>
        <w:t xml:space="preserve">the </w:t>
      </w:r>
      <w:r>
        <w:rPr>
          <w:rFonts w:eastAsia="Times New Roman" w:cstheme="minorHAnsi"/>
          <w:color w:val="1A1A1A"/>
        </w:rPr>
        <w:t>f</w:t>
      </w:r>
      <w:r w:rsidRPr="00FE067B">
        <w:rPr>
          <w:rFonts w:eastAsia="Times New Roman" w:cstheme="minorHAnsi"/>
          <w:color w:val="1A1A1A"/>
        </w:rPr>
        <w:t xml:space="preserve">ederal </w:t>
      </w:r>
      <w:r>
        <w:rPr>
          <w:rFonts w:eastAsia="Times New Roman" w:cstheme="minorHAnsi"/>
          <w:color w:val="1A1A1A"/>
        </w:rPr>
        <w:t xml:space="preserve">ADM </w:t>
      </w:r>
      <w:r w:rsidRPr="00FE067B">
        <w:rPr>
          <w:rFonts w:eastAsia="Times New Roman" w:cstheme="minorHAnsi"/>
          <w:color w:val="1A1A1A"/>
        </w:rPr>
        <w:t>Directive and AIA to federal law enforcement agencies.</w:t>
      </w:r>
    </w:p>
    <w:p w14:paraId="0BD372B4" w14:textId="77777777" w:rsidR="00B549D7" w:rsidRPr="00C511FE" w:rsidRDefault="00B549D7" w:rsidP="00083979">
      <w:pPr>
        <w:spacing w:after="0"/>
      </w:pPr>
    </w:p>
    <w:p w14:paraId="0F469513" w14:textId="392D8957" w:rsidR="00B549D7" w:rsidRPr="00C511FE" w:rsidRDefault="00B549D7" w:rsidP="009F0A62">
      <w:pPr>
        <w:spacing w:after="0"/>
      </w:pPr>
      <w:r>
        <w:lastRenderedPageBreak/>
        <w:t xml:space="preserve">The federal government’s inaction in this area is disappointing. It has been </w:t>
      </w:r>
      <w:r w:rsidRPr="00C511FE">
        <w:t xml:space="preserve">approximately five years since the enactment of the first </w:t>
      </w:r>
      <w:r>
        <w:t>f</w:t>
      </w:r>
      <w:r w:rsidRPr="00C511FE">
        <w:t xml:space="preserve">ederal ADM Directive, yet there is still no dedicated federal legislation, </w:t>
      </w:r>
      <w:r>
        <w:t>d</w:t>
      </w:r>
      <w:r w:rsidRPr="00C511FE">
        <w:t xml:space="preserve">irective, or policy establishing trustworthy criminal AI </w:t>
      </w:r>
      <w:r>
        <w:t xml:space="preserve">for federal criminal justice institutions or actors, include federal law enforcement agencies. </w:t>
      </w:r>
      <w:r w:rsidRPr="00C511FE">
        <w:t>The lack of federal action contrasts unfavourabl</w:t>
      </w:r>
      <w:r>
        <w:t xml:space="preserve">y </w:t>
      </w:r>
      <w:r w:rsidRPr="00C511FE">
        <w:t>with the EU and US, both of which have taken important steps to address the unique and serious risks of criminal AI.</w:t>
      </w:r>
      <w:r w:rsidR="00BE6D0C">
        <w:t xml:space="preserve"> </w:t>
      </w:r>
    </w:p>
    <w:p w14:paraId="21D1A2F7" w14:textId="77777777" w:rsidR="00B549D7" w:rsidRDefault="00B549D7" w:rsidP="009F0A62">
      <w:pPr>
        <w:spacing w:after="0"/>
      </w:pPr>
    </w:p>
    <w:p w14:paraId="627D95EF" w14:textId="1653D9D1" w:rsidR="000E025D" w:rsidRDefault="00B549D7" w:rsidP="00C716B8">
      <w:pPr>
        <w:spacing w:after="0"/>
      </w:pPr>
      <w:r>
        <w:t xml:space="preserve">The RCMP’s NTOP program and recent </w:t>
      </w:r>
      <w:r w:rsidRPr="00CE1FC6">
        <w:rPr>
          <w:i/>
          <w:iCs/>
        </w:rPr>
        <w:t>Transparency Blueprint</w:t>
      </w:r>
      <w:r>
        <w:t xml:space="preserve"> are sophisticated initiatives that incorporate many of the trustworthy criminal AI principles. However, neither NTOP nor the </w:t>
      </w:r>
      <w:r w:rsidRPr="00CE1FC6">
        <w:rPr>
          <w:i/>
          <w:iCs/>
        </w:rPr>
        <w:t>Transparency Blueprint</w:t>
      </w:r>
      <w:r>
        <w:t xml:space="preserve"> appear to include detailed information on prohibited uses, risk categories or mitigation requirements. The LCO hopes these issues will be addressed in future RCMP policies. </w:t>
      </w:r>
      <w:bookmarkStart w:id="49" w:name="_Toc188902188"/>
      <w:bookmarkStart w:id="50" w:name="_Toc188900922"/>
    </w:p>
    <w:p w14:paraId="5891F6B6" w14:textId="77777777" w:rsidR="00C716B8" w:rsidRPr="00C716B8" w:rsidRDefault="00C716B8" w:rsidP="00C716B8">
      <w:pPr>
        <w:spacing w:after="0"/>
      </w:pPr>
    </w:p>
    <w:p w14:paraId="74900899" w14:textId="76EC4E1D" w:rsidR="00B549D7" w:rsidRPr="00F64420" w:rsidRDefault="00B549D7" w:rsidP="00F64420">
      <w:pPr>
        <w:pStyle w:val="Heading2"/>
        <w:rPr>
          <w:b w:val="0"/>
          <w:bCs/>
        </w:rPr>
      </w:pPr>
      <w:bookmarkStart w:id="51" w:name="_Toc194406407"/>
      <w:bookmarkStart w:id="52" w:name="_Toc195604718"/>
      <w:r w:rsidRPr="00F64420">
        <w:rPr>
          <w:b w:val="0"/>
          <w:bCs/>
        </w:rPr>
        <w:t xml:space="preserve">AI Legislation, Government Directives, and Policies </w:t>
      </w:r>
      <w:bookmarkEnd w:id="49"/>
      <w:r w:rsidRPr="00F64420">
        <w:rPr>
          <w:b w:val="0"/>
          <w:bCs/>
        </w:rPr>
        <w:t>in Ontario</w:t>
      </w:r>
      <w:bookmarkEnd w:id="51"/>
      <w:bookmarkEnd w:id="52"/>
    </w:p>
    <w:p w14:paraId="54A6D82E" w14:textId="77777777" w:rsidR="00B549D7" w:rsidRDefault="00B549D7" w:rsidP="00755977">
      <w:pPr>
        <w:pStyle w:val="Heading3"/>
        <w:spacing w:before="0"/>
      </w:pPr>
    </w:p>
    <w:p w14:paraId="3102EFA8" w14:textId="06D1ACE0" w:rsidR="00B549D7" w:rsidRDefault="00B549D7" w:rsidP="00755977">
      <w:pPr>
        <w:spacing w:after="0"/>
      </w:pPr>
      <w:r w:rsidRPr="00A552A8">
        <w:t>Th</w:t>
      </w:r>
      <w:r>
        <w:t>e</w:t>
      </w:r>
      <w:r w:rsidRPr="00A552A8">
        <w:t xml:space="preserve">re are </w:t>
      </w:r>
      <w:r>
        <w:t xml:space="preserve">three initiatives in Ontario relevant to criminal AI systems. </w:t>
      </w:r>
    </w:p>
    <w:p w14:paraId="63AE4E69" w14:textId="77777777" w:rsidR="00B549D7" w:rsidRPr="00755977" w:rsidRDefault="00B549D7" w:rsidP="00755977">
      <w:pPr>
        <w:spacing w:after="0"/>
      </w:pPr>
    </w:p>
    <w:bookmarkEnd w:id="50"/>
    <w:p w14:paraId="1FC04DA1" w14:textId="5459DC0D" w:rsidR="00B549D7" w:rsidRPr="00564F98" w:rsidRDefault="00564F98" w:rsidP="00965500">
      <w:pPr>
        <w:pStyle w:val="ListParagraph"/>
        <w:numPr>
          <w:ilvl w:val="0"/>
          <w:numId w:val="25"/>
        </w:numPr>
        <w:spacing w:after="0"/>
        <w:rPr>
          <w:b/>
        </w:rPr>
      </w:pPr>
      <w:r w:rsidRPr="00564F98">
        <w:rPr>
          <w:b/>
          <w:i/>
          <w:iCs/>
        </w:rPr>
        <w:t>Enhancing Digital Security and Trust Act, 2024</w:t>
      </w:r>
    </w:p>
    <w:p w14:paraId="2F6EE910" w14:textId="77777777" w:rsidR="00B549D7" w:rsidRDefault="00B549D7" w:rsidP="000607D4">
      <w:pPr>
        <w:spacing w:after="0"/>
      </w:pPr>
    </w:p>
    <w:p w14:paraId="4CEFE0E8" w14:textId="062E02CE" w:rsidR="00B549D7" w:rsidRDefault="00B549D7" w:rsidP="009F0A62">
      <w:pPr>
        <w:spacing w:after="0"/>
        <w:rPr>
          <w:bCs/>
        </w:rPr>
      </w:pPr>
      <w:r>
        <w:t xml:space="preserve">The Government of Ontario passed </w:t>
      </w:r>
      <w:r>
        <w:rPr>
          <w:bCs/>
        </w:rPr>
        <w:t xml:space="preserve">the </w:t>
      </w:r>
      <w:r>
        <w:rPr>
          <w:bCs/>
          <w:i/>
          <w:iCs/>
        </w:rPr>
        <w:t xml:space="preserve">Enhancing Digital Security and Trust Act, 2024 (EDSTA) </w:t>
      </w:r>
      <w:r>
        <w:rPr>
          <w:bCs/>
        </w:rPr>
        <w:t>in November 2024.</w:t>
      </w:r>
      <w:r>
        <w:rPr>
          <w:rStyle w:val="EndnoteReference"/>
          <w:bCs/>
        </w:rPr>
        <w:endnoteReference w:id="48"/>
      </w:r>
      <w:r>
        <w:rPr>
          <w:bCs/>
        </w:rPr>
        <w:t xml:space="preserve"> The purpose of </w:t>
      </w:r>
      <w:r w:rsidRPr="002F5CDF">
        <w:rPr>
          <w:bCs/>
          <w:i/>
          <w:iCs/>
        </w:rPr>
        <w:t>EDSTA</w:t>
      </w:r>
      <w:r>
        <w:rPr>
          <w:bCs/>
        </w:rPr>
        <w:t xml:space="preserve"> is to “…[s]</w:t>
      </w:r>
      <w:r w:rsidRPr="007832AE">
        <w:rPr>
          <w:bCs/>
        </w:rPr>
        <w:t>et a definition of artificial intelligence (AI) to create consistency across the public sector and establish protections to ensure responsible use of AI systems.</w:t>
      </w:r>
      <w:r>
        <w:rPr>
          <w:bCs/>
        </w:rPr>
        <w:t>”</w:t>
      </w:r>
      <w:r>
        <w:rPr>
          <w:rStyle w:val="EndnoteReference"/>
          <w:bCs/>
        </w:rPr>
        <w:endnoteReference w:id="49"/>
      </w:r>
      <w:r w:rsidR="00BE6D0C">
        <w:rPr>
          <w:bCs/>
        </w:rPr>
        <w:t xml:space="preserve"> </w:t>
      </w:r>
    </w:p>
    <w:p w14:paraId="2993F2CF" w14:textId="77777777" w:rsidR="00B549D7" w:rsidRDefault="00B549D7" w:rsidP="009F0A62">
      <w:pPr>
        <w:spacing w:after="0"/>
        <w:rPr>
          <w:bCs/>
        </w:rPr>
      </w:pPr>
    </w:p>
    <w:p w14:paraId="3A231B97" w14:textId="695F96BB" w:rsidR="00B549D7" w:rsidRPr="002F5CDF" w:rsidRDefault="00B549D7" w:rsidP="000607D4">
      <w:pPr>
        <w:pStyle w:val="Body"/>
        <w:spacing w:after="0"/>
        <w:rPr>
          <w:i/>
          <w:iCs/>
        </w:rPr>
      </w:pPr>
      <w:r>
        <w:t xml:space="preserve">The LCO has written at length about </w:t>
      </w:r>
      <w:r>
        <w:rPr>
          <w:i/>
          <w:iCs/>
        </w:rPr>
        <w:t xml:space="preserve">EDSTA </w:t>
      </w:r>
      <w:r>
        <w:t>and Bill 194, the Bill that introduced the legislation.</w:t>
      </w:r>
      <w:r>
        <w:rPr>
          <w:rStyle w:val="EndnoteReference"/>
        </w:rPr>
        <w:endnoteReference w:id="50"/>
      </w:r>
      <w:r>
        <w:t xml:space="preserve"> W</w:t>
      </w:r>
      <w:r w:rsidRPr="00CB1F2E">
        <w:t>e have concluded the legislation fails to establish a comprehensive trustworthy AI f</w:t>
      </w:r>
      <w:r>
        <w:t>or public sector AI systems in Ontario due to its lack of protections for human rights, disclosure requirements, risk categories, and other provisions.</w:t>
      </w:r>
      <w:r>
        <w:rPr>
          <w:i/>
          <w:iCs/>
        </w:rPr>
        <w:t xml:space="preserve"> EDSTA</w:t>
      </w:r>
      <w:r w:rsidDel="007E16EE">
        <w:rPr>
          <w:rFonts w:eastAsia="Times New Roman" w:cstheme="minorHAnsi"/>
          <w:color w:val="1A1A1A"/>
        </w:rPr>
        <w:t xml:space="preserve"> </w:t>
      </w:r>
      <w:r>
        <w:rPr>
          <w:rFonts w:eastAsia="Times New Roman" w:cstheme="minorHAnsi"/>
          <w:color w:val="1A1A1A"/>
        </w:rPr>
        <w:t xml:space="preserve">does not apply to AI used </w:t>
      </w:r>
      <w:r w:rsidRPr="00484270">
        <w:rPr>
          <w:rFonts w:eastAsia="Times New Roman" w:cstheme="minorHAnsi"/>
          <w:color w:val="1A1A1A"/>
        </w:rPr>
        <w:t xml:space="preserve">in </w:t>
      </w:r>
      <w:r>
        <w:rPr>
          <w:rFonts w:eastAsia="Times New Roman" w:cstheme="minorHAnsi"/>
          <w:color w:val="1A1A1A"/>
        </w:rPr>
        <w:t xml:space="preserve">Ontario’s </w:t>
      </w:r>
      <w:r w:rsidRPr="00484270">
        <w:rPr>
          <w:rFonts w:eastAsia="Times New Roman" w:cstheme="minorHAnsi"/>
          <w:color w:val="1A1A1A"/>
        </w:rPr>
        <w:t>criminal justice system.</w:t>
      </w:r>
      <w:r>
        <w:rPr>
          <w:rStyle w:val="EndnoteReference"/>
          <w:rFonts w:eastAsia="Times New Roman" w:cstheme="minorHAnsi"/>
          <w:color w:val="1A1A1A"/>
        </w:rPr>
        <w:endnoteReference w:id="51"/>
      </w:r>
      <w:r w:rsidRPr="00484270">
        <w:rPr>
          <w:rFonts w:eastAsia="Times New Roman" w:cstheme="minorHAnsi"/>
          <w:color w:val="1A1A1A"/>
        </w:rPr>
        <w:t xml:space="preserve"> </w:t>
      </w:r>
    </w:p>
    <w:p w14:paraId="6FE63649" w14:textId="77777777" w:rsidR="00B549D7" w:rsidRDefault="00B549D7" w:rsidP="009F0A62">
      <w:pPr>
        <w:spacing w:after="0"/>
        <w:rPr>
          <w:rFonts w:eastAsia="Times New Roman" w:cstheme="minorHAnsi"/>
          <w:color w:val="1A1A1A"/>
        </w:rPr>
      </w:pPr>
    </w:p>
    <w:p w14:paraId="42FC1C7B" w14:textId="5CDD75F2" w:rsidR="00B549D7" w:rsidRPr="00595B4A" w:rsidRDefault="00B549D7" w:rsidP="00965500">
      <w:pPr>
        <w:pStyle w:val="ListParagraph"/>
        <w:numPr>
          <w:ilvl w:val="0"/>
          <w:numId w:val="25"/>
        </w:numPr>
        <w:spacing w:after="0"/>
        <w:rPr>
          <w:rFonts w:eastAsia="Times New Roman" w:cstheme="minorHAnsi"/>
          <w:b/>
          <w:bCs/>
          <w:color w:val="1A1A1A"/>
        </w:rPr>
      </w:pPr>
      <w:r w:rsidRPr="00595B4A">
        <w:rPr>
          <w:b/>
          <w:bCs/>
        </w:rPr>
        <w:t>Ontario’s Responsible Use of AI Directive</w:t>
      </w:r>
    </w:p>
    <w:p w14:paraId="247D97B8" w14:textId="77777777" w:rsidR="00B549D7" w:rsidRDefault="00B549D7" w:rsidP="00595B4A">
      <w:pPr>
        <w:spacing w:after="0"/>
      </w:pPr>
    </w:p>
    <w:p w14:paraId="092C90E3" w14:textId="2CDB1950" w:rsidR="00B549D7" w:rsidRDefault="00B549D7" w:rsidP="000607D4">
      <w:pPr>
        <w:spacing w:after="0"/>
      </w:pPr>
      <w:r w:rsidRPr="009E266F">
        <w:t xml:space="preserve">The provincial government followed </w:t>
      </w:r>
      <w:r>
        <w:rPr>
          <w:i/>
          <w:iCs/>
        </w:rPr>
        <w:t>EDSTA</w:t>
      </w:r>
      <w:r w:rsidRPr="009E266F">
        <w:t xml:space="preserve"> with its “Responsible Use of Artificial Intelligence Directive” (“the Ontario AI Directive”)</w:t>
      </w:r>
      <w:r w:rsidR="00E00910">
        <w:t xml:space="preserve"> in </w:t>
      </w:r>
      <w:r w:rsidRPr="009E266F">
        <w:t>December 2024.</w:t>
      </w:r>
      <w:r w:rsidRPr="009E266F">
        <w:rPr>
          <w:rStyle w:val="EndnoteReference"/>
        </w:rPr>
        <w:endnoteReference w:id="52"/>
      </w:r>
      <w:r w:rsidRPr="009E266F">
        <w:t xml:space="preserve"> The Ontario AI Directive is more comprehensive than </w:t>
      </w:r>
      <w:r>
        <w:rPr>
          <w:i/>
          <w:iCs/>
        </w:rPr>
        <w:t>EDSTA</w:t>
      </w:r>
      <w:r w:rsidRPr="009E266F">
        <w:t xml:space="preserve"> and addresses several of the LCO’s ongoing concerns about provincial AI policy.</w:t>
      </w:r>
      <w:r>
        <w:t xml:space="preserve"> </w:t>
      </w:r>
    </w:p>
    <w:p w14:paraId="744A3E19" w14:textId="77777777" w:rsidR="00B549D7" w:rsidRDefault="00B549D7" w:rsidP="000607D4">
      <w:pPr>
        <w:spacing w:after="0"/>
      </w:pPr>
    </w:p>
    <w:p w14:paraId="1A9DB207" w14:textId="2454C528" w:rsidR="00B549D7" w:rsidRDefault="00B549D7" w:rsidP="000607D4">
      <w:pPr>
        <w:spacing w:after="0"/>
      </w:pPr>
      <w:r>
        <w:t xml:space="preserve">Notwithstanding its strengths, the </w:t>
      </w:r>
      <w:r w:rsidRPr="009E266F">
        <w:t xml:space="preserve">LCO’s early analysis </w:t>
      </w:r>
      <w:r>
        <w:t xml:space="preserve">is that the Ontario AI Directive has </w:t>
      </w:r>
      <w:r w:rsidRPr="009E266F">
        <w:t>several significant gaps or uncertainties</w:t>
      </w:r>
      <w:r>
        <w:t>.</w:t>
      </w:r>
      <w:r w:rsidR="00881D50" w:rsidRPr="009E266F">
        <w:rPr>
          <w:rStyle w:val="EndnoteReference"/>
        </w:rPr>
        <w:endnoteReference w:id="53"/>
      </w:r>
      <w:r w:rsidR="00881D50" w:rsidRPr="009E266F">
        <w:t xml:space="preserve"> </w:t>
      </w:r>
      <w:r>
        <w:t>For example, the Ontario AI Directive</w:t>
      </w:r>
      <w:r w:rsidRPr="009E266F">
        <w:t xml:space="preserve">: </w:t>
      </w:r>
    </w:p>
    <w:p w14:paraId="61222446" w14:textId="77777777" w:rsidR="00B549D7" w:rsidRPr="009E266F" w:rsidRDefault="00B549D7" w:rsidP="000607D4">
      <w:pPr>
        <w:spacing w:after="0"/>
      </w:pPr>
    </w:p>
    <w:p w14:paraId="2EC37782" w14:textId="776ED6F2" w:rsidR="00B549D7" w:rsidRPr="009E266F" w:rsidRDefault="00B549D7" w:rsidP="00965500">
      <w:pPr>
        <w:pStyle w:val="ListParagraph"/>
        <w:numPr>
          <w:ilvl w:val="0"/>
          <w:numId w:val="14"/>
        </w:numPr>
        <w:spacing w:after="0"/>
        <w:contextualSpacing w:val="0"/>
      </w:pPr>
      <w:r w:rsidRPr="009E266F">
        <w:t xml:space="preserve">Does not explicitly </w:t>
      </w:r>
      <w:r>
        <w:t xml:space="preserve">apply to any </w:t>
      </w:r>
      <w:r w:rsidRPr="009E266F">
        <w:t>law enforcement agenc</w:t>
      </w:r>
      <w:r>
        <w:t>y or police service in Ontario</w:t>
      </w:r>
      <w:r w:rsidRPr="009E266F">
        <w:t xml:space="preserve">. </w:t>
      </w:r>
    </w:p>
    <w:p w14:paraId="0EC5F01F" w14:textId="3A942F75" w:rsidR="00B549D7" w:rsidRPr="009E266F" w:rsidRDefault="00B549D7" w:rsidP="00965500">
      <w:pPr>
        <w:pStyle w:val="ListParagraph"/>
        <w:numPr>
          <w:ilvl w:val="0"/>
          <w:numId w:val="14"/>
        </w:numPr>
        <w:spacing w:after="0"/>
        <w:contextualSpacing w:val="0"/>
      </w:pPr>
      <w:r w:rsidRPr="009E266F">
        <w:t>Does not establish a consistent</w:t>
      </w:r>
      <w:r>
        <w:t xml:space="preserve"> or </w:t>
      </w:r>
      <w:r w:rsidRPr="009E266F">
        <w:t xml:space="preserve">transparent AI risk criteria </w:t>
      </w:r>
      <w:r>
        <w:t xml:space="preserve">or </w:t>
      </w:r>
      <w:r w:rsidRPr="009E266F">
        <w:t>prohibit</w:t>
      </w:r>
      <w:r w:rsidR="006B0A40">
        <w:t>ions</w:t>
      </w:r>
      <w:r w:rsidRPr="009E266F">
        <w:t>.</w:t>
      </w:r>
    </w:p>
    <w:p w14:paraId="5A999A32" w14:textId="4BE9144E" w:rsidR="00B549D7" w:rsidRPr="009E266F" w:rsidRDefault="00B549D7" w:rsidP="00965500">
      <w:pPr>
        <w:pStyle w:val="ListParagraph"/>
        <w:numPr>
          <w:ilvl w:val="0"/>
          <w:numId w:val="14"/>
        </w:numPr>
        <w:spacing w:after="0"/>
        <w:contextualSpacing w:val="0"/>
      </w:pPr>
      <w:r w:rsidRPr="009E266F">
        <w:t xml:space="preserve">Does not establish consistent </w:t>
      </w:r>
      <w:r>
        <w:t xml:space="preserve">or </w:t>
      </w:r>
      <w:r w:rsidRPr="009E266F">
        <w:t>comprehensive disclosure obligations.</w:t>
      </w:r>
    </w:p>
    <w:p w14:paraId="51BD4E33" w14:textId="47BCD42B" w:rsidR="00B549D7" w:rsidRPr="009E266F" w:rsidRDefault="00B549D7" w:rsidP="00965500">
      <w:pPr>
        <w:pStyle w:val="ListParagraph"/>
        <w:numPr>
          <w:ilvl w:val="0"/>
          <w:numId w:val="14"/>
        </w:numPr>
        <w:spacing w:after="0"/>
        <w:contextualSpacing w:val="0"/>
      </w:pPr>
      <w:r w:rsidRPr="009E266F">
        <w:t xml:space="preserve">Does not establish a remedial regime and lacks access to justice provisions. </w:t>
      </w:r>
    </w:p>
    <w:p w14:paraId="1E3C8E8A" w14:textId="77777777" w:rsidR="00B549D7" w:rsidRPr="009E266F" w:rsidRDefault="00B549D7" w:rsidP="009F0A62">
      <w:pPr>
        <w:spacing w:after="0"/>
        <w:rPr>
          <w:rFonts w:eastAsia="Times New Roman" w:cstheme="minorHAnsi"/>
          <w:color w:val="1A1A1A"/>
        </w:rPr>
      </w:pPr>
    </w:p>
    <w:p w14:paraId="143500FA" w14:textId="77777777" w:rsidR="00B549D7" w:rsidRPr="008C7A05" w:rsidRDefault="00B549D7" w:rsidP="00965500">
      <w:pPr>
        <w:pStyle w:val="ListParagraph"/>
        <w:numPr>
          <w:ilvl w:val="0"/>
          <w:numId w:val="25"/>
        </w:numPr>
        <w:rPr>
          <w:b/>
          <w:bCs/>
        </w:rPr>
      </w:pPr>
      <w:bookmarkStart w:id="53" w:name="_Toc188900923"/>
      <w:bookmarkStart w:id="54" w:name="_Toc188902190"/>
      <w:r w:rsidRPr="008C7A05">
        <w:rPr>
          <w:b/>
          <w:bCs/>
        </w:rPr>
        <w:t>Toronto Police Service Board “Use of AI Technology Policy”</w:t>
      </w:r>
      <w:bookmarkEnd w:id="53"/>
      <w:bookmarkEnd w:id="54"/>
    </w:p>
    <w:p w14:paraId="6FFED6B0" w14:textId="6199FD25" w:rsidR="00B549D7" w:rsidRPr="009E266F" w:rsidRDefault="00B549D7" w:rsidP="009F0A62">
      <w:pPr>
        <w:spacing w:after="0"/>
        <w:rPr>
          <w:rFonts w:cstheme="minorHAnsi"/>
        </w:rPr>
      </w:pPr>
      <w:r w:rsidRPr="009E266F">
        <w:t xml:space="preserve">The most significant </w:t>
      </w:r>
      <w:r>
        <w:t xml:space="preserve">criminal </w:t>
      </w:r>
      <w:r w:rsidRPr="009E266F">
        <w:t xml:space="preserve">AI policy in </w:t>
      </w:r>
      <w:r>
        <w:t xml:space="preserve">Canada </w:t>
      </w:r>
      <w:r w:rsidRPr="009E266F">
        <w:t>is the Toronto Police Services Board’s (TPSB) “Use of AI Technology Policy” (“TPS AI Policy”).</w:t>
      </w:r>
      <w:r w:rsidRPr="002F5CDF">
        <w:rPr>
          <w:rStyle w:val="EndnoteReference"/>
          <w:rFonts w:cstheme="minorHAnsi"/>
        </w:rPr>
        <w:endnoteReference w:id="54"/>
      </w:r>
      <w:r w:rsidRPr="002F5CDF">
        <w:rPr>
          <w:sz w:val="21"/>
          <w:szCs w:val="21"/>
        </w:rPr>
        <w:t xml:space="preserve"> </w:t>
      </w:r>
    </w:p>
    <w:p w14:paraId="1E7F1AFF" w14:textId="77777777" w:rsidR="00B549D7" w:rsidRPr="009E266F" w:rsidRDefault="00B549D7" w:rsidP="009F0A62">
      <w:pPr>
        <w:spacing w:after="0"/>
      </w:pPr>
    </w:p>
    <w:p w14:paraId="0D3B6243" w14:textId="424CE213" w:rsidR="00B549D7" w:rsidRPr="009E266F" w:rsidRDefault="00B549D7" w:rsidP="009F0A62">
      <w:pPr>
        <w:rPr>
          <w:rFonts w:cstheme="minorHAnsi"/>
        </w:rPr>
      </w:pPr>
      <w:r w:rsidRPr="009E266F">
        <w:rPr>
          <w:rFonts w:cstheme="minorHAnsi"/>
        </w:rPr>
        <w:t>The TPS AI Policy incorporates many trustworthy criminal AI principles</w:t>
      </w:r>
      <w:r>
        <w:rPr>
          <w:rFonts w:cstheme="minorHAnsi"/>
        </w:rPr>
        <w:t>. For example, the TPS AI Policy:</w:t>
      </w:r>
    </w:p>
    <w:p w14:paraId="3A354B9A" w14:textId="6C2FB8BA" w:rsidR="00B549D7" w:rsidRPr="009E266F" w:rsidRDefault="00B549D7" w:rsidP="00965500">
      <w:pPr>
        <w:pStyle w:val="ListParagraph"/>
        <w:numPr>
          <w:ilvl w:val="0"/>
          <w:numId w:val="20"/>
        </w:numPr>
        <w:spacing w:before="100" w:beforeAutospacing="1" w:after="0"/>
        <w:contextualSpacing w:val="0"/>
      </w:pPr>
      <w:r>
        <w:t>A</w:t>
      </w:r>
      <w:r w:rsidRPr="009E266F">
        <w:t>cknowledges technology can pose new concerns for “privacy, rights, (including the rights to freedom of expression, freedoms of association, and freedom of assembly, dignity and equality of the individuals affected by [AI applications].</w:t>
      </w:r>
      <w:r>
        <w:t>”</w:t>
      </w:r>
      <w:r w:rsidRPr="009E266F">
        <w:rPr>
          <w:rStyle w:val="EndnoteReference"/>
          <w:rFonts w:cstheme="minorHAnsi"/>
        </w:rPr>
        <w:endnoteReference w:id="55"/>
      </w:r>
      <w:r w:rsidRPr="009E266F">
        <w:t xml:space="preserve"> </w:t>
      </w:r>
    </w:p>
    <w:p w14:paraId="29A233AE" w14:textId="69549046" w:rsidR="00B549D7" w:rsidRPr="009E266F" w:rsidRDefault="00B549D7" w:rsidP="00965500">
      <w:pPr>
        <w:pStyle w:val="ListParagraph"/>
        <w:numPr>
          <w:ilvl w:val="0"/>
          <w:numId w:val="20"/>
        </w:numPr>
        <w:spacing w:before="100" w:beforeAutospacing="1" w:after="0"/>
        <w:contextualSpacing w:val="0"/>
        <w:rPr>
          <w:color w:val="000000"/>
        </w:rPr>
      </w:pPr>
      <w:r>
        <w:t>R</w:t>
      </w:r>
      <w:r w:rsidRPr="009E266F">
        <w:t>equires technology</w:t>
      </w:r>
      <w:r w:rsidR="006B0A40">
        <w:t xml:space="preserve"> to </w:t>
      </w:r>
      <w:r w:rsidRPr="009E266F">
        <w:t xml:space="preserve">adhere to </w:t>
      </w:r>
      <w:r>
        <w:t xml:space="preserve">detailed </w:t>
      </w:r>
      <w:r w:rsidRPr="009E266F">
        <w:t>guiding principles</w:t>
      </w:r>
      <w:r>
        <w:t>, including legality, fairness, reliability, justifiability, personal and organizational accountability, transparency, privacy and meaningful engagement</w:t>
      </w:r>
      <w:r w:rsidRPr="009E266F">
        <w:rPr>
          <w:color w:val="000000"/>
        </w:rPr>
        <w:t>.</w:t>
      </w:r>
      <w:r w:rsidRPr="009E266F">
        <w:rPr>
          <w:rStyle w:val="EndnoteReference"/>
          <w:rFonts w:cstheme="minorHAnsi"/>
          <w:color w:val="000000"/>
        </w:rPr>
        <w:endnoteReference w:id="56"/>
      </w:r>
      <w:r w:rsidRPr="009E266F">
        <w:rPr>
          <w:color w:val="000000"/>
        </w:rPr>
        <w:tab/>
      </w:r>
    </w:p>
    <w:p w14:paraId="4EA560CB" w14:textId="3F3DD894" w:rsidR="00B549D7" w:rsidRDefault="00B549D7" w:rsidP="00965500">
      <w:pPr>
        <w:pStyle w:val="ListParagraph"/>
        <w:numPr>
          <w:ilvl w:val="0"/>
          <w:numId w:val="20"/>
        </w:numPr>
        <w:spacing w:before="100" w:beforeAutospacing="1" w:after="0"/>
        <w:contextualSpacing w:val="0"/>
      </w:pPr>
      <w:r>
        <w:t>I</w:t>
      </w:r>
      <w:r w:rsidRPr="009E266F">
        <w:t>ncludes explicit risk criteria, including “Extreme Risk Technologies</w:t>
      </w:r>
      <w:r>
        <w:t>”</w:t>
      </w:r>
      <w:r w:rsidRPr="009E266F">
        <w:t xml:space="preserve"> which may not be considered for adoption</w:t>
      </w:r>
      <w:r>
        <w:t xml:space="preserve">, including </w:t>
      </w:r>
      <w:r w:rsidRPr="00CE149E">
        <w:t>AI system</w:t>
      </w:r>
      <w:r>
        <w:t>s</w:t>
      </w:r>
      <w:r w:rsidRPr="00CE149E">
        <w:t xml:space="preserve"> </w:t>
      </w:r>
      <w:r>
        <w:t xml:space="preserve">that </w:t>
      </w:r>
      <w:r w:rsidRPr="00CE149E">
        <w:t>result in “mass surveillance defined as monitoring of a population or a significant component of a population…”</w:t>
      </w:r>
      <w:r>
        <w:t xml:space="preserve"> and “a</w:t>
      </w:r>
      <w:r w:rsidRPr="006E227B">
        <w:t>ny application that is known or likely to cause harm or have an impact on individual’s rights, despite use of mitigation techniques, due to bias or other flaws.”</w:t>
      </w:r>
      <w:r w:rsidRPr="009E266F">
        <w:rPr>
          <w:rStyle w:val="EndnoteReference"/>
          <w:rFonts w:cstheme="minorHAnsi"/>
        </w:rPr>
        <w:endnoteReference w:id="57"/>
      </w:r>
    </w:p>
    <w:p w14:paraId="397F29A2" w14:textId="0EC1187A" w:rsidR="00B549D7" w:rsidRPr="00AA2F62" w:rsidRDefault="00B549D7" w:rsidP="00965500">
      <w:pPr>
        <w:pStyle w:val="ListParagraph"/>
        <w:numPr>
          <w:ilvl w:val="0"/>
          <w:numId w:val="20"/>
        </w:numPr>
        <w:spacing w:before="100" w:beforeAutospacing="1" w:after="0"/>
        <w:contextualSpacing w:val="0"/>
      </w:pPr>
      <w:r>
        <w:rPr>
          <w:rFonts w:cstheme="minorHAnsi"/>
        </w:rPr>
        <w:t xml:space="preserve">Includes </w:t>
      </w:r>
      <w:r w:rsidRPr="00AA2F62">
        <w:rPr>
          <w:rFonts w:cstheme="minorHAnsi"/>
        </w:rPr>
        <w:t xml:space="preserve">obligations </w:t>
      </w:r>
      <w:r>
        <w:rPr>
          <w:rFonts w:cstheme="minorHAnsi"/>
        </w:rPr>
        <w:t xml:space="preserve">regarding purpose limitations, </w:t>
      </w:r>
      <w:r w:rsidRPr="00AA2F62">
        <w:rPr>
          <w:rFonts w:cstheme="minorHAnsi"/>
        </w:rPr>
        <w:t xml:space="preserve">data requirements, disclosure requirements, approval and reporting procedures, </w:t>
      </w:r>
      <w:r>
        <w:rPr>
          <w:rFonts w:cstheme="minorHAnsi"/>
        </w:rPr>
        <w:t xml:space="preserve">impact </w:t>
      </w:r>
      <w:r w:rsidRPr="00AA2F62">
        <w:rPr>
          <w:rFonts w:cstheme="minorHAnsi"/>
        </w:rPr>
        <w:t>assessments</w:t>
      </w:r>
      <w:r w:rsidRPr="00AA2F62">
        <w:rPr>
          <w:rFonts w:cstheme="minorHAnsi"/>
          <w:color w:val="222021"/>
          <w:shd w:val="clear" w:color="auto" w:fill="FFFFFF"/>
        </w:rPr>
        <w:t>, and public engagement strategies</w:t>
      </w:r>
      <w:r>
        <w:rPr>
          <w:rFonts w:cstheme="minorHAnsi"/>
          <w:color w:val="222021"/>
          <w:shd w:val="clear" w:color="auto" w:fill="FFFFFF"/>
        </w:rPr>
        <w:t>.</w:t>
      </w:r>
    </w:p>
    <w:p w14:paraId="0BF027C1" w14:textId="77777777" w:rsidR="00B549D7" w:rsidRDefault="00B549D7" w:rsidP="000607D4">
      <w:pPr>
        <w:spacing w:after="0"/>
      </w:pPr>
    </w:p>
    <w:p w14:paraId="5E6CF62E" w14:textId="46CD6F8F" w:rsidR="00B549D7" w:rsidRPr="006E227B" w:rsidRDefault="00B549D7" w:rsidP="009F0A62">
      <w:r w:rsidRPr="006E227B">
        <w:t xml:space="preserve">The TPS </w:t>
      </w:r>
      <w:r>
        <w:t xml:space="preserve">issued its first </w:t>
      </w:r>
      <w:r w:rsidRPr="006E227B">
        <w:t xml:space="preserve">public disclosure </w:t>
      </w:r>
      <w:r>
        <w:t xml:space="preserve">report in </w:t>
      </w:r>
      <w:r w:rsidRPr="006E227B">
        <w:t>January 2024</w:t>
      </w:r>
      <w:r>
        <w:t xml:space="preserve">. This report </w:t>
      </w:r>
      <w:r w:rsidRPr="006E227B">
        <w:t>disclosed th</w:t>
      </w:r>
      <w:r>
        <w:t xml:space="preserve">at the TPS uses </w:t>
      </w:r>
      <w:r w:rsidRPr="006E227B">
        <w:t xml:space="preserve">five AI-enabled systems. The TPS also self-assessed the </w:t>
      </w:r>
      <w:r>
        <w:t xml:space="preserve">risk </w:t>
      </w:r>
      <w:r w:rsidRPr="006E227B">
        <w:t xml:space="preserve">level of </w:t>
      </w:r>
      <w:r>
        <w:t>each system. A</w:t>
      </w:r>
      <w:r w:rsidRPr="006E227B">
        <w:t xml:space="preserve">n </w:t>
      </w:r>
      <w:r>
        <w:t xml:space="preserve">FRT </w:t>
      </w:r>
      <w:r w:rsidRPr="006E227B">
        <w:t xml:space="preserve">system that automates mugshot identification </w:t>
      </w:r>
      <w:r>
        <w:t xml:space="preserve">was the only system </w:t>
      </w:r>
      <w:r w:rsidRPr="006E227B">
        <w:t>classified as “high-risk</w:t>
      </w:r>
      <w:r>
        <w:t>”</w:t>
      </w:r>
      <w:r w:rsidRPr="006E227B">
        <w:t>.</w:t>
      </w:r>
      <w:r w:rsidRPr="006E227B">
        <w:rPr>
          <w:vertAlign w:val="superscript"/>
        </w:rPr>
        <w:endnoteReference w:id="58"/>
      </w:r>
    </w:p>
    <w:p w14:paraId="152D23BF" w14:textId="264640D0" w:rsidR="00B549D7" w:rsidRDefault="00B549D7" w:rsidP="009F0A62">
      <w:pPr>
        <w:spacing w:after="0"/>
      </w:pPr>
      <w:r w:rsidRPr="006E227B">
        <w:t xml:space="preserve">At least one other police service in Ontario has adopted an AI policy. In October 2024, the Durham Regional Police Services Board adopted </w:t>
      </w:r>
      <w:r>
        <w:t xml:space="preserve">a </w:t>
      </w:r>
      <w:r w:rsidRPr="006E227B">
        <w:t>“Use of Artificial Intelligence” Policy.</w:t>
      </w:r>
      <w:r w:rsidRPr="006E227B">
        <w:rPr>
          <w:rStyle w:val="EndnoteReference"/>
        </w:rPr>
        <w:endnoteReference w:id="59"/>
      </w:r>
      <w:r w:rsidRPr="006E227B">
        <w:t xml:space="preserve"> Th</w:t>
      </w:r>
      <w:r>
        <w:t xml:space="preserve">is policy </w:t>
      </w:r>
      <w:r w:rsidRPr="006E227B">
        <w:t xml:space="preserve">includes </w:t>
      </w:r>
      <w:r>
        <w:t xml:space="preserve">several </w:t>
      </w:r>
      <w:r w:rsidRPr="006E227B">
        <w:t xml:space="preserve">trustworthy criminal AI principles </w:t>
      </w:r>
      <w:r>
        <w:t xml:space="preserve">but is </w:t>
      </w:r>
      <w:r w:rsidRPr="006E227B">
        <w:t>less detailed and pr</w:t>
      </w:r>
      <w:r>
        <w:t>e</w:t>
      </w:r>
      <w:r w:rsidRPr="006E227B">
        <w:t>scriptive than the TPS AI Policy.</w:t>
      </w:r>
      <w:r>
        <w:t xml:space="preserve"> For example, </w:t>
      </w:r>
      <w:r w:rsidRPr="006E227B">
        <w:t xml:space="preserve">the Durham </w:t>
      </w:r>
      <w:r>
        <w:t xml:space="preserve">policy </w:t>
      </w:r>
      <w:r w:rsidRPr="006E227B">
        <w:t xml:space="preserve">does not include risk categories or prohibited “Extreme Risk Technologies.” </w:t>
      </w:r>
    </w:p>
    <w:p w14:paraId="7FC1127A" w14:textId="77777777" w:rsidR="00B549D7" w:rsidRPr="006E227B" w:rsidRDefault="00B549D7" w:rsidP="009F0A62">
      <w:pPr>
        <w:spacing w:after="0"/>
        <w:rPr>
          <w:i/>
          <w:iCs/>
        </w:rPr>
      </w:pPr>
    </w:p>
    <w:p w14:paraId="2CEEC616" w14:textId="77777777" w:rsidR="00B549D7" w:rsidRPr="00961CB4" w:rsidRDefault="00B549D7" w:rsidP="00965500">
      <w:pPr>
        <w:pStyle w:val="ListParagraph"/>
        <w:numPr>
          <w:ilvl w:val="0"/>
          <w:numId w:val="25"/>
        </w:numPr>
        <w:rPr>
          <w:b/>
          <w:bCs/>
        </w:rPr>
      </w:pPr>
      <w:bookmarkStart w:id="55" w:name="_Toc188900925"/>
      <w:bookmarkStart w:id="56" w:name="_Toc188902192"/>
      <w:r w:rsidRPr="00961CB4">
        <w:rPr>
          <w:b/>
          <w:bCs/>
        </w:rPr>
        <w:t>Assessing Provincial Initiatives to Promote Trustworthy Criminal AI</w:t>
      </w:r>
      <w:bookmarkEnd w:id="55"/>
      <w:bookmarkEnd w:id="56"/>
    </w:p>
    <w:p w14:paraId="5F3205E5" w14:textId="745200ED" w:rsidR="00B549D7" w:rsidRPr="006E227B" w:rsidRDefault="00B549D7" w:rsidP="009F0A62">
      <w:r>
        <w:t>T</w:t>
      </w:r>
      <w:r w:rsidRPr="006E227B">
        <w:t>he provincial government</w:t>
      </w:r>
      <w:r w:rsidR="00047DC2">
        <w:t xml:space="preserve"> has taken important first steps to promote trustworthy AI across Ontario’s public sector.  To date, this </w:t>
      </w:r>
      <w:r w:rsidRPr="006E227B">
        <w:t xml:space="preserve">commitment has not extended to AI systems used in provincial law enforcement or the provincial criminal justice system. As a result, there is no dedicated legislation, </w:t>
      </w:r>
      <w:r>
        <w:t>d</w:t>
      </w:r>
      <w:r w:rsidRPr="006E227B">
        <w:t>irective or policy establishing trustworthy AI in Ontario</w:t>
      </w:r>
      <w:r>
        <w:t xml:space="preserve"> criminal justice system.</w:t>
      </w:r>
    </w:p>
    <w:p w14:paraId="1D18FC1C" w14:textId="3FF35917" w:rsidR="00B549D7" w:rsidRPr="006E227B" w:rsidRDefault="00B549D7" w:rsidP="009F0A62">
      <w:r w:rsidRPr="002505DC">
        <w:rPr>
          <w:i/>
          <w:iCs/>
        </w:rPr>
        <w:t>EDSTA</w:t>
      </w:r>
      <w:r>
        <w:rPr>
          <w:i/>
          <w:iCs/>
        </w:rPr>
        <w:t xml:space="preserve"> </w:t>
      </w:r>
      <w:r w:rsidRPr="006E227B">
        <w:rPr>
          <w:bCs/>
        </w:rPr>
        <w:t xml:space="preserve">does not </w:t>
      </w:r>
      <w:r w:rsidRPr="006E227B">
        <w:t>establish a comprehensive trustworthy AI framework for provincial public sector AI systems generally or the criminal justice system specifically.</w:t>
      </w:r>
      <w:r w:rsidR="00BE6D0C">
        <w:t xml:space="preserve"> </w:t>
      </w:r>
    </w:p>
    <w:p w14:paraId="628C7072" w14:textId="18833319" w:rsidR="00B549D7" w:rsidRPr="006E227B" w:rsidRDefault="00B549D7" w:rsidP="009F0A62">
      <w:r w:rsidRPr="006E227B">
        <w:t>The Ontario AI Directive is more comprehensive than</w:t>
      </w:r>
      <w:r>
        <w:t xml:space="preserve"> </w:t>
      </w:r>
      <w:r>
        <w:rPr>
          <w:i/>
          <w:iCs/>
        </w:rPr>
        <w:t>EDSTA</w:t>
      </w:r>
      <w:r w:rsidRPr="006E227B">
        <w:t>, but there are many outstanding questions.</w:t>
      </w:r>
      <w:r w:rsidR="00047DC2">
        <w:t xml:space="preserve"> Critically, </w:t>
      </w:r>
      <w:r w:rsidRPr="006E227B">
        <w:t>the Ontario AI Directive</w:t>
      </w:r>
      <w:r>
        <w:t xml:space="preserve"> </w:t>
      </w:r>
      <w:r w:rsidRPr="006E227B">
        <w:t xml:space="preserve">does not </w:t>
      </w:r>
      <w:r>
        <w:t>apply to any police service in Ontario</w:t>
      </w:r>
      <w:r w:rsidRPr="006E227B">
        <w:t xml:space="preserve">. </w:t>
      </w:r>
    </w:p>
    <w:p w14:paraId="0A74B7F6" w14:textId="0052B2C6" w:rsidR="00B549D7" w:rsidRPr="006E227B" w:rsidRDefault="00B549D7" w:rsidP="009F0A62">
      <w:pPr>
        <w:rPr>
          <w:rFonts w:cstheme="minorHAnsi"/>
        </w:rPr>
      </w:pPr>
      <w:r w:rsidRPr="006E227B">
        <w:rPr>
          <w:bCs/>
        </w:rPr>
        <w:t xml:space="preserve">The most </w:t>
      </w:r>
      <w:r>
        <w:rPr>
          <w:bCs/>
        </w:rPr>
        <w:t xml:space="preserve">significant trustworthy </w:t>
      </w:r>
      <w:r w:rsidRPr="006E227B">
        <w:t xml:space="preserve">criminal </w:t>
      </w:r>
      <w:r>
        <w:t xml:space="preserve">AI </w:t>
      </w:r>
      <w:r w:rsidRPr="006E227B">
        <w:t>policy in Ontario</w:t>
      </w:r>
      <w:r>
        <w:t xml:space="preserve"> </w:t>
      </w:r>
      <w:r w:rsidRPr="006E227B">
        <w:t xml:space="preserve">is </w:t>
      </w:r>
      <w:r>
        <w:t xml:space="preserve">the </w:t>
      </w:r>
      <w:r w:rsidRPr="006E227B">
        <w:t xml:space="preserve">TPS AI Policy. </w:t>
      </w:r>
      <w:r>
        <w:t xml:space="preserve">The </w:t>
      </w:r>
      <w:r w:rsidRPr="006E227B">
        <w:t xml:space="preserve">TPS AI Policy </w:t>
      </w:r>
      <w:r w:rsidRPr="006E227B">
        <w:rPr>
          <w:rFonts w:cstheme="minorHAnsi"/>
        </w:rPr>
        <w:t>is a sophisticated document that incorporates many criminal trustworthy AI principles identified by the LCO and other jurisdictions.</w:t>
      </w:r>
      <w:r>
        <w:rPr>
          <w:rFonts w:cstheme="minorHAnsi"/>
        </w:rPr>
        <w:t xml:space="preserve"> </w:t>
      </w:r>
      <w:r w:rsidR="00047DC2">
        <w:rPr>
          <w:rFonts w:cstheme="minorHAnsi"/>
        </w:rPr>
        <w:t xml:space="preserve">That said, </w:t>
      </w:r>
      <w:r w:rsidRPr="006E227B">
        <w:rPr>
          <w:rFonts w:cstheme="minorHAnsi"/>
        </w:rPr>
        <w:t xml:space="preserve">the TPS AI Policy has </w:t>
      </w:r>
      <w:r w:rsidR="00E00910">
        <w:rPr>
          <w:rFonts w:cstheme="minorHAnsi"/>
        </w:rPr>
        <w:t xml:space="preserve">structural </w:t>
      </w:r>
      <w:r w:rsidRPr="006E227B">
        <w:rPr>
          <w:rFonts w:cstheme="minorHAnsi"/>
        </w:rPr>
        <w:t xml:space="preserve">limitations as a trustworthy criminal AI governance instrument: </w:t>
      </w:r>
    </w:p>
    <w:p w14:paraId="3AC22099" w14:textId="208C72A8" w:rsidR="00B549D7" w:rsidRPr="006E227B" w:rsidRDefault="00B549D7" w:rsidP="009F0A62">
      <w:pPr>
        <w:rPr>
          <w:rFonts w:cstheme="minorHAnsi"/>
        </w:rPr>
      </w:pPr>
      <w:r w:rsidRPr="006E227B">
        <w:rPr>
          <w:rFonts w:cstheme="minorHAnsi"/>
        </w:rPr>
        <w:t>First, the TPS AI Policy is not legally binding</w:t>
      </w:r>
      <w:r>
        <w:rPr>
          <w:rFonts w:cstheme="minorHAnsi"/>
        </w:rPr>
        <w:t xml:space="preserve">. It does not create a legal accountability regime, </w:t>
      </w:r>
      <w:r w:rsidRPr="006E227B">
        <w:rPr>
          <w:rFonts w:cstheme="minorHAnsi"/>
        </w:rPr>
        <w:t>remedial provisions</w:t>
      </w:r>
      <w:r>
        <w:rPr>
          <w:rFonts w:cstheme="minorHAnsi"/>
        </w:rPr>
        <w:t xml:space="preserve"> or </w:t>
      </w:r>
      <w:r w:rsidRPr="006E227B">
        <w:rPr>
          <w:rFonts w:cstheme="minorHAnsi"/>
        </w:rPr>
        <w:t>penalty provisions for non-compliance</w:t>
      </w:r>
      <w:r>
        <w:rPr>
          <w:rFonts w:cstheme="minorHAnsi"/>
        </w:rPr>
        <w:t>.</w:t>
      </w:r>
      <w:r w:rsidR="00BE6D0C">
        <w:rPr>
          <w:rFonts w:cstheme="minorHAnsi"/>
        </w:rPr>
        <w:t xml:space="preserve"> </w:t>
      </w:r>
    </w:p>
    <w:p w14:paraId="44696B51" w14:textId="603EFDA2" w:rsidR="00B549D7" w:rsidRPr="006E227B" w:rsidRDefault="00B549D7" w:rsidP="009F0A62">
      <w:r w:rsidRPr="006E227B">
        <w:lastRenderedPageBreak/>
        <w:t xml:space="preserve">Second, the </w:t>
      </w:r>
      <w:r w:rsidRPr="006E227B">
        <w:rPr>
          <w:rFonts w:cstheme="minorHAnsi"/>
        </w:rPr>
        <w:t>TPS AI Policy is self-regulating</w:t>
      </w:r>
      <w:r>
        <w:rPr>
          <w:rFonts w:cstheme="minorHAnsi"/>
        </w:rPr>
        <w:t xml:space="preserve">. It does not create an independent oversight body or external review mechanism. As a result, the TPS has been </w:t>
      </w:r>
      <w:r w:rsidRPr="006E227B">
        <w:rPr>
          <w:rFonts w:cstheme="minorHAnsi"/>
        </w:rPr>
        <w:t>critici</w:t>
      </w:r>
      <w:r>
        <w:rPr>
          <w:rFonts w:cstheme="minorHAnsi"/>
        </w:rPr>
        <w:t xml:space="preserve">zed for </w:t>
      </w:r>
      <w:r w:rsidRPr="006E227B">
        <w:rPr>
          <w:rFonts w:cstheme="minorHAnsi"/>
        </w:rPr>
        <w:t>interpret</w:t>
      </w:r>
      <w:r>
        <w:rPr>
          <w:rFonts w:cstheme="minorHAnsi"/>
        </w:rPr>
        <w:t xml:space="preserve">ing the TPS AI Policy </w:t>
      </w:r>
      <w:r w:rsidRPr="006E227B">
        <w:rPr>
          <w:rFonts w:cstheme="minorHAnsi"/>
        </w:rPr>
        <w:t>loosely</w:t>
      </w:r>
      <w:r w:rsidRPr="006E227B">
        <w:rPr>
          <w:rFonts w:eastAsia="Times New Roman" w:cstheme="minorHAnsi"/>
        </w:rPr>
        <w:t>.</w:t>
      </w:r>
      <w:r w:rsidRPr="006E227B">
        <w:rPr>
          <w:rStyle w:val="EndnoteReference"/>
          <w:rFonts w:cstheme="minorHAnsi"/>
        </w:rPr>
        <w:endnoteReference w:id="60"/>
      </w:r>
    </w:p>
    <w:p w14:paraId="39E4634D" w14:textId="0A1CBA55" w:rsidR="00E00910" w:rsidRDefault="00B549D7" w:rsidP="009F0A62">
      <w:pPr>
        <w:rPr>
          <w:rFonts w:cstheme="minorHAnsi"/>
        </w:rPr>
      </w:pPr>
      <w:r w:rsidRPr="006E227B">
        <w:rPr>
          <w:rFonts w:cstheme="minorHAnsi"/>
        </w:rPr>
        <w:t xml:space="preserve">Third, and most </w:t>
      </w:r>
      <w:r>
        <w:rPr>
          <w:rFonts w:cstheme="minorHAnsi"/>
        </w:rPr>
        <w:t>importantly</w:t>
      </w:r>
      <w:r w:rsidRPr="006E227B">
        <w:rPr>
          <w:rFonts w:cstheme="minorHAnsi"/>
        </w:rPr>
        <w:t xml:space="preserve">, the TPS AI Policy is an administrative policy governing </w:t>
      </w:r>
      <w:r>
        <w:rPr>
          <w:rFonts w:cstheme="minorHAnsi"/>
        </w:rPr>
        <w:t xml:space="preserve">a single </w:t>
      </w:r>
      <w:r w:rsidRPr="006E227B">
        <w:rPr>
          <w:rFonts w:cstheme="minorHAnsi"/>
        </w:rPr>
        <w:t xml:space="preserve">police service in Ontario. </w:t>
      </w:r>
      <w:r w:rsidR="00377D26" w:rsidRPr="006E227B">
        <w:rPr>
          <w:rFonts w:cstheme="minorHAnsi"/>
        </w:rPr>
        <w:t>I</w:t>
      </w:r>
      <w:r w:rsidR="00377D26">
        <w:rPr>
          <w:rFonts w:cstheme="minorHAnsi"/>
        </w:rPr>
        <w:t xml:space="preserve">t </w:t>
      </w:r>
      <w:r w:rsidR="00377D26" w:rsidRPr="006E227B">
        <w:rPr>
          <w:rFonts w:cstheme="minorHAnsi"/>
        </w:rPr>
        <w:t xml:space="preserve">does not establish a provincial AI standard for either policing generally or any other part of Ontario’s </w:t>
      </w:r>
      <w:r w:rsidR="00377D26">
        <w:rPr>
          <w:rFonts w:cstheme="minorHAnsi"/>
        </w:rPr>
        <w:t xml:space="preserve">criminal </w:t>
      </w:r>
      <w:r w:rsidR="00377D26" w:rsidRPr="006E227B">
        <w:rPr>
          <w:rFonts w:cstheme="minorHAnsi"/>
        </w:rPr>
        <w:t>justice system.</w:t>
      </w:r>
    </w:p>
    <w:p w14:paraId="09D2FEFD" w14:textId="03BF15BB" w:rsidR="00B549D7" w:rsidRDefault="00B549D7" w:rsidP="009F0A62">
      <w:pPr>
        <w:rPr>
          <w:rFonts w:cstheme="minorHAnsi"/>
        </w:rPr>
      </w:pPr>
      <w:r>
        <w:rPr>
          <w:rFonts w:cstheme="minorHAnsi"/>
        </w:rPr>
        <w:t xml:space="preserve">From </w:t>
      </w:r>
      <w:r w:rsidR="006B0A40">
        <w:rPr>
          <w:rFonts w:cstheme="minorHAnsi"/>
        </w:rPr>
        <w:t xml:space="preserve">a provincial </w:t>
      </w:r>
      <w:r w:rsidR="007C6531">
        <w:rPr>
          <w:rFonts w:cstheme="minorHAnsi"/>
        </w:rPr>
        <w:t>perspective</w:t>
      </w:r>
      <w:r w:rsidR="006B0A40">
        <w:rPr>
          <w:rFonts w:cstheme="minorHAnsi"/>
        </w:rPr>
        <w:t xml:space="preserve">, </w:t>
      </w:r>
      <w:r>
        <w:rPr>
          <w:rFonts w:cstheme="minorHAnsi"/>
        </w:rPr>
        <w:t xml:space="preserve">the </w:t>
      </w:r>
      <w:r w:rsidRPr="006E227B">
        <w:rPr>
          <w:rFonts w:cstheme="minorHAnsi"/>
        </w:rPr>
        <w:t xml:space="preserve">TPS AI Policy </w:t>
      </w:r>
      <w:r w:rsidR="00047DC2">
        <w:rPr>
          <w:rFonts w:cstheme="minorHAnsi"/>
        </w:rPr>
        <w:t>demonstrates</w:t>
      </w:r>
      <w:r w:rsidRPr="006E227B">
        <w:rPr>
          <w:rFonts w:cstheme="minorHAnsi"/>
        </w:rPr>
        <w:t xml:space="preserve"> the difficulty and risks of relying on individual police services and boards to regulate policing AI systems</w:t>
      </w:r>
      <w:r w:rsidR="00047DC2">
        <w:rPr>
          <w:rFonts w:cstheme="minorHAnsi"/>
        </w:rPr>
        <w:t>:</w:t>
      </w:r>
      <w:r w:rsidRPr="006E227B">
        <w:rPr>
          <w:rFonts w:cstheme="minorHAnsi"/>
        </w:rPr>
        <w:t xml:space="preserve"> There are 53 police services in Ontario. To date, </w:t>
      </w:r>
      <w:r>
        <w:rPr>
          <w:rFonts w:cstheme="minorHAnsi"/>
        </w:rPr>
        <w:t xml:space="preserve">it appears only two services </w:t>
      </w:r>
      <w:r w:rsidRPr="006E227B">
        <w:rPr>
          <w:rFonts w:cstheme="minorHAnsi"/>
        </w:rPr>
        <w:t xml:space="preserve">have adopted dedicated AI policies. This means that 51 police services in Ontario </w:t>
      </w:r>
      <w:r w:rsidRPr="006E227B">
        <w:rPr>
          <w:rFonts w:cstheme="minorHAnsi"/>
          <w:i/>
          <w:iCs/>
        </w:rPr>
        <w:t>are not</w:t>
      </w:r>
      <w:r w:rsidRPr="006E227B">
        <w:rPr>
          <w:rFonts w:cstheme="minorHAnsi"/>
        </w:rPr>
        <w:t xml:space="preserve"> subject to AI prohibitions, risk criteria, disclosure and consultation requirements, etc. </w:t>
      </w:r>
      <w:r>
        <w:rPr>
          <w:rFonts w:cstheme="minorHAnsi"/>
        </w:rPr>
        <w:t xml:space="preserve">As a result, </w:t>
      </w:r>
      <w:r w:rsidRPr="006E227B">
        <w:rPr>
          <w:rFonts w:cstheme="minorHAnsi"/>
        </w:rPr>
        <w:t xml:space="preserve">one or more of the 51 remaining police services in Ontario could adopt “Extreme Risk” AI systems (such as real time FRT or predictive policing) without </w:t>
      </w:r>
      <w:r>
        <w:rPr>
          <w:rFonts w:cstheme="minorHAnsi"/>
        </w:rPr>
        <w:t xml:space="preserve">effective </w:t>
      </w:r>
      <w:r w:rsidRPr="006E227B">
        <w:rPr>
          <w:rFonts w:cstheme="minorHAnsi"/>
        </w:rPr>
        <w:t>guardrails</w:t>
      </w:r>
      <w:r>
        <w:rPr>
          <w:rFonts w:cstheme="minorHAnsi"/>
        </w:rPr>
        <w:t xml:space="preserve">, </w:t>
      </w:r>
      <w:r w:rsidRPr="006E227B">
        <w:rPr>
          <w:rFonts w:cstheme="minorHAnsi"/>
        </w:rPr>
        <w:t>accountability requirements</w:t>
      </w:r>
      <w:r>
        <w:rPr>
          <w:rFonts w:cstheme="minorHAnsi"/>
        </w:rPr>
        <w:t xml:space="preserve"> or public disclosure</w:t>
      </w:r>
      <w:r w:rsidRPr="006E227B">
        <w:rPr>
          <w:rFonts w:cstheme="minorHAnsi"/>
        </w:rPr>
        <w:t xml:space="preserve">. This a worst-case scenario, but not an impossible one. </w:t>
      </w:r>
    </w:p>
    <w:p w14:paraId="7E8CEB40" w14:textId="2E87900F" w:rsidR="00B549D7" w:rsidRDefault="00047DC2" w:rsidP="009F0A62">
      <w:pPr>
        <w:rPr>
          <w:rFonts w:cstheme="minorHAnsi"/>
        </w:rPr>
      </w:pPr>
      <w:r>
        <w:rPr>
          <w:rFonts w:cstheme="minorHAnsi"/>
        </w:rPr>
        <w:t>Moreover, p</w:t>
      </w:r>
      <w:r w:rsidR="00B549D7">
        <w:rPr>
          <w:rFonts w:cstheme="minorHAnsi"/>
        </w:rPr>
        <w:t xml:space="preserve">olice services are not the only </w:t>
      </w:r>
      <w:r>
        <w:rPr>
          <w:rFonts w:cstheme="minorHAnsi"/>
        </w:rPr>
        <w:t xml:space="preserve">provincial </w:t>
      </w:r>
      <w:r w:rsidR="00B549D7">
        <w:rPr>
          <w:rFonts w:cstheme="minorHAnsi"/>
        </w:rPr>
        <w:t>criminal justice institution</w:t>
      </w:r>
      <w:r>
        <w:rPr>
          <w:rFonts w:cstheme="minorHAnsi"/>
        </w:rPr>
        <w:t>s</w:t>
      </w:r>
      <w:r w:rsidR="00B549D7">
        <w:rPr>
          <w:rFonts w:cstheme="minorHAnsi"/>
        </w:rPr>
        <w:t xml:space="preserve"> or actor</w:t>
      </w:r>
      <w:r>
        <w:rPr>
          <w:rFonts w:cstheme="minorHAnsi"/>
        </w:rPr>
        <w:t>s</w:t>
      </w:r>
      <w:r w:rsidR="00B549D7">
        <w:rPr>
          <w:rFonts w:cstheme="minorHAnsi"/>
        </w:rPr>
        <w:t xml:space="preserve"> likely to be affected by AI systems. Others include </w:t>
      </w:r>
      <w:r w:rsidR="00B549D7" w:rsidRPr="006E227B">
        <w:rPr>
          <w:rFonts w:cstheme="minorHAnsi"/>
        </w:rPr>
        <w:t>the Ministries of Solicitor General and Attorney General</w:t>
      </w:r>
      <w:r w:rsidR="00B549D7">
        <w:rPr>
          <w:rFonts w:cstheme="minorHAnsi"/>
        </w:rPr>
        <w:t>,</w:t>
      </w:r>
      <w:r w:rsidR="00B549D7" w:rsidRPr="006E227B">
        <w:rPr>
          <w:rFonts w:cstheme="minorHAnsi"/>
        </w:rPr>
        <w:t xml:space="preserve"> courts</w:t>
      </w:r>
      <w:r w:rsidR="00B549D7">
        <w:rPr>
          <w:rFonts w:cstheme="minorHAnsi"/>
        </w:rPr>
        <w:t>,</w:t>
      </w:r>
      <w:r w:rsidR="00B549D7" w:rsidRPr="006E227B">
        <w:rPr>
          <w:rFonts w:cstheme="minorHAnsi"/>
        </w:rPr>
        <w:t xml:space="preserve"> Crowns</w:t>
      </w:r>
      <w:r w:rsidR="00B549D7">
        <w:rPr>
          <w:rFonts w:cstheme="minorHAnsi"/>
        </w:rPr>
        <w:t xml:space="preserve">, </w:t>
      </w:r>
      <w:r w:rsidR="00B549D7" w:rsidRPr="006E227B">
        <w:rPr>
          <w:rFonts w:cstheme="minorHAnsi"/>
        </w:rPr>
        <w:t>the defence bar</w:t>
      </w:r>
      <w:r w:rsidR="00B549D7">
        <w:rPr>
          <w:rFonts w:cstheme="minorHAnsi"/>
        </w:rPr>
        <w:t>,</w:t>
      </w:r>
      <w:r w:rsidR="00B549D7" w:rsidRPr="006E227B">
        <w:rPr>
          <w:rFonts w:cstheme="minorHAnsi"/>
        </w:rPr>
        <w:t xml:space="preserve"> Legal Aid Ontario</w:t>
      </w:r>
      <w:r>
        <w:rPr>
          <w:rFonts w:cstheme="minorHAnsi"/>
        </w:rPr>
        <w:t xml:space="preserve"> </w:t>
      </w:r>
      <w:r w:rsidR="00B549D7">
        <w:rPr>
          <w:rFonts w:cstheme="minorHAnsi"/>
        </w:rPr>
        <w:t>and others</w:t>
      </w:r>
      <w:r w:rsidR="00B549D7" w:rsidRPr="006E227B">
        <w:rPr>
          <w:rFonts w:cstheme="minorHAnsi"/>
        </w:rPr>
        <w:t xml:space="preserve">. </w:t>
      </w:r>
      <w:r w:rsidR="00B549D7">
        <w:rPr>
          <w:rFonts w:cstheme="minorHAnsi"/>
        </w:rPr>
        <w:t xml:space="preserve">As of April 2025, there are no dedicated criminal AI laws or rules governing </w:t>
      </w:r>
      <w:r>
        <w:rPr>
          <w:rFonts w:cstheme="minorHAnsi"/>
        </w:rPr>
        <w:t xml:space="preserve">the </w:t>
      </w:r>
      <w:r w:rsidR="00B549D7">
        <w:rPr>
          <w:rFonts w:cstheme="minorHAnsi"/>
        </w:rPr>
        <w:t>use or interpretation of criminal AI systems</w:t>
      </w:r>
      <w:r w:rsidR="00124640">
        <w:rPr>
          <w:rFonts w:cstheme="minorHAnsi"/>
        </w:rPr>
        <w:t xml:space="preserve"> by these organizations</w:t>
      </w:r>
      <w:r w:rsidR="00B549D7">
        <w:rPr>
          <w:rFonts w:cstheme="minorHAnsi"/>
        </w:rPr>
        <w:t xml:space="preserve">. </w:t>
      </w:r>
    </w:p>
    <w:p w14:paraId="7F29F10E" w14:textId="3CFCBAB7" w:rsidR="00B549D7" w:rsidRDefault="00B549D7" w:rsidP="00C35167">
      <w:pPr>
        <w:spacing w:after="0"/>
        <w:rPr>
          <w:rFonts w:cstheme="minorHAnsi"/>
        </w:rPr>
      </w:pPr>
      <w:r w:rsidRPr="006E227B">
        <w:rPr>
          <w:rFonts w:cstheme="minorHAnsi"/>
        </w:rPr>
        <w:t xml:space="preserve">Absent provincial action, </w:t>
      </w:r>
      <w:r>
        <w:rPr>
          <w:rFonts w:cstheme="minorHAnsi"/>
        </w:rPr>
        <w:t xml:space="preserve">any or all </w:t>
      </w:r>
      <w:r w:rsidR="00047DC2">
        <w:rPr>
          <w:rFonts w:cstheme="minorHAnsi"/>
        </w:rPr>
        <w:t xml:space="preserve">these </w:t>
      </w:r>
      <w:r>
        <w:rPr>
          <w:rFonts w:cstheme="minorHAnsi"/>
        </w:rPr>
        <w:t xml:space="preserve">institutions </w:t>
      </w:r>
      <w:r w:rsidRPr="006E227B">
        <w:rPr>
          <w:rFonts w:cstheme="minorHAnsi"/>
        </w:rPr>
        <w:t>will have to develop their own AI policies</w:t>
      </w:r>
      <w:r w:rsidR="00047DC2">
        <w:rPr>
          <w:rFonts w:cstheme="minorHAnsi"/>
        </w:rPr>
        <w:t xml:space="preserve">. These policies </w:t>
      </w:r>
      <w:r w:rsidRPr="006E227B">
        <w:rPr>
          <w:rFonts w:cstheme="minorHAnsi"/>
        </w:rPr>
        <w:t xml:space="preserve">may or may not </w:t>
      </w:r>
      <w:r w:rsidR="00047DC2">
        <w:rPr>
          <w:rFonts w:cstheme="minorHAnsi"/>
        </w:rPr>
        <w:t xml:space="preserve">be consistent, </w:t>
      </w:r>
      <w:r w:rsidRPr="006E227B">
        <w:rPr>
          <w:rFonts w:cstheme="minorHAnsi"/>
        </w:rPr>
        <w:t>conform with existing legal rules, protect rights</w:t>
      </w:r>
      <w:r w:rsidR="00047DC2">
        <w:rPr>
          <w:rFonts w:cstheme="minorHAnsi"/>
        </w:rPr>
        <w:t xml:space="preserve"> </w:t>
      </w:r>
      <w:r w:rsidRPr="006E227B">
        <w:rPr>
          <w:rFonts w:cstheme="minorHAnsi"/>
        </w:rPr>
        <w:t xml:space="preserve">or incorporate trustworthy criminal AI principles. </w:t>
      </w:r>
      <w:r w:rsidR="00047DC2">
        <w:rPr>
          <w:rFonts w:cstheme="minorHAnsi"/>
        </w:rPr>
        <w:t>Unfortunately, e</w:t>
      </w:r>
      <w:r w:rsidRPr="006E227B">
        <w:rPr>
          <w:rFonts w:cstheme="minorHAnsi"/>
        </w:rPr>
        <w:t xml:space="preserve">xperience </w:t>
      </w:r>
      <w:r w:rsidR="00047DC2">
        <w:rPr>
          <w:rFonts w:cstheme="minorHAnsi"/>
        </w:rPr>
        <w:t xml:space="preserve">suggests </w:t>
      </w:r>
      <w:r w:rsidRPr="006E227B">
        <w:rPr>
          <w:rFonts w:cstheme="minorHAnsi"/>
        </w:rPr>
        <w:t xml:space="preserve">that patchwork or sliding-scale </w:t>
      </w:r>
      <w:r w:rsidR="00047DC2">
        <w:rPr>
          <w:rFonts w:cstheme="minorHAnsi"/>
        </w:rPr>
        <w:t xml:space="preserve">criminal </w:t>
      </w:r>
      <w:r w:rsidRPr="006E227B">
        <w:rPr>
          <w:rFonts w:cstheme="minorHAnsi"/>
        </w:rPr>
        <w:t xml:space="preserve">AI rules </w:t>
      </w:r>
      <w:r>
        <w:rPr>
          <w:rFonts w:cstheme="minorHAnsi"/>
        </w:rPr>
        <w:t xml:space="preserve">may </w:t>
      </w:r>
      <w:r w:rsidRPr="006E227B">
        <w:rPr>
          <w:rFonts w:cstheme="minorHAnsi"/>
        </w:rPr>
        <w:t xml:space="preserve">put residents in some areas of the province at greater risk of AI discrimination, false arrest, privacy violations and more. </w:t>
      </w:r>
    </w:p>
    <w:p w14:paraId="780CD9DB" w14:textId="77777777" w:rsidR="00B549D7" w:rsidRPr="009A2FBA" w:rsidRDefault="00B549D7" w:rsidP="00C35167">
      <w:pPr>
        <w:spacing w:after="0"/>
        <w:rPr>
          <w:rFonts w:cstheme="minorHAnsi"/>
        </w:rPr>
      </w:pPr>
    </w:p>
    <w:p w14:paraId="07119B34" w14:textId="12953364" w:rsidR="00B549D7" w:rsidRPr="00F64420" w:rsidRDefault="00B549D7" w:rsidP="00F64420">
      <w:pPr>
        <w:pStyle w:val="Heading2"/>
        <w:rPr>
          <w:b w:val="0"/>
          <w:bCs/>
        </w:rPr>
      </w:pPr>
      <w:bookmarkStart w:id="57" w:name="_Toc188900928"/>
      <w:bookmarkStart w:id="58" w:name="_Toc188902194"/>
      <w:bookmarkStart w:id="59" w:name="_Toc194406408"/>
      <w:bookmarkStart w:id="60" w:name="_Toc195604719"/>
      <w:r w:rsidRPr="00F64420">
        <w:rPr>
          <w:b w:val="0"/>
          <w:bCs/>
        </w:rPr>
        <w:t>Guidance From Canadian Privacy Commissioners and Courts</w:t>
      </w:r>
      <w:bookmarkEnd w:id="57"/>
      <w:bookmarkEnd w:id="58"/>
      <w:bookmarkEnd w:id="59"/>
      <w:bookmarkEnd w:id="60"/>
    </w:p>
    <w:p w14:paraId="51243037" w14:textId="77777777" w:rsidR="00B549D7" w:rsidRDefault="00B549D7" w:rsidP="00C35167">
      <w:pPr>
        <w:spacing w:after="0"/>
        <w:rPr>
          <w:rFonts w:eastAsia="Times New Roman" w:cstheme="minorHAnsi"/>
          <w:color w:val="1A1A1A"/>
        </w:rPr>
      </w:pPr>
    </w:p>
    <w:p w14:paraId="497BC9C5" w14:textId="684F3852" w:rsidR="00B549D7" w:rsidRDefault="00B549D7" w:rsidP="00C35167">
      <w:pPr>
        <w:spacing w:after="0"/>
        <w:rPr>
          <w:rFonts w:cstheme="minorHAnsi"/>
          <w:sz w:val="24"/>
          <w:szCs w:val="24"/>
        </w:rPr>
      </w:pPr>
      <w:r w:rsidRPr="00114C91">
        <w:rPr>
          <w:rFonts w:eastAsia="Times New Roman" w:cstheme="minorHAnsi"/>
          <w:color w:val="1A1A1A"/>
        </w:rPr>
        <w:t xml:space="preserve">A final source of trustworthy </w:t>
      </w:r>
      <w:r w:rsidR="00124640">
        <w:rPr>
          <w:rFonts w:eastAsia="Times New Roman" w:cstheme="minorHAnsi"/>
          <w:color w:val="1A1A1A"/>
        </w:rPr>
        <w:t xml:space="preserve">criminal </w:t>
      </w:r>
      <w:r w:rsidRPr="00114C91">
        <w:rPr>
          <w:rFonts w:eastAsia="Times New Roman" w:cstheme="minorHAnsi"/>
          <w:color w:val="1A1A1A"/>
        </w:rPr>
        <w:t xml:space="preserve">AI policies </w:t>
      </w:r>
      <w:r w:rsidR="00124640">
        <w:rPr>
          <w:rFonts w:eastAsia="Times New Roman" w:cstheme="minorHAnsi"/>
          <w:color w:val="1A1A1A"/>
        </w:rPr>
        <w:t xml:space="preserve">are </w:t>
      </w:r>
      <w:r w:rsidRPr="00114C91">
        <w:rPr>
          <w:rFonts w:eastAsia="Times New Roman" w:cstheme="minorHAnsi"/>
          <w:color w:val="1A1A1A"/>
        </w:rPr>
        <w:t xml:space="preserve">Canadian </w:t>
      </w:r>
      <w:r>
        <w:rPr>
          <w:rFonts w:eastAsia="Times New Roman" w:cstheme="minorHAnsi"/>
          <w:color w:val="1A1A1A"/>
        </w:rPr>
        <w:t>P</w:t>
      </w:r>
      <w:r w:rsidRPr="00114C91">
        <w:rPr>
          <w:rFonts w:eastAsia="Times New Roman" w:cstheme="minorHAnsi"/>
          <w:color w:val="1A1A1A"/>
        </w:rPr>
        <w:t xml:space="preserve">rivacy </w:t>
      </w:r>
      <w:r>
        <w:rPr>
          <w:rFonts w:eastAsia="Times New Roman" w:cstheme="minorHAnsi"/>
          <w:color w:val="1A1A1A"/>
        </w:rPr>
        <w:t>C</w:t>
      </w:r>
      <w:r w:rsidRPr="00114C91">
        <w:rPr>
          <w:rFonts w:eastAsia="Times New Roman" w:cstheme="minorHAnsi"/>
          <w:color w:val="1A1A1A"/>
        </w:rPr>
        <w:t xml:space="preserve">ommissioners </w:t>
      </w:r>
      <w:r>
        <w:rPr>
          <w:rFonts w:eastAsia="Times New Roman" w:cstheme="minorHAnsi"/>
          <w:color w:val="1A1A1A"/>
        </w:rPr>
        <w:t xml:space="preserve">and </w:t>
      </w:r>
      <w:r w:rsidRPr="00114C91">
        <w:rPr>
          <w:rFonts w:eastAsia="Times New Roman" w:cstheme="minorHAnsi"/>
          <w:color w:val="1A1A1A"/>
        </w:rPr>
        <w:t>courts.</w:t>
      </w:r>
      <w:r w:rsidR="00BE6D0C">
        <w:rPr>
          <w:rFonts w:eastAsia="Times New Roman" w:cstheme="minorHAnsi"/>
          <w:color w:val="1A1A1A"/>
        </w:rPr>
        <w:t xml:space="preserve"> </w:t>
      </w:r>
    </w:p>
    <w:p w14:paraId="2CF86708" w14:textId="77777777" w:rsidR="00B549D7" w:rsidRPr="00AD0E88" w:rsidRDefault="00B549D7" w:rsidP="00077000">
      <w:pPr>
        <w:spacing w:after="0"/>
        <w:rPr>
          <w:rFonts w:cstheme="minorHAnsi"/>
        </w:rPr>
      </w:pPr>
    </w:p>
    <w:p w14:paraId="5A9F68BA" w14:textId="09DE3AF3" w:rsidR="00B549D7" w:rsidRPr="00077000" w:rsidRDefault="00B549D7" w:rsidP="00077000">
      <w:pPr>
        <w:spacing w:after="0"/>
      </w:pPr>
      <w:r w:rsidRPr="00AD0E88">
        <w:t xml:space="preserve">Canadian Privacy Commissioners have </w:t>
      </w:r>
      <w:r>
        <w:t xml:space="preserve">taken a prominent and important leadership role in promoting trustworthy criminal AI in Canada. To date, Privacy Commissioners </w:t>
      </w:r>
      <w:r w:rsidR="004548AC">
        <w:t xml:space="preserve">in Canada </w:t>
      </w:r>
      <w:r>
        <w:t xml:space="preserve">have </w:t>
      </w:r>
      <w:r w:rsidRPr="00AD0E88">
        <w:t xml:space="preserve">completed </w:t>
      </w:r>
      <w:r>
        <w:t xml:space="preserve">at least </w:t>
      </w:r>
      <w:r w:rsidR="004548AC">
        <w:t xml:space="preserve">five </w:t>
      </w:r>
      <w:r w:rsidRPr="00AD0E88">
        <w:t xml:space="preserve">studies </w:t>
      </w:r>
      <w:r w:rsidR="004548AC">
        <w:t xml:space="preserve">or reports </w:t>
      </w:r>
      <w:r w:rsidRPr="00AD0E88">
        <w:t>of FRT in Canadian policing</w:t>
      </w:r>
      <w:r>
        <w:t>.</w:t>
      </w:r>
      <w:r w:rsidR="00EC0C2B" w:rsidRPr="00DB3C0D">
        <w:rPr>
          <w:rStyle w:val="EndnoteReference"/>
          <w:rFonts w:cstheme="minorHAnsi"/>
          <w:sz w:val="24"/>
          <w:szCs w:val="24"/>
        </w:rPr>
        <w:endnoteReference w:id="61"/>
      </w:r>
      <w:r w:rsidR="00EC0C2B">
        <w:t xml:space="preserve"> </w:t>
      </w:r>
      <w:r>
        <w:t>These reports offe</w:t>
      </w:r>
      <w:r w:rsidR="006B0A40">
        <w:t xml:space="preserve">r </w:t>
      </w:r>
      <w:r>
        <w:t xml:space="preserve">detailed guidance on how police services can use AI systems while respecting privacy rights. </w:t>
      </w:r>
      <w:r>
        <w:rPr>
          <w:rFonts w:eastAsia="Times New Roman" w:cstheme="minorHAnsi"/>
          <w:color w:val="1A1A1A"/>
        </w:rPr>
        <w:t xml:space="preserve">The LCO expects Canadian Privacy Commissioners will continue to address criminal justice AI issues in the future. </w:t>
      </w:r>
    </w:p>
    <w:p w14:paraId="30819185" w14:textId="77777777" w:rsidR="00B549D7" w:rsidRDefault="00B549D7" w:rsidP="00077000">
      <w:pPr>
        <w:spacing w:after="0"/>
        <w:rPr>
          <w:rFonts w:eastAsia="Times New Roman" w:cstheme="minorHAnsi"/>
          <w:color w:val="1A1A1A"/>
        </w:rPr>
      </w:pPr>
    </w:p>
    <w:p w14:paraId="01B92321" w14:textId="5CC975B5" w:rsidR="00077000" w:rsidRDefault="00B549D7" w:rsidP="00077000">
      <w:pPr>
        <w:spacing w:after="0"/>
      </w:pPr>
      <w:r w:rsidRPr="003D634E">
        <w:t xml:space="preserve">In addition to the </w:t>
      </w:r>
      <w:r>
        <w:t>Privacy Commissioners</w:t>
      </w:r>
      <w:r w:rsidRPr="003D634E">
        <w:t xml:space="preserve">, several </w:t>
      </w:r>
      <w:r w:rsidR="006B0A40">
        <w:t xml:space="preserve">Canadian </w:t>
      </w:r>
      <w:r w:rsidRPr="003D634E">
        <w:t>courts have adopted AI policies. For example,</w:t>
      </w:r>
      <w:r>
        <w:rPr>
          <w:b/>
          <w:bCs/>
        </w:rPr>
        <w:t xml:space="preserve"> </w:t>
      </w:r>
      <w:r>
        <w:t>t</w:t>
      </w:r>
      <w:r w:rsidRPr="0036571D">
        <w:t>he Federal Court has adopted policies to guide the use of AI by the court and to direct the use of AI by parties and professionals appearing before the court.</w:t>
      </w:r>
      <w:r>
        <w:rPr>
          <w:rStyle w:val="EndnoteReference"/>
          <w:rFonts w:cstheme="minorHAnsi"/>
          <w:sz w:val="24"/>
          <w:szCs w:val="24"/>
        </w:rPr>
        <w:endnoteReference w:id="62"/>
      </w:r>
      <w:r w:rsidRPr="0036571D">
        <w:t xml:space="preserve"> Courts in </w:t>
      </w:r>
      <w:r w:rsidR="006B0A40">
        <w:t xml:space="preserve">Alberta, Manitoba, and Quebec </w:t>
      </w:r>
      <w:r w:rsidRPr="0036571D">
        <w:t xml:space="preserve">have adopted </w:t>
      </w:r>
      <w:r>
        <w:t xml:space="preserve">similar </w:t>
      </w:r>
      <w:r w:rsidRPr="0036571D">
        <w:t>policies.</w:t>
      </w:r>
      <w:r>
        <w:rPr>
          <w:rStyle w:val="EndnoteReference"/>
          <w:rFonts w:cstheme="minorHAnsi"/>
          <w:sz w:val="24"/>
          <w:szCs w:val="24"/>
        </w:rPr>
        <w:endnoteReference w:id="63"/>
      </w:r>
      <w:r w:rsidRPr="0036571D">
        <w:t xml:space="preserve"> </w:t>
      </w:r>
      <w:r w:rsidR="006B0A40">
        <w:t>Finally, t</w:t>
      </w:r>
      <w:r w:rsidRPr="007F15D1">
        <w:t xml:space="preserve">he Canadian Judicial Council </w:t>
      </w:r>
      <w:r>
        <w:t xml:space="preserve">has </w:t>
      </w:r>
      <w:r w:rsidRPr="007F15D1">
        <w:t xml:space="preserve">produced a thoughtful set of </w:t>
      </w:r>
      <w:r w:rsidRPr="007F15D1">
        <w:rPr>
          <w:i/>
          <w:iCs/>
        </w:rPr>
        <w:t>Guidelines for the Use of Artificial Intelligence in Canadian Courts</w:t>
      </w:r>
      <w:r w:rsidRPr="007F15D1">
        <w:t>.</w:t>
      </w:r>
      <w:r w:rsidRPr="007F15D1">
        <w:rPr>
          <w:rStyle w:val="EndnoteReference"/>
        </w:rPr>
        <w:endnoteReference w:id="64"/>
      </w:r>
      <w:r>
        <w:t xml:space="preserve"> </w:t>
      </w:r>
      <w:r w:rsidR="005D349A">
        <w:t>These guidelines emphasize the need to maintain and respect judicial independence if and when courts implement AI systems.</w:t>
      </w:r>
      <w:r w:rsidR="00BE6D0C">
        <w:t xml:space="preserve"> </w:t>
      </w:r>
      <w:bookmarkStart w:id="61" w:name="_Hlk145933197"/>
      <w:bookmarkStart w:id="62" w:name="_Toc173918241"/>
    </w:p>
    <w:p w14:paraId="3F879BCF" w14:textId="5E0F082A" w:rsidR="009F0A62" w:rsidRPr="007F15D1" w:rsidRDefault="009F0A62" w:rsidP="00077000">
      <w:pPr>
        <w:spacing w:after="0"/>
      </w:pPr>
      <w:r w:rsidRPr="007F15D1">
        <w:t xml:space="preserve"> </w:t>
      </w:r>
    </w:p>
    <w:p w14:paraId="1FD514C2" w14:textId="4791B1E0" w:rsidR="009F0A62" w:rsidRPr="008B55B6" w:rsidRDefault="009738E5" w:rsidP="009F0A62">
      <w:r>
        <w:lastRenderedPageBreak/>
        <w:t xml:space="preserve">Guidance from </w:t>
      </w:r>
      <w:r w:rsidR="009F0A62">
        <w:t>Privacy Commissioner</w:t>
      </w:r>
      <w:r>
        <w:t xml:space="preserve">s and </w:t>
      </w:r>
      <w:r w:rsidR="00B9245B">
        <w:t xml:space="preserve">courts </w:t>
      </w:r>
      <w:r w:rsidR="009F0A62" w:rsidRPr="00397030">
        <w:t xml:space="preserve">are important efforts to </w:t>
      </w:r>
      <w:r>
        <w:t xml:space="preserve">establish </w:t>
      </w:r>
      <w:r w:rsidR="009F0A62" w:rsidRPr="00397030">
        <w:t>trustworthy AI principles</w:t>
      </w:r>
      <w:r>
        <w:t xml:space="preserve"> in their respective domains. </w:t>
      </w:r>
      <w:r w:rsidR="00B9245B">
        <w:t>They do not, however, establish comprehensive accountability for criminal AI systems either nationally or provincially.</w:t>
      </w:r>
      <w:r w:rsidR="00BE6D0C">
        <w:t xml:space="preserve"> </w:t>
      </w:r>
    </w:p>
    <w:p w14:paraId="50D35029" w14:textId="77777777" w:rsidR="008B55B6" w:rsidRDefault="008B55B6" w:rsidP="009F0A62">
      <w:pPr>
        <w:rPr>
          <w:highlight w:val="yellow"/>
        </w:rPr>
      </w:pPr>
    </w:p>
    <w:p w14:paraId="07322B57" w14:textId="0D18F2CB" w:rsidR="003315DA" w:rsidRPr="002334C8" w:rsidRDefault="003315DA" w:rsidP="00965500">
      <w:pPr>
        <w:pStyle w:val="Heading1"/>
        <w:numPr>
          <w:ilvl w:val="0"/>
          <w:numId w:val="21"/>
        </w:numPr>
      </w:pPr>
      <w:bookmarkStart w:id="63" w:name="_Toc188900929"/>
      <w:bookmarkStart w:id="64" w:name="_Toc194406409"/>
      <w:bookmarkStart w:id="65" w:name="_Toc195604720"/>
      <w:bookmarkEnd w:id="61"/>
      <w:bookmarkEnd w:id="62"/>
      <w:r w:rsidRPr="002334C8">
        <w:t>Conclusion</w:t>
      </w:r>
      <w:bookmarkEnd w:id="63"/>
      <w:bookmarkEnd w:id="64"/>
      <w:bookmarkEnd w:id="65"/>
    </w:p>
    <w:p w14:paraId="054D9FF6" w14:textId="77777777" w:rsidR="00DD5082" w:rsidRDefault="00DD5082" w:rsidP="00DD5082">
      <w:pPr>
        <w:spacing w:after="0"/>
        <w:rPr>
          <w:lang w:eastAsia="en-CA"/>
        </w:rPr>
      </w:pPr>
    </w:p>
    <w:p w14:paraId="671E9956" w14:textId="53970920" w:rsidR="00DD5082" w:rsidRDefault="002334C8" w:rsidP="008960D2">
      <w:pPr>
        <w:spacing w:after="0"/>
      </w:pPr>
      <w:r>
        <w:rPr>
          <w:lang w:eastAsia="en-CA"/>
        </w:rPr>
        <w:t>T</w:t>
      </w:r>
      <w:r w:rsidR="00CD57CE">
        <w:rPr>
          <w:lang w:eastAsia="en-CA"/>
        </w:rPr>
        <w:t xml:space="preserve">here have been many positive developments in AI governance at the federal and provincial level in Canada. </w:t>
      </w:r>
      <w:r w:rsidR="008960D2">
        <w:t xml:space="preserve">To their credit, several Canadian police services, Privacy Commissioners and others have taken important initiatives to address criminal AI risks. </w:t>
      </w:r>
      <w:r w:rsidR="002F1814">
        <w:t xml:space="preserve">Unfortunately, there are still wide and consequential gaps in the legislative or legal framework governing </w:t>
      </w:r>
      <w:r>
        <w:t xml:space="preserve">criminal AI </w:t>
      </w:r>
      <w:r w:rsidR="002F1814">
        <w:t>systems, including:</w:t>
      </w:r>
      <w:r w:rsidR="002F1814">
        <w:rPr>
          <w:lang w:eastAsia="en-CA"/>
        </w:rPr>
        <w:t xml:space="preserve"> </w:t>
      </w:r>
    </w:p>
    <w:p w14:paraId="71AC8E16" w14:textId="77777777" w:rsidR="00DD5082" w:rsidRDefault="00DD5082" w:rsidP="008960D2">
      <w:pPr>
        <w:spacing w:after="0"/>
        <w:rPr>
          <w:lang w:eastAsia="en-CA"/>
        </w:rPr>
      </w:pPr>
    </w:p>
    <w:p w14:paraId="36A6332F" w14:textId="6067308B" w:rsidR="00F75E2B" w:rsidRPr="000365AD" w:rsidRDefault="00F75E2B" w:rsidP="00965500">
      <w:pPr>
        <w:pStyle w:val="ListParagraph"/>
        <w:numPr>
          <w:ilvl w:val="0"/>
          <w:numId w:val="12"/>
        </w:numPr>
        <w:rPr>
          <w:rFonts w:ascii="Calibri" w:hAnsi="Calibri" w:cs="Calibri"/>
          <w:lang w:eastAsia="en-CA"/>
        </w:rPr>
      </w:pPr>
      <w:r w:rsidRPr="000365AD">
        <w:rPr>
          <w:rFonts w:ascii="Calibri" w:hAnsi="Calibri" w:cs="Calibri"/>
          <w:b/>
          <w:bCs/>
          <w:lang w:eastAsia="en-CA"/>
        </w:rPr>
        <w:t>Lack of mandatory and consistent disclosure requirements.</w:t>
      </w:r>
      <w:r w:rsidRPr="000365AD">
        <w:rPr>
          <w:rFonts w:ascii="Calibri" w:hAnsi="Calibri" w:cs="Calibri"/>
          <w:lang w:eastAsia="en-CA"/>
        </w:rPr>
        <w:t xml:space="preserve"> At present, </w:t>
      </w:r>
      <w:r w:rsidR="00CB4502" w:rsidRPr="000365AD">
        <w:rPr>
          <w:rFonts w:ascii="Calibri" w:hAnsi="Calibri" w:cs="Calibri"/>
          <w:lang w:eastAsia="en-CA"/>
        </w:rPr>
        <w:t xml:space="preserve">the overwhelming majority of </w:t>
      </w:r>
      <w:r w:rsidRPr="000365AD">
        <w:rPr>
          <w:rFonts w:ascii="Calibri" w:hAnsi="Calibri" w:cs="Calibri"/>
          <w:lang w:eastAsia="en-CA"/>
        </w:rPr>
        <w:t>police service</w:t>
      </w:r>
      <w:r w:rsidR="004378E4" w:rsidRPr="000365AD">
        <w:rPr>
          <w:rFonts w:ascii="Calibri" w:hAnsi="Calibri" w:cs="Calibri"/>
          <w:lang w:eastAsia="en-CA"/>
        </w:rPr>
        <w:t>s</w:t>
      </w:r>
      <w:r w:rsidRPr="000365AD">
        <w:rPr>
          <w:rFonts w:ascii="Calibri" w:hAnsi="Calibri" w:cs="Calibri"/>
          <w:lang w:eastAsia="en-CA"/>
        </w:rPr>
        <w:t xml:space="preserve"> in Ontario could implement predictive policing, FRT or other forms of AI without having to disclose </w:t>
      </w:r>
      <w:r w:rsidR="00CB4502" w:rsidRPr="000365AD">
        <w:rPr>
          <w:rFonts w:ascii="Calibri" w:hAnsi="Calibri" w:cs="Calibri"/>
          <w:lang w:eastAsia="en-CA"/>
        </w:rPr>
        <w:t>those s</w:t>
      </w:r>
      <w:r w:rsidRPr="000365AD">
        <w:rPr>
          <w:rFonts w:ascii="Calibri" w:hAnsi="Calibri" w:cs="Calibri"/>
          <w:lang w:eastAsia="en-CA"/>
        </w:rPr>
        <w:t>ystem</w:t>
      </w:r>
      <w:r w:rsidR="00CB4502" w:rsidRPr="000365AD">
        <w:rPr>
          <w:rFonts w:ascii="Calibri" w:hAnsi="Calibri" w:cs="Calibri"/>
          <w:lang w:eastAsia="en-CA"/>
        </w:rPr>
        <w:t>s</w:t>
      </w:r>
      <w:r w:rsidRPr="000365AD">
        <w:rPr>
          <w:rFonts w:ascii="Calibri" w:hAnsi="Calibri" w:cs="Calibri"/>
          <w:lang w:eastAsia="en-CA"/>
        </w:rPr>
        <w:t xml:space="preserve"> publicly. </w:t>
      </w:r>
    </w:p>
    <w:p w14:paraId="210659C8" w14:textId="03407BC3" w:rsidR="00F75E2B" w:rsidRDefault="00F75E2B" w:rsidP="00965500">
      <w:pPr>
        <w:pStyle w:val="ListParagraph"/>
        <w:numPr>
          <w:ilvl w:val="0"/>
          <w:numId w:val="12"/>
        </w:numPr>
        <w:rPr>
          <w:rFonts w:ascii="Calibri" w:hAnsi="Calibri" w:cs="Calibri"/>
          <w:lang w:eastAsia="en-CA"/>
        </w:rPr>
      </w:pPr>
      <w:r w:rsidRPr="000365AD">
        <w:rPr>
          <w:rFonts w:ascii="Calibri" w:hAnsi="Calibri" w:cs="Calibri"/>
          <w:b/>
          <w:bCs/>
          <w:lang w:eastAsia="en-CA"/>
        </w:rPr>
        <w:t xml:space="preserve">Lack of </w:t>
      </w:r>
      <w:r w:rsidR="004D109A">
        <w:rPr>
          <w:rFonts w:ascii="Calibri" w:hAnsi="Calibri" w:cs="Calibri"/>
          <w:b/>
          <w:bCs/>
          <w:lang w:eastAsia="en-CA"/>
        </w:rPr>
        <w:t xml:space="preserve">criminal </w:t>
      </w:r>
      <w:r w:rsidRPr="000365AD">
        <w:rPr>
          <w:rFonts w:ascii="Calibri" w:hAnsi="Calibri" w:cs="Calibri"/>
          <w:b/>
          <w:bCs/>
          <w:lang w:eastAsia="en-CA"/>
        </w:rPr>
        <w:t xml:space="preserve">AI </w:t>
      </w:r>
      <w:r w:rsidR="00F91731" w:rsidRPr="000365AD">
        <w:rPr>
          <w:rFonts w:ascii="Calibri" w:hAnsi="Calibri" w:cs="Calibri"/>
          <w:b/>
          <w:bCs/>
          <w:lang w:eastAsia="en-CA"/>
        </w:rPr>
        <w:t xml:space="preserve">prohibitions, </w:t>
      </w:r>
      <w:r w:rsidRPr="000365AD">
        <w:rPr>
          <w:rFonts w:ascii="Calibri" w:hAnsi="Calibri" w:cs="Calibri"/>
          <w:b/>
          <w:bCs/>
          <w:lang w:eastAsia="en-CA"/>
        </w:rPr>
        <w:t>“guardrails”</w:t>
      </w:r>
      <w:r w:rsidR="004D109A">
        <w:rPr>
          <w:rFonts w:ascii="Calibri" w:hAnsi="Calibri" w:cs="Calibri"/>
          <w:b/>
          <w:bCs/>
          <w:lang w:eastAsia="en-CA"/>
        </w:rPr>
        <w:t xml:space="preserve"> or </w:t>
      </w:r>
      <w:r w:rsidRPr="000365AD">
        <w:rPr>
          <w:rFonts w:ascii="Calibri" w:hAnsi="Calibri" w:cs="Calibri"/>
          <w:b/>
          <w:bCs/>
          <w:lang w:eastAsia="en-CA"/>
        </w:rPr>
        <w:t>consistent risk criteria.</w:t>
      </w:r>
      <w:r w:rsidRPr="000365AD">
        <w:rPr>
          <w:rFonts w:ascii="Calibri" w:hAnsi="Calibri" w:cs="Calibri"/>
          <w:lang w:eastAsia="en-CA"/>
        </w:rPr>
        <w:t xml:space="preserve"> In Ontario, there are no legal “guardrails” prohibiting </w:t>
      </w:r>
      <w:r w:rsidR="00CB4502" w:rsidRPr="000365AD">
        <w:rPr>
          <w:rFonts w:ascii="Calibri" w:hAnsi="Calibri" w:cs="Calibri"/>
          <w:lang w:eastAsia="en-CA"/>
        </w:rPr>
        <w:t>or</w:t>
      </w:r>
      <w:r w:rsidR="006D0971" w:rsidRPr="000365AD">
        <w:rPr>
          <w:rFonts w:ascii="Calibri" w:hAnsi="Calibri" w:cs="Calibri"/>
          <w:lang w:eastAsia="en-CA"/>
        </w:rPr>
        <w:t xml:space="preserve"> regulating </w:t>
      </w:r>
      <w:r w:rsidRPr="000365AD">
        <w:rPr>
          <w:rFonts w:ascii="Calibri" w:hAnsi="Calibri" w:cs="Calibri"/>
          <w:lang w:eastAsia="en-CA"/>
        </w:rPr>
        <w:t>the highest risks criminal AI systems, such as real time mass surveillance</w:t>
      </w:r>
      <w:r w:rsidR="006D0971" w:rsidRPr="000365AD">
        <w:rPr>
          <w:rFonts w:ascii="Calibri" w:hAnsi="Calibri" w:cs="Calibri"/>
          <w:lang w:eastAsia="en-CA"/>
        </w:rPr>
        <w:t xml:space="preserve"> and predictive policing</w:t>
      </w:r>
      <w:r w:rsidRPr="000365AD">
        <w:rPr>
          <w:rFonts w:ascii="Calibri" w:hAnsi="Calibri" w:cs="Calibri"/>
          <w:lang w:eastAsia="en-CA"/>
        </w:rPr>
        <w:t xml:space="preserve">. Nor are there transparent </w:t>
      </w:r>
      <w:r w:rsidR="004378E4" w:rsidRPr="000365AD">
        <w:rPr>
          <w:rFonts w:ascii="Calibri" w:hAnsi="Calibri" w:cs="Calibri"/>
          <w:lang w:eastAsia="en-CA"/>
        </w:rPr>
        <w:t xml:space="preserve">and consistent </w:t>
      </w:r>
      <w:r w:rsidRPr="000365AD">
        <w:rPr>
          <w:rFonts w:ascii="Calibri" w:hAnsi="Calibri" w:cs="Calibri"/>
          <w:lang w:eastAsia="en-CA"/>
        </w:rPr>
        <w:t>risk categories to consistently identify criminal AI risks and mitigation strategies.</w:t>
      </w:r>
    </w:p>
    <w:p w14:paraId="0BAF20FB" w14:textId="1384327F" w:rsidR="00F75E2B" w:rsidRPr="000365AD" w:rsidRDefault="00F75E2B" w:rsidP="00965500">
      <w:pPr>
        <w:pStyle w:val="ListParagraph"/>
        <w:numPr>
          <w:ilvl w:val="0"/>
          <w:numId w:val="12"/>
        </w:numPr>
        <w:rPr>
          <w:rFonts w:ascii="Calibri" w:hAnsi="Calibri" w:cs="Calibri"/>
          <w:lang w:eastAsia="en-CA"/>
        </w:rPr>
      </w:pPr>
      <w:r w:rsidRPr="000365AD">
        <w:rPr>
          <w:rFonts w:ascii="Calibri" w:hAnsi="Calibri" w:cs="Calibri"/>
          <w:b/>
          <w:bCs/>
          <w:lang w:eastAsia="en-CA"/>
        </w:rPr>
        <w:t>Lack of mandatory impact assessments.</w:t>
      </w:r>
      <w:r w:rsidRPr="000365AD">
        <w:rPr>
          <w:rFonts w:ascii="Calibri" w:hAnsi="Calibri" w:cs="Calibri"/>
          <w:lang w:eastAsia="en-CA"/>
        </w:rPr>
        <w:t xml:space="preserve"> There is no provincial obligation for any actor in the criminal justice system to assess the impact of an AI system on </w:t>
      </w:r>
      <w:r w:rsidR="006D0971" w:rsidRPr="000365AD">
        <w:rPr>
          <w:rFonts w:ascii="Calibri" w:hAnsi="Calibri" w:cs="Calibri"/>
          <w:i/>
          <w:iCs/>
          <w:lang w:eastAsia="en-CA"/>
        </w:rPr>
        <w:t>Charter</w:t>
      </w:r>
      <w:r w:rsidR="006D0971" w:rsidRPr="000365AD">
        <w:rPr>
          <w:rFonts w:ascii="Calibri" w:hAnsi="Calibri" w:cs="Calibri"/>
          <w:lang w:eastAsia="en-CA"/>
        </w:rPr>
        <w:t xml:space="preserve"> rights, </w:t>
      </w:r>
      <w:r w:rsidRPr="000365AD">
        <w:rPr>
          <w:rFonts w:ascii="Calibri" w:hAnsi="Calibri" w:cs="Calibri"/>
          <w:lang w:eastAsia="en-CA"/>
        </w:rPr>
        <w:t xml:space="preserve">human rights, </w:t>
      </w:r>
      <w:r w:rsidR="006D0971" w:rsidRPr="000365AD">
        <w:rPr>
          <w:rFonts w:ascii="Calibri" w:hAnsi="Calibri" w:cs="Calibri"/>
          <w:lang w:eastAsia="en-CA"/>
        </w:rPr>
        <w:t>privacy</w:t>
      </w:r>
      <w:r w:rsidR="008960D2">
        <w:rPr>
          <w:rFonts w:ascii="Calibri" w:hAnsi="Calibri" w:cs="Calibri"/>
          <w:lang w:eastAsia="en-CA"/>
        </w:rPr>
        <w:t xml:space="preserve"> </w:t>
      </w:r>
      <w:r w:rsidRPr="000365AD">
        <w:rPr>
          <w:rFonts w:ascii="Calibri" w:hAnsi="Calibri" w:cs="Calibri"/>
          <w:lang w:eastAsia="en-CA"/>
        </w:rPr>
        <w:t>or procedural justice.</w:t>
      </w:r>
    </w:p>
    <w:p w14:paraId="5712F786" w14:textId="3FB44AE8" w:rsidR="006D0971" w:rsidRPr="000365AD" w:rsidRDefault="006D0971" w:rsidP="00965500">
      <w:pPr>
        <w:pStyle w:val="ListParagraph"/>
        <w:numPr>
          <w:ilvl w:val="0"/>
          <w:numId w:val="4"/>
        </w:numPr>
        <w:spacing w:after="240" w:line="240" w:lineRule="auto"/>
      </w:pPr>
      <w:r w:rsidRPr="000365AD">
        <w:rPr>
          <w:rFonts w:ascii="Calibri" w:hAnsi="Calibri" w:cs="Calibri"/>
          <w:b/>
          <w:bCs/>
          <w:lang w:eastAsia="en-CA"/>
        </w:rPr>
        <w:t>Lack of criminal procedural protections.</w:t>
      </w:r>
      <w:r w:rsidRPr="000365AD">
        <w:rPr>
          <w:rFonts w:ascii="Calibri" w:hAnsi="Calibri" w:cs="Calibri"/>
          <w:lang w:eastAsia="en-CA"/>
        </w:rPr>
        <w:t xml:space="preserve"> </w:t>
      </w:r>
      <w:r w:rsidR="00CB4502" w:rsidRPr="000365AD">
        <w:rPr>
          <w:rFonts w:ascii="Calibri" w:hAnsi="Calibri" w:cs="Calibri"/>
          <w:lang w:eastAsia="en-CA"/>
        </w:rPr>
        <w:t>In Canada</w:t>
      </w:r>
      <w:r w:rsidR="004D109A">
        <w:rPr>
          <w:rFonts w:ascii="Calibri" w:hAnsi="Calibri" w:cs="Calibri"/>
          <w:lang w:eastAsia="en-CA"/>
        </w:rPr>
        <w:t xml:space="preserve"> (and by extension, Ontario)</w:t>
      </w:r>
      <w:r w:rsidR="00CB4502" w:rsidRPr="000365AD">
        <w:rPr>
          <w:rFonts w:ascii="Calibri" w:hAnsi="Calibri" w:cs="Calibri"/>
          <w:lang w:eastAsia="en-CA"/>
        </w:rPr>
        <w:t xml:space="preserve">, </w:t>
      </w:r>
      <w:r w:rsidRPr="000365AD">
        <w:rPr>
          <w:rFonts w:ascii="Calibri" w:hAnsi="Calibri" w:cs="Calibri"/>
          <w:lang w:eastAsia="en-CA"/>
        </w:rPr>
        <w:t xml:space="preserve">there are no </w:t>
      </w:r>
      <w:r w:rsidR="00CB4502" w:rsidRPr="000365AD">
        <w:rPr>
          <w:rFonts w:ascii="Calibri" w:hAnsi="Calibri" w:cs="Calibri"/>
          <w:lang w:eastAsia="en-CA"/>
        </w:rPr>
        <w:t xml:space="preserve">explicit </w:t>
      </w:r>
      <w:r w:rsidRPr="000365AD">
        <w:rPr>
          <w:rFonts w:ascii="Calibri" w:hAnsi="Calibri" w:cs="Calibri"/>
          <w:lang w:eastAsia="en-CA"/>
        </w:rPr>
        <w:t xml:space="preserve">procedural </w:t>
      </w:r>
      <w:r w:rsidRPr="000365AD">
        <w:t>protections</w:t>
      </w:r>
      <w:r w:rsidR="00CB4502" w:rsidRPr="000365AD">
        <w:t xml:space="preserve"> governing police or court use of </w:t>
      </w:r>
      <w:r w:rsidR="00F91731" w:rsidRPr="000365AD">
        <w:t>high-risk</w:t>
      </w:r>
      <w:r w:rsidR="00CB4502" w:rsidRPr="000365AD">
        <w:t xml:space="preserve"> </w:t>
      </w:r>
      <w:r w:rsidR="004D109A">
        <w:t xml:space="preserve">criminal </w:t>
      </w:r>
      <w:r w:rsidR="00CB4502" w:rsidRPr="000365AD">
        <w:t xml:space="preserve">AI </w:t>
      </w:r>
      <w:r w:rsidR="00F91731" w:rsidRPr="000365AD">
        <w:t>systems</w:t>
      </w:r>
      <w:r w:rsidR="002334C8">
        <w:t xml:space="preserve">, such as </w:t>
      </w:r>
      <w:r w:rsidRPr="000365AD">
        <w:t xml:space="preserve">warrant requirements for high-risk </w:t>
      </w:r>
      <w:r w:rsidR="00F91731" w:rsidRPr="000365AD">
        <w:t xml:space="preserve">AI </w:t>
      </w:r>
      <w:r w:rsidRPr="000365AD">
        <w:t>systems</w:t>
      </w:r>
      <w:r w:rsidR="00564F98">
        <w:t xml:space="preserve">. There </w:t>
      </w:r>
      <w:r w:rsidR="00047DC2">
        <w:t xml:space="preserve">are also no policies or programs </w:t>
      </w:r>
      <w:r w:rsidR="00564F98">
        <w:t xml:space="preserve">to ensure </w:t>
      </w:r>
      <w:r w:rsidR="00047DC2">
        <w:t xml:space="preserve">the </w:t>
      </w:r>
      <w:r w:rsidR="00CB210B">
        <w:t>right</w:t>
      </w:r>
      <w:r w:rsidR="00047DC2">
        <w:t xml:space="preserve"> </w:t>
      </w:r>
      <w:r w:rsidR="00CB210B">
        <w:t xml:space="preserve">to a </w:t>
      </w:r>
      <w:r w:rsidR="00564F98">
        <w:t>full defence</w:t>
      </w:r>
      <w:r w:rsidR="00047DC2">
        <w:t xml:space="preserve">, effective legal representation or </w:t>
      </w:r>
      <w:r w:rsidR="00564F98">
        <w:t>access to justice</w:t>
      </w:r>
      <w:r w:rsidR="00CB210B">
        <w:t>.</w:t>
      </w:r>
      <w:r w:rsidR="00564F98">
        <w:t xml:space="preserve"> </w:t>
      </w:r>
    </w:p>
    <w:p w14:paraId="5890F00F" w14:textId="5AEE4E58" w:rsidR="00F75E2B" w:rsidRPr="000365AD" w:rsidRDefault="00F75E2B" w:rsidP="00965500">
      <w:pPr>
        <w:pStyle w:val="ListParagraph"/>
        <w:numPr>
          <w:ilvl w:val="0"/>
          <w:numId w:val="12"/>
        </w:numPr>
        <w:rPr>
          <w:rFonts w:ascii="Calibri" w:hAnsi="Calibri" w:cs="Calibri"/>
          <w:lang w:eastAsia="en-CA"/>
        </w:rPr>
      </w:pPr>
      <w:r w:rsidRPr="000365AD">
        <w:rPr>
          <w:rFonts w:ascii="Calibri" w:hAnsi="Calibri" w:cs="Calibri"/>
          <w:b/>
          <w:bCs/>
          <w:lang w:eastAsia="en-CA"/>
        </w:rPr>
        <w:t xml:space="preserve">Lack of mandatory obligation to test, audit or evaluate </w:t>
      </w:r>
      <w:r w:rsidR="004D109A">
        <w:rPr>
          <w:rFonts w:ascii="Calibri" w:hAnsi="Calibri" w:cs="Calibri"/>
          <w:b/>
          <w:bCs/>
          <w:lang w:eastAsia="en-CA"/>
        </w:rPr>
        <w:t xml:space="preserve">criminal </w:t>
      </w:r>
      <w:r w:rsidRPr="000365AD">
        <w:rPr>
          <w:rFonts w:ascii="Calibri" w:hAnsi="Calibri" w:cs="Calibri"/>
          <w:b/>
          <w:bCs/>
          <w:lang w:eastAsia="en-CA"/>
        </w:rPr>
        <w:t>AI systems.</w:t>
      </w:r>
      <w:r w:rsidRPr="000365AD">
        <w:rPr>
          <w:rFonts w:ascii="Calibri" w:hAnsi="Calibri" w:cs="Calibri"/>
          <w:lang w:eastAsia="en-CA"/>
        </w:rPr>
        <w:t xml:space="preserve"> An AI system could be implemented in Ontario’s criminal justice </w:t>
      </w:r>
      <w:r w:rsidR="004D109A">
        <w:rPr>
          <w:rFonts w:ascii="Calibri" w:hAnsi="Calibri" w:cs="Calibri"/>
          <w:lang w:eastAsia="en-CA"/>
        </w:rPr>
        <w:t xml:space="preserve">system </w:t>
      </w:r>
      <w:r w:rsidRPr="000365AD">
        <w:rPr>
          <w:rFonts w:ascii="Calibri" w:hAnsi="Calibri" w:cs="Calibri"/>
          <w:lang w:eastAsia="en-CA"/>
        </w:rPr>
        <w:t>without a duty to audit or evaluate its accuracy, bias</w:t>
      </w:r>
      <w:r w:rsidR="00564F98">
        <w:rPr>
          <w:rFonts w:ascii="Calibri" w:hAnsi="Calibri" w:cs="Calibri"/>
          <w:lang w:eastAsia="en-CA"/>
        </w:rPr>
        <w:t>, validity, reliability, admissibility</w:t>
      </w:r>
      <w:r w:rsidRPr="000365AD">
        <w:rPr>
          <w:rFonts w:ascii="Calibri" w:hAnsi="Calibri" w:cs="Calibri"/>
          <w:lang w:eastAsia="en-CA"/>
        </w:rPr>
        <w:t xml:space="preserve"> or effectiveness.</w:t>
      </w:r>
    </w:p>
    <w:p w14:paraId="2F00648D" w14:textId="56639549" w:rsidR="004378E4" w:rsidRPr="000365AD" w:rsidRDefault="00F75E2B" w:rsidP="00965500">
      <w:pPr>
        <w:pStyle w:val="ListParagraph"/>
        <w:numPr>
          <w:ilvl w:val="0"/>
          <w:numId w:val="12"/>
        </w:numPr>
        <w:rPr>
          <w:rFonts w:ascii="Calibri" w:hAnsi="Calibri" w:cs="Calibri"/>
          <w:lang w:eastAsia="en-CA"/>
        </w:rPr>
      </w:pPr>
      <w:r w:rsidRPr="000365AD">
        <w:rPr>
          <w:rFonts w:ascii="Calibri" w:hAnsi="Calibri" w:cs="Calibri"/>
          <w:b/>
          <w:bCs/>
          <w:lang w:eastAsia="en-CA"/>
        </w:rPr>
        <w:t>Lack of obligation to undertake public consultations.</w:t>
      </w:r>
      <w:r w:rsidRPr="000365AD">
        <w:rPr>
          <w:rFonts w:ascii="Calibri" w:hAnsi="Calibri" w:cs="Calibri"/>
          <w:lang w:eastAsia="en-CA"/>
        </w:rPr>
        <w:t xml:space="preserve"> </w:t>
      </w:r>
      <w:r w:rsidR="00DD5082">
        <w:rPr>
          <w:rFonts w:ascii="Calibri" w:hAnsi="Calibri" w:cs="Calibri"/>
          <w:lang w:eastAsia="en-CA"/>
        </w:rPr>
        <w:t xml:space="preserve">But for the Toronto Police Service, </w:t>
      </w:r>
      <w:r w:rsidRPr="000365AD">
        <w:rPr>
          <w:rFonts w:ascii="Calibri" w:hAnsi="Calibri" w:cs="Calibri"/>
          <w:lang w:eastAsia="en-CA"/>
        </w:rPr>
        <w:t xml:space="preserve">there is no obligation in Ontario to consult publicly </w:t>
      </w:r>
      <w:r w:rsidR="002334C8">
        <w:rPr>
          <w:rFonts w:ascii="Calibri" w:hAnsi="Calibri" w:cs="Calibri"/>
          <w:lang w:eastAsia="en-CA"/>
        </w:rPr>
        <w:t xml:space="preserve">on </w:t>
      </w:r>
      <w:r w:rsidRPr="000365AD">
        <w:rPr>
          <w:rFonts w:ascii="Calibri" w:hAnsi="Calibri" w:cs="Calibri"/>
          <w:lang w:eastAsia="en-CA"/>
        </w:rPr>
        <w:t xml:space="preserve">AI systems </w:t>
      </w:r>
      <w:r w:rsidR="002334C8">
        <w:rPr>
          <w:rFonts w:ascii="Calibri" w:hAnsi="Calibri" w:cs="Calibri"/>
          <w:lang w:eastAsia="en-CA"/>
        </w:rPr>
        <w:t xml:space="preserve">used </w:t>
      </w:r>
      <w:r w:rsidRPr="000365AD">
        <w:rPr>
          <w:rFonts w:ascii="Calibri" w:hAnsi="Calibri" w:cs="Calibri"/>
          <w:lang w:eastAsia="en-CA"/>
        </w:rPr>
        <w:t xml:space="preserve">in criminal justice. </w:t>
      </w:r>
    </w:p>
    <w:p w14:paraId="0F8153B1" w14:textId="40D7B1EE" w:rsidR="001A5985" w:rsidRPr="008960D2" w:rsidRDefault="001A5985" w:rsidP="001A5985">
      <w:r w:rsidRPr="000365AD">
        <w:rPr>
          <w:rFonts w:cstheme="minorHAnsi"/>
        </w:rPr>
        <w:t xml:space="preserve">The LCO acknowledges that these are comparatively early days for </w:t>
      </w:r>
      <w:r>
        <w:rPr>
          <w:rFonts w:cstheme="minorHAnsi"/>
        </w:rPr>
        <w:t xml:space="preserve">criminal </w:t>
      </w:r>
      <w:r w:rsidRPr="000365AD">
        <w:rPr>
          <w:rFonts w:cstheme="minorHAnsi"/>
        </w:rPr>
        <w:t>AI regulation in Ontario</w:t>
      </w:r>
      <w:r>
        <w:rPr>
          <w:rFonts w:cstheme="minorHAnsi"/>
        </w:rPr>
        <w:t xml:space="preserve"> and across Canada</w:t>
      </w:r>
      <w:r w:rsidRPr="000365AD">
        <w:rPr>
          <w:rFonts w:cstheme="minorHAnsi"/>
        </w:rPr>
        <w:t xml:space="preserve">. </w:t>
      </w:r>
      <w:r>
        <w:rPr>
          <w:rFonts w:cstheme="minorHAnsi"/>
        </w:rPr>
        <w:t xml:space="preserve">The federal Directive and AIA, </w:t>
      </w:r>
      <w:r>
        <w:rPr>
          <w:i/>
          <w:iCs/>
        </w:rPr>
        <w:t>EDSTA</w:t>
      </w:r>
      <w:r w:rsidRPr="000365AD">
        <w:rPr>
          <w:rFonts w:cstheme="minorHAnsi"/>
        </w:rPr>
        <w:t>, the Ontario AI Directive, and TPS AI Policies were all adopted within the last few years.</w:t>
      </w:r>
      <w:r w:rsidR="008960D2">
        <w:t xml:space="preserve"> That said, Canadian and provincial policymakers are far behind their international counterparts</w:t>
      </w:r>
      <w:r w:rsidR="00047DC2">
        <w:t xml:space="preserve"> </w:t>
      </w:r>
      <w:r w:rsidR="00B54C76">
        <w:t xml:space="preserve">in establishing governance tools to address this fast moving </w:t>
      </w:r>
      <w:r w:rsidR="00047DC2">
        <w:t>technology</w:t>
      </w:r>
      <w:r w:rsidR="008960D2">
        <w:t xml:space="preserve">. </w:t>
      </w:r>
    </w:p>
    <w:p w14:paraId="7CA8C0A6" w14:textId="55AE1D2F" w:rsidR="006659AB" w:rsidRPr="000365AD" w:rsidRDefault="003C247D" w:rsidP="00781EC9">
      <w:pPr>
        <w:spacing w:after="0"/>
        <w:rPr>
          <w:lang w:eastAsia="en-CA"/>
        </w:rPr>
      </w:pPr>
      <w:r>
        <w:rPr>
          <w:lang w:eastAsia="en-CA"/>
        </w:rPr>
        <w:t xml:space="preserve">It is not </w:t>
      </w:r>
      <w:r w:rsidR="001A5985">
        <w:rPr>
          <w:lang w:eastAsia="en-CA"/>
        </w:rPr>
        <w:t xml:space="preserve">too early to ask </w:t>
      </w:r>
      <w:r w:rsidR="006659AB" w:rsidRPr="000365AD">
        <w:t xml:space="preserve">what </w:t>
      </w:r>
      <w:r>
        <w:t xml:space="preserve">could </w:t>
      </w:r>
      <w:r w:rsidR="006659AB" w:rsidRPr="000365AD">
        <w:t xml:space="preserve">happen if governments </w:t>
      </w:r>
      <w:r w:rsidR="001A5985">
        <w:t xml:space="preserve">do not </w:t>
      </w:r>
      <w:r w:rsidR="006659AB" w:rsidRPr="000365AD">
        <w:t xml:space="preserve">regulate criminal justice AI systems. This is not a hypothetical question. Criminal AI systems have been </w:t>
      </w:r>
      <w:r w:rsidR="00EF5F8A">
        <w:t xml:space="preserve">used </w:t>
      </w:r>
      <w:r w:rsidR="006659AB" w:rsidRPr="000365AD">
        <w:t>in other jurisdictions for several years. Policymakers thus have a detailed record of well-documented and widely publicized risks and harms, including:</w:t>
      </w:r>
    </w:p>
    <w:p w14:paraId="1D94E07D" w14:textId="77777777" w:rsidR="00781EC9" w:rsidRPr="000365AD" w:rsidRDefault="00781EC9" w:rsidP="00781EC9">
      <w:pPr>
        <w:spacing w:after="0"/>
      </w:pPr>
    </w:p>
    <w:p w14:paraId="70F398A3" w14:textId="77777777" w:rsidR="006659AB" w:rsidRPr="000365AD" w:rsidRDefault="006659AB" w:rsidP="00965500">
      <w:pPr>
        <w:pStyle w:val="ListParagraph"/>
        <w:numPr>
          <w:ilvl w:val="0"/>
          <w:numId w:val="9"/>
        </w:numPr>
      </w:pPr>
      <w:r w:rsidRPr="000365AD">
        <w:t>Risk of false arrest or imprisonment.</w:t>
      </w:r>
    </w:p>
    <w:p w14:paraId="4C339A7A" w14:textId="012DF6D8" w:rsidR="006659AB" w:rsidRPr="000365AD" w:rsidRDefault="006659AB" w:rsidP="00965500">
      <w:pPr>
        <w:pStyle w:val="ListParagraph"/>
        <w:numPr>
          <w:ilvl w:val="0"/>
          <w:numId w:val="9"/>
        </w:numPr>
      </w:pPr>
      <w:r w:rsidRPr="000365AD">
        <w:t>Data bias and discrim</w:t>
      </w:r>
      <w:r w:rsidR="0059417A" w:rsidRPr="000365AD">
        <w:t>in</w:t>
      </w:r>
      <w:r w:rsidRPr="000365AD">
        <w:t>ation.</w:t>
      </w:r>
    </w:p>
    <w:p w14:paraId="72BA1E7F" w14:textId="77777777" w:rsidR="006659AB" w:rsidRPr="000365AD" w:rsidRDefault="006659AB" w:rsidP="00965500">
      <w:pPr>
        <w:pStyle w:val="ListParagraph"/>
        <w:numPr>
          <w:ilvl w:val="0"/>
          <w:numId w:val="9"/>
        </w:numPr>
      </w:pPr>
      <w:r w:rsidRPr="000365AD">
        <w:lastRenderedPageBreak/>
        <w:t>Lack of legal accountability.</w:t>
      </w:r>
    </w:p>
    <w:p w14:paraId="6930E8B8" w14:textId="77777777" w:rsidR="006659AB" w:rsidRPr="000365AD" w:rsidRDefault="006659AB" w:rsidP="00965500">
      <w:pPr>
        <w:pStyle w:val="ListParagraph"/>
        <w:numPr>
          <w:ilvl w:val="0"/>
          <w:numId w:val="9"/>
        </w:numPr>
      </w:pPr>
      <w:r w:rsidRPr="000365AD">
        <w:t>Risks to privacy, human rights, and procedural fairness.</w:t>
      </w:r>
    </w:p>
    <w:p w14:paraId="21EF6F57" w14:textId="4582C14D" w:rsidR="006D0971" w:rsidRPr="000365AD" w:rsidRDefault="006D0971" w:rsidP="00965500">
      <w:pPr>
        <w:pStyle w:val="ListParagraph"/>
        <w:numPr>
          <w:ilvl w:val="0"/>
          <w:numId w:val="9"/>
        </w:numPr>
      </w:pPr>
      <w:r w:rsidRPr="000365AD">
        <w:t>Inconsistent policing and judicial decision-making.</w:t>
      </w:r>
    </w:p>
    <w:p w14:paraId="145CBAFB" w14:textId="45CFD38A" w:rsidR="006659AB" w:rsidRPr="000365AD" w:rsidRDefault="006659AB" w:rsidP="00965500">
      <w:pPr>
        <w:pStyle w:val="ListParagraph"/>
        <w:numPr>
          <w:ilvl w:val="0"/>
          <w:numId w:val="9"/>
        </w:numPr>
      </w:pPr>
      <w:r w:rsidRPr="000365AD">
        <w:t xml:space="preserve">Loss of public trust in criminal justice </w:t>
      </w:r>
      <w:r w:rsidR="0059417A" w:rsidRPr="000365AD">
        <w:t>system</w:t>
      </w:r>
      <w:r w:rsidRPr="000365AD">
        <w:t>.</w:t>
      </w:r>
    </w:p>
    <w:p w14:paraId="447DE462" w14:textId="77777777" w:rsidR="006659AB" w:rsidRPr="000365AD" w:rsidRDefault="006659AB" w:rsidP="00965500">
      <w:pPr>
        <w:pStyle w:val="ListParagraph"/>
        <w:numPr>
          <w:ilvl w:val="0"/>
          <w:numId w:val="9"/>
        </w:numPr>
      </w:pPr>
      <w:r w:rsidRPr="000365AD">
        <w:t xml:space="preserve">Risk of compounding existing overrepresentation of low-income, racialized, and Indigenous communities in criminal justice. </w:t>
      </w:r>
    </w:p>
    <w:p w14:paraId="6F62B309" w14:textId="55D4D45C" w:rsidR="008B55B6" w:rsidRDefault="00AE6BB1" w:rsidP="006659AB">
      <w:pPr>
        <w:rPr>
          <w:lang w:val="en-US"/>
        </w:rPr>
      </w:pPr>
      <w:r w:rsidRPr="000365AD">
        <w:rPr>
          <w:lang w:val="en-US"/>
        </w:rPr>
        <w:t xml:space="preserve">Absent </w:t>
      </w:r>
      <w:r w:rsidR="006E1D4C">
        <w:rPr>
          <w:lang w:val="en-US"/>
        </w:rPr>
        <w:t xml:space="preserve">proactive </w:t>
      </w:r>
      <w:r w:rsidR="00124640">
        <w:rPr>
          <w:lang w:val="en-US"/>
        </w:rPr>
        <w:t xml:space="preserve">steps, </w:t>
      </w:r>
      <w:r w:rsidR="006E1D4C">
        <w:rPr>
          <w:lang w:val="en-US"/>
        </w:rPr>
        <w:t xml:space="preserve">these risks and consequences are both </w:t>
      </w:r>
      <w:r w:rsidRPr="000365AD">
        <w:rPr>
          <w:lang w:val="en-US"/>
        </w:rPr>
        <w:t>foreseeable and significant.</w:t>
      </w:r>
    </w:p>
    <w:p w14:paraId="6F2ABDE4" w14:textId="1F31932C" w:rsidR="008960D2" w:rsidRDefault="008960D2" w:rsidP="008960D2">
      <w:pPr>
        <w:spacing w:after="0"/>
      </w:pPr>
      <w:r>
        <w:t xml:space="preserve">The LCO believes </w:t>
      </w:r>
      <w:r w:rsidR="003C247D">
        <w:t xml:space="preserve">the </w:t>
      </w:r>
      <w:r>
        <w:t xml:space="preserve">need to ensure trustworthy criminal AI in Canada is urgent. AI in the criminal justice system affects some of most important issues and rights in Canadian society, including public safety, </w:t>
      </w:r>
      <w:r w:rsidRPr="00E22C1E">
        <w:rPr>
          <w:rFonts w:eastAsia="Times New Roman"/>
          <w:i/>
          <w:iCs/>
          <w:lang w:val="en-US"/>
        </w:rPr>
        <w:t>Charter</w:t>
      </w:r>
      <w:r w:rsidRPr="007C6E1B">
        <w:rPr>
          <w:rFonts w:eastAsia="Times New Roman"/>
          <w:lang w:val="en-US"/>
        </w:rPr>
        <w:t xml:space="preserve"> rights, human rights, </w:t>
      </w:r>
      <w:r>
        <w:rPr>
          <w:rFonts w:eastAsia="Times New Roman"/>
          <w:lang w:val="en-US"/>
        </w:rPr>
        <w:t xml:space="preserve">civil liberties, </w:t>
      </w:r>
      <w:r w:rsidRPr="007C6E1B">
        <w:rPr>
          <w:rFonts w:eastAsia="Times New Roman"/>
          <w:lang w:val="en-US"/>
        </w:rPr>
        <w:t>privacy</w:t>
      </w:r>
      <w:r>
        <w:rPr>
          <w:rFonts w:eastAsia="Times New Roman"/>
          <w:lang w:val="en-US"/>
        </w:rPr>
        <w:t xml:space="preserve"> protections</w:t>
      </w:r>
      <w:r w:rsidRPr="007C6E1B">
        <w:rPr>
          <w:rFonts w:eastAsia="Times New Roman"/>
          <w:lang w:val="en-US"/>
        </w:rPr>
        <w:t>, procedural fairness</w:t>
      </w:r>
      <w:r>
        <w:rPr>
          <w:rFonts w:eastAsia="Times New Roman"/>
          <w:lang w:val="en-US"/>
        </w:rPr>
        <w:t xml:space="preserve"> </w:t>
      </w:r>
      <w:r>
        <w:t xml:space="preserve">and public trust in key public institutions, including courts and the police. </w:t>
      </w:r>
    </w:p>
    <w:p w14:paraId="3583350E" w14:textId="77777777" w:rsidR="008B55B6" w:rsidRDefault="008B55B6" w:rsidP="006659AB">
      <w:pPr>
        <w:rPr>
          <w:lang w:val="en-US"/>
        </w:rPr>
      </w:pPr>
    </w:p>
    <w:p w14:paraId="5BFE9663" w14:textId="0BF11B4A" w:rsidR="00F04D5D" w:rsidRPr="00F64420" w:rsidRDefault="00FC5558" w:rsidP="00965500">
      <w:pPr>
        <w:pStyle w:val="Heading1"/>
        <w:numPr>
          <w:ilvl w:val="0"/>
          <w:numId w:val="21"/>
        </w:numPr>
        <w:rPr>
          <w:lang w:eastAsia="en-CA"/>
        </w:rPr>
      </w:pPr>
      <w:bookmarkStart w:id="66" w:name="_bookmark15"/>
      <w:bookmarkStart w:id="67" w:name="_Toc188900930"/>
      <w:bookmarkStart w:id="68" w:name="_Toc194406410"/>
      <w:bookmarkStart w:id="69" w:name="_Toc195604721"/>
      <w:bookmarkEnd w:id="66"/>
      <w:r w:rsidRPr="00F64420">
        <w:rPr>
          <w:lang w:eastAsia="en-CA"/>
        </w:rPr>
        <w:t xml:space="preserve">Next Steps and </w:t>
      </w:r>
      <w:bookmarkEnd w:id="67"/>
      <w:r w:rsidR="003346B0" w:rsidRPr="00F64420">
        <w:rPr>
          <w:lang w:eastAsia="en-CA"/>
        </w:rPr>
        <w:t>Contacts</w:t>
      </w:r>
      <w:bookmarkEnd w:id="68"/>
      <w:bookmarkEnd w:id="69"/>
      <w:r w:rsidR="003346B0" w:rsidRPr="00F64420">
        <w:rPr>
          <w:lang w:eastAsia="en-CA"/>
        </w:rPr>
        <w:t xml:space="preserve"> </w:t>
      </w:r>
    </w:p>
    <w:p w14:paraId="430A9A44" w14:textId="77777777" w:rsidR="00414E25" w:rsidRPr="000365AD" w:rsidRDefault="00414E25" w:rsidP="00414E25">
      <w:pPr>
        <w:spacing w:after="0"/>
        <w:rPr>
          <w:lang w:val="en-US"/>
        </w:rPr>
      </w:pPr>
    </w:p>
    <w:p w14:paraId="01FA0B27" w14:textId="2AA47116" w:rsidR="003346B0" w:rsidRDefault="003346B0" w:rsidP="003346B0">
      <w:pPr>
        <w:spacing w:after="240" w:line="240" w:lineRule="auto"/>
      </w:pPr>
      <w:r w:rsidRPr="000365AD">
        <w:rPr>
          <w:rFonts w:cstheme="minorHAnsi"/>
        </w:rPr>
        <w:t xml:space="preserve">One of the </w:t>
      </w:r>
      <w:r>
        <w:rPr>
          <w:rFonts w:cstheme="minorHAnsi"/>
        </w:rPr>
        <w:t xml:space="preserve">important </w:t>
      </w:r>
      <w:r w:rsidRPr="000365AD">
        <w:rPr>
          <w:rFonts w:cstheme="minorHAnsi"/>
        </w:rPr>
        <w:t xml:space="preserve">lessons of this project is that </w:t>
      </w:r>
      <w:r w:rsidRPr="000365AD">
        <w:rPr>
          <w:lang w:eastAsia="en-CA"/>
        </w:rPr>
        <w:t>whether AI in criminal justice is harmful or beneficial depends on a complex</w:t>
      </w:r>
      <w:r>
        <w:rPr>
          <w:lang w:eastAsia="en-CA"/>
        </w:rPr>
        <w:t xml:space="preserve">, interdependent </w:t>
      </w:r>
      <w:r w:rsidRPr="000365AD">
        <w:rPr>
          <w:lang w:eastAsia="en-CA"/>
        </w:rPr>
        <w:t>series of technical, operational, policy</w:t>
      </w:r>
      <w:r w:rsidR="003C247D">
        <w:rPr>
          <w:lang w:eastAsia="en-CA"/>
        </w:rPr>
        <w:t xml:space="preserve"> </w:t>
      </w:r>
      <w:r w:rsidRPr="000365AD">
        <w:rPr>
          <w:lang w:eastAsia="en-CA"/>
        </w:rPr>
        <w:t>and legal choices.</w:t>
      </w:r>
      <w:r>
        <w:rPr>
          <w:lang w:eastAsia="en-CA"/>
        </w:rPr>
        <w:t xml:space="preserve"> </w:t>
      </w:r>
      <w:r w:rsidR="00FC5558" w:rsidRPr="000365AD">
        <w:t xml:space="preserve">A second important lesson is that broad collaborations and consultations are crucial. </w:t>
      </w:r>
      <w:r w:rsidR="00AA079B">
        <w:t xml:space="preserve">Given the issues at stake, </w:t>
      </w:r>
      <w:r w:rsidR="00AA079B" w:rsidRPr="000365AD">
        <w:t>no one organization or stakeholder can or should act unilaterally.</w:t>
      </w:r>
      <w:r w:rsidR="00BE6D0C">
        <w:t xml:space="preserve"> </w:t>
      </w:r>
    </w:p>
    <w:p w14:paraId="180F6945" w14:textId="01564F6C" w:rsidR="003346B0" w:rsidRPr="003346B0" w:rsidRDefault="005D3B7E" w:rsidP="003346B0">
      <w:r w:rsidRPr="000365AD">
        <w:t xml:space="preserve">The LCO is confident </w:t>
      </w:r>
      <w:r w:rsidRPr="000365AD">
        <w:rPr>
          <w:rFonts w:cstheme="minorHAnsi"/>
        </w:rPr>
        <w:t>that provincial policymakers</w:t>
      </w:r>
      <w:r w:rsidR="003C247D">
        <w:rPr>
          <w:rFonts w:cstheme="minorHAnsi"/>
        </w:rPr>
        <w:t xml:space="preserve"> and stakeholders </w:t>
      </w:r>
      <w:r w:rsidRPr="000365AD">
        <w:rPr>
          <w:rFonts w:cstheme="minorHAnsi"/>
        </w:rPr>
        <w:t xml:space="preserve">are committed to addressing </w:t>
      </w:r>
      <w:r w:rsidR="003346B0">
        <w:rPr>
          <w:rFonts w:cstheme="minorHAnsi"/>
        </w:rPr>
        <w:t>these issues thoughtfully and collaboratively</w:t>
      </w:r>
      <w:r w:rsidRPr="000365AD">
        <w:t xml:space="preserve">. </w:t>
      </w:r>
      <w:r w:rsidR="00337FA1" w:rsidRPr="000A115E">
        <w:rPr>
          <w:rFonts w:ascii="Calibri" w:eastAsia="Calibri" w:hAnsi="Calibri" w:cs="Times New Roman"/>
        </w:rPr>
        <w:t xml:space="preserve">To this end, the LCO will be organizing </w:t>
      </w:r>
      <w:r w:rsidR="006B0A40">
        <w:rPr>
          <w:rFonts w:ascii="Calibri" w:eastAsia="Calibri" w:hAnsi="Calibri" w:cs="Times New Roman"/>
        </w:rPr>
        <w:t xml:space="preserve">project </w:t>
      </w:r>
      <w:r w:rsidR="00337FA1" w:rsidRPr="000A115E">
        <w:rPr>
          <w:rFonts w:ascii="Calibri" w:eastAsia="Calibri" w:hAnsi="Calibri" w:cs="Times New Roman"/>
        </w:rPr>
        <w:t>consultation</w:t>
      </w:r>
      <w:r w:rsidR="006B0A40">
        <w:rPr>
          <w:rFonts w:ascii="Calibri" w:eastAsia="Calibri" w:hAnsi="Calibri" w:cs="Times New Roman"/>
        </w:rPr>
        <w:t>s</w:t>
      </w:r>
      <w:r w:rsidR="00337FA1" w:rsidRPr="000A115E">
        <w:rPr>
          <w:rFonts w:ascii="Calibri" w:eastAsia="Calibri" w:hAnsi="Calibri" w:cs="Times New Roman"/>
        </w:rPr>
        <w:t xml:space="preserve"> over the next several months. </w:t>
      </w:r>
    </w:p>
    <w:p w14:paraId="641613A6" w14:textId="30BDE4F7" w:rsidR="00414E25" w:rsidRPr="0040140A" w:rsidRDefault="00337FA1" w:rsidP="00414E25">
      <w:pPr>
        <w:spacing w:after="0"/>
        <w:rPr>
          <w:rFonts w:ascii="Calibri" w:eastAsia="Calibri" w:hAnsi="Calibri" w:cs="Times New Roman"/>
        </w:rPr>
      </w:pPr>
      <w:r w:rsidRPr="000A115E">
        <w:rPr>
          <w:rFonts w:ascii="Calibri" w:eastAsia="Calibri" w:hAnsi="Calibri" w:cs="Times New Roman"/>
        </w:rPr>
        <w:t xml:space="preserve">Individuals or organizations interested in </w:t>
      </w:r>
      <w:r w:rsidR="006B0A40">
        <w:rPr>
          <w:rFonts w:ascii="Calibri" w:eastAsia="Calibri" w:hAnsi="Calibri" w:cs="Times New Roman"/>
        </w:rPr>
        <w:t xml:space="preserve">collaborating </w:t>
      </w:r>
      <w:r w:rsidRPr="000A115E">
        <w:rPr>
          <w:rFonts w:ascii="Calibri" w:eastAsia="Calibri" w:hAnsi="Calibri" w:cs="Times New Roman"/>
        </w:rPr>
        <w:t xml:space="preserve">with the LCO are encouraged </w:t>
      </w:r>
      <w:r w:rsidRPr="0040140A">
        <w:rPr>
          <w:rFonts w:ascii="Calibri" w:eastAsia="Calibri" w:hAnsi="Calibri" w:cs="Times New Roman"/>
        </w:rPr>
        <w:t xml:space="preserve">to contact </w:t>
      </w:r>
      <w:r w:rsidR="003346B0" w:rsidRPr="0040140A">
        <w:rPr>
          <w:rFonts w:ascii="Calibri" w:eastAsia="Calibri" w:hAnsi="Calibri" w:cs="Times New Roman"/>
        </w:rPr>
        <w:t xml:space="preserve">Ryan Fritsch, the LCO’s Criminal </w:t>
      </w:r>
      <w:r w:rsidR="006B0A40">
        <w:rPr>
          <w:rFonts w:ascii="Calibri" w:eastAsia="Calibri" w:hAnsi="Calibri" w:cs="Times New Roman"/>
        </w:rPr>
        <w:t xml:space="preserve">AI </w:t>
      </w:r>
      <w:r w:rsidRPr="0040140A">
        <w:rPr>
          <w:rFonts w:ascii="Calibri" w:eastAsia="Calibri" w:hAnsi="Calibri" w:cs="Times New Roman"/>
        </w:rPr>
        <w:t>Project Lead</w:t>
      </w:r>
      <w:r w:rsidR="003346B0" w:rsidRPr="0040140A">
        <w:rPr>
          <w:rFonts w:ascii="Calibri" w:eastAsia="Calibri" w:hAnsi="Calibri" w:cs="Times New Roman"/>
        </w:rPr>
        <w:t xml:space="preserve">, at </w:t>
      </w:r>
      <w:hyperlink r:id="rId34" w:history="1">
        <w:r w:rsidR="0040140A" w:rsidRPr="0040140A">
          <w:rPr>
            <w:rFonts w:ascii="Calibri" w:eastAsia="Calibri" w:hAnsi="Calibri" w:cs="Times New Roman"/>
            <w:color w:val="0563C1" w:themeColor="hyperlink"/>
            <w:kern w:val="0"/>
            <w:u w:val="single"/>
            <w:lang w:eastAsia="en-CA"/>
            <w14:ligatures w14:val="none"/>
          </w:rPr>
          <w:t>rfritsch@lco-cdo.org</w:t>
        </w:r>
      </w:hyperlink>
      <w:r w:rsidR="0040140A" w:rsidRPr="0040140A">
        <w:rPr>
          <w:rFonts w:ascii="Calibri" w:eastAsia="Calibri" w:hAnsi="Calibri" w:cs="Times New Roman"/>
          <w:kern w:val="0"/>
          <w:lang w:eastAsia="en-CA"/>
          <w14:ligatures w14:val="none"/>
        </w:rPr>
        <w:t>.</w:t>
      </w:r>
      <w:r w:rsidR="00BE6D0C">
        <w:rPr>
          <w:rFonts w:ascii="Calibri" w:eastAsia="Calibri" w:hAnsi="Calibri" w:cs="Times New Roman"/>
          <w:kern w:val="0"/>
          <w:lang w:eastAsia="en-CA"/>
          <w14:ligatures w14:val="none"/>
        </w:rPr>
        <w:t xml:space="preserve"> </w:t>
      </w:r>
    </w:p>
    <w:p w14:paraId="678B7A6B" w14:textId="77777777" w:rsidR="003346B0" w:rsidRPr="0040140A" w:rsidRDefault="003346B0" w:rsidP="00414E25">
      <w:pPr>
        <w:spacing w:after="0"/>
        <w:rPr>
          <w:rFonts w:ascii="Calibri" w:eastAsia="Calibri" w:hAnsi="Calibri" w:cs="Times New Roman"/>
        </w:rPr>
      </w:pPr>
    </w:p>
    <w:p w14:paraId="22277749" w14:textId="66059161" w:rsidR="0040140A" w:rsidRPr="0040140A" w:rsidRDefault="0040140A" w:rsidP="0040140A">
      <w:pPr>
        <w:rPr>
          <w:lang w:val="en-US" w:eastAsia="en-CA"/>
        </w:rPr>
      </w:pPr>
      <w:r>
        <w:rPr>
          <w:rFonts w:eastAsia="Calibri" w:cstheme="minorHAnsi"/>
          <w:kern w:val="0"/>
          <w:lang w:eastAsia="en-CA"/>
          <w14:ligatures w14:val="none"/>
        </w:rPr>
        <w:t>Details of our consultation plans</w:t>
      </w:r>
      <w:r w:rsidR="00AD6262">
        <w:rPr>
          <w:rFonts w:eastAsia="Calibri" w:cstheme="minorHAnsi"/>
          <w:kern w:val="0"/>
          <w:lang w:eastAsia="en-CA"/>
          <w14:ligatures w14:val="none"/>
        </w:rPr>
        <w:t xml:space="preserve">, </w:t>
      </w:r>
      <w:r>
        <w:rPr>
          <w:rFonts w:eastAsia="Calibri" w:cstheme="minorHAnsi"/>
          <w:kern w:val="0"/>
          <w:lang w:eastAsia="en-CA"/>
          <w14:ligatures w14:val="none"/>
        </w:rPr>
        <w:t xml:space="preserve">Criminal AI </w:t>
      </w:r>
      <w:r w:rsidR="007932FB">
        <w:rPr>
          <w:rFonts w:eastAsia="Calibri" w:cstheme="minorHAnsi"/>
          <w:kern w:val="0"/>
          <w:lang w:eastAsia="en-CA"/>
          <w14:ligatures w14:val="none"/>
        </w:rPr>
        <w:t>Issue</w:t>
      </w:r>
      <w:r w:rsidRPr="0040140A">
        <w:rPr>
          <w:rFonts w:eastAsia="Calibri" w:cstheme="minorHAnsi"/>
          <w:kern w:val="0"/>
          <w:lang w:eastAsia="en-CA"/>
          <w14:ligatures w14:val="none"/>
        </w:rPr>
        <w:t xml:space="preserve"> </w:t>
      </w:r>
      <w:r w:rsidR="007932FB">
        <w:rPr>
          <w:rFonts w:eastAsia="Calibri" w:cstheme="minorHAnsi"/>
          <w:kern w:val="0"/>
          <w:lang w:eastAsia="en-CA"/>
          <w14:ligatures w14:val="none"/>
        </w:rPr>
        <w:t>P</w:t>
      </w:r>
      <w:r w:rsidRPr="0040140A">
        <w:rPr>
          <w:rFonts w:eastAsia="Calibri" w:cstheme="minorHAnsi"/>
          <w:kern w:val="0"/>
          <w:lang w:eastAsia="en-CA"/>
          <w14:ligatures w14:val="none"/>
        </w:rPr>
        <w:t>apers</w:t>
      </w:r>
      <w:r w:rsidR="00AD6262">
        <w:rPr>
          <w:rFonts w:eastAsia="Calibri" w:cstheme="minorHAnsi"/>
          <w:kern w:val="0"/>
          <w:lang w:eastAsia="en-CA"/>
          <w14:ligatures w14:val="none"/>
        </w:rPr>
        <w:t xml:space="preserve"> </w:t>
      </w:r>
      <w:r w:rsidRPr="0040140A">
        <w:rPr>
          <w:rFonts w:eastAsia="Calibri" w:cstheme="minorHAnsi"/>
          <w:kern w:val="0"/>
          <w:lang w:eastAsia="en-CA"/>
          <w14:ligatures w14:val="none"/>
        </w:rPr>
        <w:t xml:space="preserve">and </w:t>
      </w:r>
      <w:r w:rsidR="00AD6262">
        <w:rPr>
          <w:rFonts w:eastAsia="Calibri" w:cstheme="minorHAnsi"/>
          <w:kern w:val="0"/>
          <w:lang w:eastAsia="en-CA"/>
          <w14:ligatures w14:val="none"/>
        </w:rPr>
        <w:t xml:space="preserve">additional </w:t>
      </w:r>
      <w:r w:rsidRPr="0040140A">
        <w:rPr>
          <w:rFonts w:eastAsia="Calibri" w:cstheme="minorHAnsi"/>
          <w:kern w:val="0"/>
          <w:lang w:eastAsia="en-CA"/>
          <w14:ligatures w14:val="none"/>
        </w:rPr>
        <w:t xml:space="preserve">information is available on the LCO AI in Criminal Justice </w:t>
      </w:r>
      <w:hyperlink r:id="rId35" w:history="1">
        <w:r w:rsidRPr="0040140A">
          <w:rPr>
            <w:rStyle w:val="Hyperlink"/>
            <w:rFonts w:eastAsia="Calibri" w:cstheme="minorHAnsi"/>
            <w:kern w:val="0"/>
            <w:lang w:eastAsia="en-CA"/>
            <w14:ligatures w14:val="none"/>
          </w:rPr>
          <w:t>website</w:t>
        </w:r>
      </w:hyperlink>
      <w:r w:rsidRPr="0040140A">
        <w:rPr>
          <w:rFonts w:eastAsia="Calibri" w:cstheme="minorHAnsi"/>
          <w:kern w:val="0"/>
          <w:lang w:eastAsia="en-CA"/>
          <w14:ligatures w14:val="none"/>
        </w:rPr>
        <w:t>.</w:t>
      </w:r>
      <w:r w:rsidR="00BE6D0C">
        <w:rPr>
          <w:rFonts w:eastAsia="Calibri" w:cstheme="minorHAnsi"/>
          <w:kern w:val="0"/>
          <w:lang w:eastAsia="en-CA"/>
          <w14:ligatures w14:val="none"/>
        </w:rPr>
        <w:t xml:space="preserve"> </w:t>
      </w:r>
    </w:p>
    <w:p w14:paraId="5F18025C" w14:textId="32BE732C" w:rsidR="0040140A" w:rsidRDefault="0040140A" w:rsidP="0040140A">
      <w:pPr>
        <w:spacing w:after="0"/>
        <w:rPr>
          <w:bCs/>
        </w:rPr>
      </w:pPr>
      <w:r>
        <w:rPr>
          <w:bCs/>
        </w:rPr>
        <w:t>The LCO can also be contacted at:</w:t>
      </w:r>
    </w:p>
    <w:p w14:paraId="115560A4" w14:textId="77777777" w:rsidR="0040140A" w:rsidRDefault="0040140A" w:rsidP="0040140A">
      <w:pPr>
        <w:spacing w:after="0"/>
        <w:rPr>
          <w:bCs/>
        </w:rPr>
      </w:pPr>
    </w:p>
    <w:p w14:paraId="2AF88E5B" w14:textId="77777777" w:rsidR="00AD6262" w:rsidRPr="00EF5F8A" w:rsidRDefault="00AD6262" w:rsidP="00AD6262">
      <w:pPr>
        <w:rPr>
          <w:rFonts w:eastAsia="Calibri" w:cstheme="minorHAnsi"/>
          <w:kern w:val="0"/>
          <w:lang w:eastAsia="en-CA"/>
          <w14:ligatures w14:val="none"/>
        </w:rPr>
      </w:pPr>
      <w:r w:rsidRPr="00EF5F8A">
        <w:rPr>
          <w:rFonts w:eastAsia="Calibri" w:cstheme="minorHAnsi"/>
          <w:kern w:val="0"/>
          <w:lang w:eastAsia="en-CA"/>
          <w14:ligatures w14:val="none"/>
        </w:rPr>
        <w:t>Law Commission of Ontario</w:t>
      </w:r>
      <w:r w:rsidRPr="00EF5F8A">
        <w:rPr>
          <w:rFonts w:eastAsia="Calibri" w:cstheme="minorHAnsi"/>
          <w:kern w:val="0"/>
          <w:lang w:eastAsia="en-CA"/>
          <w14:ligatures w14:val="none"/>
        </w:rPr>
        <w:br/>
        <w:t>2032 Ignat Kaneff Building</w:t>
      </w:r>
      <w:r w:rsidRPr="00EF5F8A">
        <w:rPr>
          <w:rFonts w:eastAsia="Calibri" w:cstheme="minorHAnsi"/>
          <w:kern w:val="0"/>
          <w:lang w:eastAsia="en-CA"/>
          <w14:ligatures w14:val="none"/>
        </w:rPr>
        <w:br/>
        <w:t>Osgoode Hall Law School, York University</w:t>
      </w:r>
      <w:r w:rsidRPr="00EF5F8A">
        <w:rPr>
          <w:rFonts w:eastAsia="Calibri" w:cstheme="minorHAnsi"/>
          <w:kern w:val="0"/>
          <w:lang w:eastAsia="en-CA"/>
          <w14:ligatures w14:val="none"/>
        </w:rPr>
        <w:br/>
        <w:t>4700 Keele Street, Toronto, ON, M3J 1P3</w:t>
      </w:r>
    </w:p>
    <w:p w14:paraId="005953F6" w14:textId="257CE9A6" w:rsidR="005B6FCE" w:rsidRPr="006E3A1D" w:rsidRDefault="00AD6262">
      <w:pPr>
        <w:rPr>
          <w:rFonts w:eastAsia="Calibri" w:cstheme="minorHAnsi"/>
          <w:kern w:val="0"/>
          <w:lang w:eastAsia="en-CA"/>
          <w14:ligatures w14:val="none"/>
        </w:rPr>
      </w:pPr>
      <w:r w:rsidRPr="00EF5F8A">
        <w:rPr>
          <w:rFonts w:eastAsia="Calibri" w:cstheme="minorHAnsi"/>
          <w:kern w:val="0"/>
          <w:lang w:eastAsia="en-CA"/>
          <w14:ligatures w14:val="none"/>
        </w:rPr>
        <w:t xml:space="preserve">Tel: (416) 650-8406 </w:t>
      </w:r>
      <w:r w:rsidRPr="00EF5F8A">
        <w:rPr>
          <w:rFonts w:eastAsia="Calibri" w:cstheme="minorHAnsi"/>
          <w:kern w:val="0"/>
          <w:lang w:eastAsia="en-CA"/>
          <w14:ligatures w14:val="none"/>
        </w:rPr>
        <w:br/>
        <w:t xml:space="preserve">E-mail: </w:t>
      </w:r>
      <w:hyperlink r:id="rId36" w:history="1">
        <w:r w:rsidRPr="00EF5F8A">
          <w:rPr>
            <w:rFonts w:eastAsia="Calibri" w:cstheme="minorHAnsi"/>
            <w:color w:val="0563C1" w:themeColor="hyperlink"/>
            <w:kern w:val="0"/>
            <w:u w:val="single"/>
            <w:lang w:eastAsia="en-CA"/>
            <w14:ligatures w14:val="none"/>
          </w:rPr>
          <w:t>LawCommission@lco-cdo.org</w:t>
        </w:r>
      </w:hyperlink>
      <w:r w:rsidRPr="00EF5F8A">
        <w:rPr>
          <w:rFonts w:eastAsia="Calibri" w:cstheme="minorHAnsi"/>
          <w:kern w:val="0"/>
          <w:lang w:eastAsia="en-CA"/>
          <w14:ligatures w14:val="none"/>
        </w:rPr>
        <w:t xml:space="preserve"> </w:t>
      </w:r>
      <w:r w:rsidRPr="00EF5F8A">
        <w:rPr>
          <w:rFonts w:eastAsia="Calibri" w:cstheme="minorHAnsi"/>
          <w:kern w:val="0"/>
          <w:lang w:eastAsia="en-CA"/>
          <w14:ligatures w14:val="none"/>
        </w:rPr>
        <w:br/>
        <w:t xml:space="preserve">Web: </w:t>
      </w:r>
      <w:hyperlink r:id="rId37" w:history="1">
        <w:r w:rsidRPr="00EF5F8A">
          <w:rPr>
            <w:rFonts w:eastAsia="Calibri" w:cstheme="minorHAnsi"/>
            <w:color w:val="0563C1" w:themeColor="hyperlink"/>
            <w:kern w:val="0"/>
            <w:u w:val="single"/>
            <w:lang w:eastAsia="en-CA"/>
            <w14:ligatures w14:val="none"/>
          </w:rPr>
          <w:t>https://www.lco-cdo.org</w:t>
        </w:r>
      </w:hyperlink>
      <w:r w:rsidRPr="00EF5F8A">
        <w:rPr>
          <w:rFonts w:eastAsia="Calibri" w:cstheme="minorHAnsi"/>
          <w:kern w:val="0"/>
          <w:lang w:eastAsia="en-CA"/>
          <w14:ligatures w14:val="none"/>
        </w:rPr>
        <w:t xml:space="preserve"> </w:t>
      </w:r>
      <w:r w:rsidRPr="00EF5F8A">
        <w:rPr>
          <w:rFonts w:eastAsia="Calibri" w:cstheme="minorHAnsi"/>
          <w:kern w:val="0"/>
          <w:lang w:eastAsia="en-CA"/>
          <w14:ligatures w14:val="none"/>
        </w:rPr>
        <w:br/>
        <w:t xml:space="preserve">LinkedIn: </w:t>
      </w:r>
      <w:hyperlink r:id="rId38" w:history="1">
        <w:r w:rsidRPr="00EF5F8A">
          <w:rPr>
            <w:rFonts w:eastAsia="Calibri" w:cstheme="minorHAnsi"/>
            <w:color w:val="0563C1" w:themeColor="hyperlink"/>
            <w:kern w:val="0"/>
            <w:u w:val="single"/>
            <w:lang w:eastAsia="en-CA"/>
            <w14:ligatures w14:val="none"/>
          </w:rPr>
          <w:t>https://linkedin.com/company/lco-cdo</w:t>
        </w:r>
      </w:hyperlink>
      <w:r w:rsidR="00BE6D0C">
        <w:rPr>
          <w:rFonts w:eastAsia="Calibri" w:cstheme="minorHAnsi"/>
          <w:kern w:val="0"/>
          <w:lang w:eastAsia="en-CA"/>
          <w14:ligatures w14:val="none"/>
        </w:rPr>
        <w:t xml:space="preserve"> </w:t>
      </w:r>
      <w:r w:rsidRPr="00EF5F8A">
        <w:rPr>
          <w:rFonts w:eastAsia="Calibri" w:cstheme="minorHAnsi"/>
          <w:kern w:val="0"/>
          <w:lang w:eastAsia="en-CA"/>
          <w14:ligatures w14:val="none"/>
        </w:rPr>
        <w:br/>
        <w:t xml:space="preserve">Bluesky: </w:t>
      </w:r>
      <w:hyperlink r:id="rId39" w:history="1">
        <w:r w:rsidRPr="00EF5F8A">
          <w:rPr>
            <w:rFonts w:eastAsia="Calibri" w:cstheme="minorHAnsi"/>
            <w:color w:val="0563C1" w:themeColor="hyperlink"/>
            <w:kern w:val="0"/>
            <w:u w:val="single"/>
            <w:lang w:eastAsia="en-CA"/>
            <w14:ligatures w14:val="none"/>
          </w:rPr>
          <w:t>@lco-cdo.bsky.social</w:t>
        </w:r>
      </w:hyperlink>
      <w:r w:rsidRPr="00EF5F8A">
        <w:rPr>
          <w:rFonts w:eastAsia="Calibri" w:cstheme="minorHAnsi"/>
          <w:kern w:val="0"/>
          <w:lang w:eastAsia="en-CA"/>
          <w14:ligatures w14:val="none"/>
        </w:rPr>
        <w:br/>
        <w:t xml:space="preserve">Twitter: </w:t>
      </w:r>
      <w:hyperlink r:id="rId40" w:history="1">
        <w:r w:rsidRPr="00EF5F8A">
          <w:rPr>
            <w:rFonts w:eastAsia="Calibri" w:cstheme="minorHAnsi"/>
            <w:color w:val="0563C1" w:themeColor="hyperlink"/>
            <w:kern w:val="0"/>
            <w:u w:val="single"/>
            <w:lang w:eastAsia="en-CA"/>
            <w14:ligatures w14:val="none"/>
          </w:rPr>
          <w:t>@LCO_CDO</w:t>
        </w:r>
      </w:hyperlink>
      <w:r w:rsidRPr="00EF5F8A">
        <w:rPr>
          <w:rFonts w:eastAsia="Calibri" w:cstheme="minorHAnsi"/>
          <w:kern w:val="0"/>
          <w:lang w:eastAsia="en-CA"/>
          <w14:ligatures w14:val="none"/>
        </w:rPr>
        <w:br/>
        <w:t xml:space="preserve">YouTube: </w:t>
      </w:r>
      <w:hyperlink r:id="rId41" w:history="1">
        <w:r w:rsidRPr="00EF5F8A">
          <w:rPr>
            <w:rFonts w:eastAsia="Calibri" w:cstheme="minorHAnsi"/>
            <w:color w:val="0563C1" w:themeColor="hyperlink"/>
            <w:kern w:val="0"/>
            <w:u w:val="single"/>
            <w:lang w:eastAsia="en-CA"/>
            <w14:ligatures w14:val="none"/>
          </w:rPr>
          <w:t>@lawcommissionofontario8724</w:t>
        </w:r>
      </w:hyperlink>
      <w:r w:rsidRPr="00EF5F8A">
        <w:rPr>
          <w:rFonts w:eastAsia="Calibri" w:cstheme="minorHAnsi"/>
          <w:kern w:val="0"/>
          <w:lang w:eastAsia="en-CA"/>
          <w14:ligatures w14:val="none"/>
        </w:rPr>
        <w:t xml:space="preserve"> </w:t>
      </w:r>
      <w:bookmarkStart w:id="70" w:name="_Toc194406411"/>
      <w:r w:rsidR="005B6FCE">
        <w:rPr>
          <w:lang w:eastAsia="en-CA"/>
        </w:rPr>
        <w:br w:type="page"/>
      </w:r>
    </w:p>
    <w:p w14:paraId="5A89D56A" w14:textId="65D429F2" w:rsidR="00A61FEA" w:rsidRPr="00995DB0" w:rsidRDefault="00995DB0" w:rsidP="00995DB0">
      <w:pPr>
        <w:pStyle w:val="Heading1"/>
        <w:jc w:val="center"/>
        <w:rPr>
          <w:b/>
          <w:bCs/>
          <w:lang w:eastAsia="en-CA"/>
        </w:rPr>
      </w:pPr>
      <w:bookmarkStart w:id="71" w:name="_Toc195604722"/>
      <w:r w:rsidRPr="00995DB0">
        <w:rPr>
          <w:b/>
          <w:bCs/>
          <w:lang w:eastAsia="en-CA"/>
        </w:rPr>
        <w:lastRenderedPageBreak/>
        <w:t xml:space="preserve">Appendix A – </w:t>
      </w:r>
      <w:r w:rsidR="00A61FEA" w:rsidRPr="00995DB0">
        <w:rPr>
          <w:b/>
          <w:bCs/>
          <w:lang w:eastAsia="en-CA"/>
        </w:rPr>
        <w:t>Consolidated Consultation Questions</w:t>
      </w:r>
      <w:bookmarkEnd w:id="70"/>
      <w:bookmarkEnd w:id="71"/>
    </w:p>
    <w:p w14:paraId="74CD382B" w14:textId="77777777" w:rsidR="00A61FEA" w:rsidRPr="000365AD" w:rsidRDefault="00A61FEA" w:rsidP="00A61FEA">
      <w:pPr>
        <w:spacing w:after="0"/>
        <w:rPr>
          <w:lang w:val="en-US"/>
        </w:rPr>
      </w:pPr>
    </w:p>
    <w:p w14:paraId="7FF0C2B4" w14:textId="1F93C5B0" w:rsidR="00A61FEA" w:rsidRDefault="00A61FEA" w:rsidP="00A61FEA">
      <w:pPr>
        <w:spacing w:after="240" w:line="240" w:lineRule="auto"/>
      </w:pPr>
      <w:r>
        <w:rPr>
          <w:rFonts w:cstheme="minorHAnsi"/>
        </w:rPr>
        <w:t xml:space="preserve">The questions below reflect key themes and issues in the LCO </w:t>
      </w:r>
      <w:r w:rsidR="00765592">
        <w:rPr>
          <w:rFonts w:cstheme="minorHAnsi"/>
        </w:rPr>
        <w:t xml:space="preserve">Criminal AI </w:t>
      </w:r>
      <w:r>
        <w:rPr>
          <w:rFonts w:cstheme="minorHAnsi"/>
        </w:rPr>
        <w:t>Issue Papers. The questions are provided as prompts for public discussion and consultation</w:t>
      </w:r>
      <w:r>
        <w:t xml:space="preserve">. In addition to the consolidated questions below, each Issue Paper </w:t>
      </w:r>
      <w:r w:rsidR="00765592">
        <w:t xml:space="preserve">includes detailed questions about the </w:t>
      </w:r>
      <w:r>
        <w:t xml:space="preserve">issues raised in </w:t>
      </w:r>
      <w:r w:rsidR="00765592">
        <w:t xml:space="preserve">each </w:t>
      </w:r>
      <w:r>
        <w:t>paper.</w:t>
      </w:r>
    </w:p>
    <w:p w14:paraId="7ED8CDA1" w14:textId="27331BBA" w:rsidR="007D204B" w:rsidRPr="00C9376C" w:rsidRDefault="00ED2E3E" w:rsidP="00C9376C">
      <w:pPr>
        <w:pStyle w:val="Heading2"/>
        <w:numPr>
          <w:ilvl w:val="0"/>
          <w:numId w:val="35"/>
        </w:numPr>
        <w:rPr>
          <w:rFonts w:eastAsia="Aptos"/>
          <w:lang w:val="en-US"/>
        </w:rPr>
      </w:pPr>
      <w:bookmarkStart w:id="72" w:name="_Toc195604723"/>
      <w:r w:rsidRPr="00C9376C">
        <w:rPr>
          <w:rFonts w:eastAsia="Aptos"/>
          <w:lang w:val="en-US"/>
        </w:rPr>
        <w:t>Provincial Standards</w:t>
      </w:r>
      <w:bookmarkEnd w:id="72"/>
    </w:p>
    <w:p w14:paraId="2033EEFA" w14:textId="77777777" w:rsidR="00C9376C" w:rsidRDefault="00C9376C" w:rsidP="00C9376C">
      <w:pPr>
        <w:spacing w:after="0"/>
        <w:contextualSpacing/>
        <w:rPr>
          <w:rFonts w:eastAsia="Aptos" w:cs="Calibri"/>
          <w:sz w:val="24"/>
          <w:lang w:val="en-US"/>
        </w:rPr>
      </w:pPr>
    </w:p>
    <w:p w14:paraId="095AF374" w14:textId="35F634E8" w:rsidR="0009680A" w:rsidRPr="0099008B" w:rsidRDefault="007D204B" w:rsidP="00C9376C">
      <w:pPr>
        <w:spacing w:after="0"/>
        <w:contextualSpacing/>
        <w:rPr>
          <w:rFonts w:eastAsia="Aptos" w:cs="Calibri"/>
          <w:szCs w:val="21"/>
          <w:lang w:val="en-US"/>
        </w:rPr>
      </w:pPr>
      <w:r w:rsidRPr="0099008B">
        <w:rPr>
          <w:rFonts w:eastAsia="Aptos" w:cs="Calibri"/>
          <w:szCs w:val="21"/>
          <w:lang w:val="en-US"/>
        </w:rPr>
        <w:t xml:space="preserve">The </w:t>
      </w:r>
      <w:r w:rsidR="006A6819" w:rsidRPr="0099008B">
        <w:rPr>
          <w:rFonts w:eastAsia="Aptos" w:cs="Calibri"/>
          <w:szCs w:val="21"/>
          <w:lang w:val="en-US"/>
        </w:rPr>
        <w:t xml:space="preserve">Issue Papers </w:t>
      </w:r>
      <w:r w:rsidRPr="0099008B">
        <w:rPr>
          <w:rFonts w:eastAsia="Aptos" w:cs="Calibri"/>
          <w:szCs w:val="21"/>
          <w:lang w:val="en-US"/>
        </w:rPr>
        <w:t xml:space="preserve">suggest the </w:t>
      </w:r>
      <w:r w:rsidR="00ED2E3E" w:rsidRPr="0099008B">
        <w:rPr>
          <w:rFonts w:eastAsia="Aptos" w:cs="Calibri"/>
          <w:szCs w:val="21"/>
          <w:lang w:val="en-US"/>
        </w:rPr>
        <w:t xml:space="preserve">need for provincial rules </w:t>
      </w:r>
      <w:r w:rsidR="009754E5" w:rsidRPr="0099008B">
        <w:rPr>
          <w:rFonts w:eastAsia="Aptos" w:cs="Calibri"/>
          <w:szCs w:val="21"/>
          <w:lang w:val="en-US"/>
        </w:rPr>
        <w:t xml:space="preserve">establishing key trustworthy criminal AI rules and criteria. </w:t>
      </w:r>
      <w:r w:rsidRPr="0099008B">
        <w:rPr>
          <w:rFonts w:eastAsia="Aptos" w:cs="Calibri"/>
          <w:szCs w:val="21"/>
          <w:lang w:val="en-US"/>
        </w:rPr>
        <w:t xml:space="preserve">The </w:t>
      </w:r>
      <w:r w:rsidR="0009680A" w:rsidRPr="0099008B">
        <w:rPr>
          <w:rFonts w:eastAsia="Aptos" w:cs="Calibri"/>
          <w:szCs w:val="21"/>
          <w:lang w:val="en-US"/>
        </w:rPr>
        <w:t>Issue P</w:t>
      </w:r>
      <w:r w:rsidRPr="0099008B">
        <w:rPr>
          <w:rFonts w:eastAsia="Aptos" w:cs="Calibri"/>
          <w:szCs w:val="21"/>
          <w:lang w:val="en-US"/>
        </w:rPr>
        <w:t>apers suggest many potential models, including</w:t>
      </w:r>
      <w:r w:rsidR="0009680A" w:rsidRPr="0099008B">
        <w:rPr>
          <w:rFonts w:eastAsia="Aptos" w:cs="Calibri"/>
          <w:szCs w:val="21"/>
          <w:lang w:val="en-US"/>
        </w:rPr>
        <w:t>:</w:t>
      </w:r>
    </w:p>
    <w:p w14:paraId="5834F9F6" w14:textId="77777777" w:rsidR="0009680A" w:rsidRPr="0099008B" w:rsidRDefault="0009680A" w:rsidP="00C9376C">
      <w:pPr>
        <w:spacing w:after="0"/>
        <w:ind w:left="720"/>
        <w:contextualSpacing/>
        <w:rPr>
          <w:rFonts w:eastAsia="Aptos" w:cs="Calibri"/>
          <w:szCs w:val="21"/>
          <w:lang w:val="en-US"/>
        </w:rPr>
      </w:pPr>
    </w:p>
    <w:p w14:paraId="6B862931" w14:textId="1C1E0D57" w:rsidR="0009680A" w:rsidRPr="0099008B" w:rsidRDefault="0009680A" w:rsidP="00C9376C">
      <w:pPr>
        <w:pStyle w:val="ListParagraph"/>
        <w:numPr>
          <w:ilvl w:val="0"/>
          <w:numId w:val="34"/>
        </w:numPr>
        <w:rPr>
          <w:rFonts w:eastAsia="Aptos" w:cs="Calibri"/>
          <w:szCs w:val="21"/>
          <w:lang w:val="en-US"/>
        </w:rPr>
      </w:pPr>
      <w:r w:rsidRPr="0099008B">
        <w:rPr>
          <w:rFonts w:eastAsia="Aptos" w:cs="Calibri"/>
          <w:szCs w:val="21"/>
          <w:lang w:val="en-US"/>
        </w:rPr>
        <w:t>F</w:t>
      </w:r>
      <w:r w:rsidR="007D204B" w:rsidRPr="0099008B">
        <w:rPr>
          <w:rFonts w:eastAsia="Aptos" w:cs="Calibri"/>
          <w:szCs w:val="21"/>
          <w:lang w:val="en-US"/>
        </w:rPr>
        <w:t xml:space="preserve">ederal </w:t>
      </w:r>
      <w:r w:rsidRPr="0099008B">
        <w:rPr>
          <w:rFonts w:eastAsia="Aptos" w:cs="Calibri"/>
          <w:szCs w:val="21"/>
          <w:lang w:val="en-US"/>
        </w:rPr>
        <w:t xml:space="preserve">legislation or </w:t>
      </w:r>
      <w:r w:rsidR="007D204B" w:rsidRPr="0099008B">
        <w:rPr>
          <w:rFonts w:eastAsia="Aptos" w:cs="Calibri"/>
          <w:szCs w:val="21"/>
          <w:lang w:val="en-US"/>
        </w:rPr>
        <w:t>regulations</w:t>
      </w:r>
      <w:r w:rsidRPr="0099008B">
        <w:rPr>
          <w:rFonts w:eastAsia="Aptos" w:cs="Calibri"/>
          <w:szCs w:val="21"/>
          <w:lang w:val="en-US"/>
        </w:rPr>
        <w:t xml:space="preserve"> </w:t>
      </w:r>
      <w:r w:rsidR="007D204B" w:rsidRPr="0099008B">
        <w:rPr>
          <w:rFonts w:eastAsia="Aptos" w:cs="Calibri"/>
          <w:szCs w:val="21"/>
          <w:lang w:val="en-US"/>
        </w:rPr>
        <w:t>(</w:t>
      </w:r>
      <w:r w:rsidR="009754E5" w:rsidRPr="0099008B">
        <w:rPr>
          <w:rFonts w:eastAsia="Aptos" w:cs="Calibri"/>
          <w:i/>
          <w:iCs/>
          <w:szCs w:val="21"/>
          <w:lang w:val="en-US"/>
        </w:rPr>
        <w:t>Criminal Code</w:t>
      </w:r>
      <w:r w:rsidR="004548AC" w:rsidRPr="0099008B">
        <w:rPr>
          <w:rFonts w:eastAsia="Aptos" w:cs="Calibri"/>
          <w:szCs w:val="21"/>
          <w:lang w:val="en-US"/>
        </w:rPr>
        <w:t>, f</w:t>
      </w:r>
      <w:r w:rsidR="005D18CC" w:rsidRPr="0099008B">
        <w:rPr>
          <w:rFonts w:eastAsia="Aptos" w:cs="Calibri"/>
          <w:szCs w:val="21"/>
          <w:lang w:val="en-US"/>
        </w:rPr>
        <w:t xml:space="preserve">ederal </w:t>
      </w:r>
      <w:r w:rsidR="008D6B53" w:rsidRPr="0099008B">
        <w:rPr>
          <w:rFonts w:eastAsia="Aptos" w:cs="Calibri"/>
          <w:szCs w:val="21"/>
          <w:lang w:val="en-US"/>
        </w:rPr>
        <w:t xml:space="preserve">ADM </w:t>
      </w:r>
      <w:r w:rsidR="005D18CC" w:rsidRPr="0099008B">
        <w:rPr>
          <w:rFonts w:eastAsia="Aptos" w:cs="Calibri"/>
          <w:szCs w:val="21"/>
          <w:lang w:val="en-US"/>
        </w:rPr>
        <w:t>Directive?</w:t>
      </w:r>
      <w:r w:rsidR="007D204B" w:rsidRPr="0099008B">
        <w:rPr>
          <w:rFonts w:eastAsia="Aptos" w:cs="Calibri"/>
          <w:szCs w:val="21"/>
          <w:lang w:val="en-US"/>
        </w:rPr>
        <w:t>)</w:t>
      </w:r>
      <w:r w:rsidRPr="0099008B">
        <w:rPr>
          <w:rFonts w:eastAsia="Aptos" w:cs="Calibri"/>
          <w:szCs w:val="21"/>
          <w:lang w:val="en-US"/>
        </w:rPr>
        <w:t>.</w:t>
      </w:r>
    </w:p>
    <w:p w14:paraId="31B9FB40" w14:textId="662764C6" w:rsidR="007D204B" w:rsidRPr="0099008B" w:rsidRDefault="0009680A" w:rsidP="00C9376C">
      <w:pPr>
        <w:pStyle w:val="ListParagraph"/>
        <w:numPr>
          <w:ilvl w:val="0"/>
          <w:numId w:val="34"/>
        </w:numPr>
        <w:rPr>
          <w:rFonts w:eastAsia="Aptos" w:cs="Calibri"/>
          <w:szCs w:val="21"/>
          <w:lang w:val="en-US"/>
        </w:rPr>
      </w:pPr>
      <w:r w:rsidRPr="0099008B">
        <w:rPr>
          <w:rFonts w:eastAsia="Aptos" w:cs="Calibri"/>
          <w:szCs w:val="21"/>
          <w:lang w:val="en-US"/>
        </w:rPr>
        <w:t>P</w:t>
      </w:r>
      <w:r w:rsidR="007D204B" w:rsidRPr="0099008B">
        <w:rPr>
          <w:rFonts w:eastAsia="Aptos" w:cs="Calibri"/>
          <w:szCs w:val="21"/>
          <w:lang w:val="en-US"/>
        </w:rPr>
        <w:t xml:space="preserve">rovincial legislation </w:t>
      </w:r>
      <w:r w:rsidRPr="0099008B">
        <w:rPr>
          <w:rFonts w:eastAsia="Aptos" w:cs="Calibri"/>
          <w:szCs w:val="21"/>
          <w:lang w:val="en-US"/>
        </w:rPr>
        <w:t xml:space="preserve">or regulation </w:t>
      </w:r>
      <w:r w:rsidR="007D204B" w:rsidRPr="0099008B">
        <w:rPr>
          <w:rFonts w:eastAsia="Aptos" w:cs="Calibri"/>
          <w:szCs w:val="21"/>
          <w:lang w:val="en-US"/>
        </w:rPr>
        <w:t>(</w:t>
      </w:r>
      <w:r w:rsidR="009754E5" w:rsidRPr="0099008B">
        <w:rPr>
          <w:rFonts w:eastAsia="Aptos" w:cs="Calibri"/>
          <w:i/>
          <w:iCs/>
          <w:szCs w:val="21"/>
          <w:lang w:val="en-US"/>
        </w:rPr>
        <w:t>EDSTA</w:t>
      </w:r>
      <w:r w:rsidR="004548AC" w:rsidRPr="0099008B">
        <w:rPr>
          <w:rFonts w:eastAsia="Aptos" w:cs="Calibri"/>
          <w:szCs w:val="21"/>
          <w:lang w:val="en-US"/>
        </w:rPr>
        <w:t>, p</w:t>
      </w:r>
      <w:r w:rsidR="009754E5" w:rsidRPr="0099008B">
        <w:rPr>
          <w:rFonts w:eastAsia="Aptos" w:cs="Calibri"/>
          <w:szCs w:val="21"/>
          <w:lang w:val="en-US"/>
        </w:rPr>
        <w:t>olicing legislation</w:t>
      </w:r>
      <w:r w:rsidR="004548AC" w:rsidRPr="0099008B">
        <w:rPr>
          <w:rFonts w:eastAsia="Aptos" w:cs="Calibri"/>
          <w:szCs w:val="21"/>
          <w:lang w:val="en-US"/>
        </w:rPr>
        <w:t xml:space="preserve">, </w:t>
      </w:r>
      <w:r w:rsidR="008D6B53" w:rsidRPr="0099008B">
        <w:rPr>
          <w:rFonts w:eastAsia="Aptos" w:cs="Calibri"/>
          <w:szCs w:val="21"/>
          <w:lang w:val="en-US"/>
        </w:rPr>
        <w:t>Ontario AI Directive?</w:t>
      </w:r>
      <w:r w:rsidR="009754E5" w:rsidRPr="0099008B">
        <w:rPr>
          <w:rFonts w:eastAsia="Aptos" w:cs="Calibri"/>
          <w:szCs w:val="21"/>
          <w:lang w:val="en-US"/>
        </w:rPr>
        <w:t>).</w:t>
      </w:r>
    </w:p>
    <w:p w14:paraId="0F53619A" w14:textId="0449566A" w:rsidR="00C9064E" w:rsidRPr="0099008B" w:rsidRDefault="008D6B53" w:rsidP="00C9376C">
      <w:pPr>
        <w:pStyle w:val="ListParagraph"/>
        <w:numPr>
          <w:ilvl w:val="0"/>
          <w:numId w:val="34"/>
        </w:numPr>
        <w:rPr>
          <w:rFonts w:eastAsia="Aptos" w:cs="Calibri"/>
          <w:szCs w:val="21"/>
          <w:lang w:val="en-US"/>
        </w:rPr>
      </w:pPr>
      <w:r w:rsidRPr="0099008B">
        <w:rPr>
          <w:rFonts w:eastAsia="Aptos" w:cs="Calibri"/>
          <w:szCs w:val="21"/>
          <w:lang w:val="en-US"/>
        </w:rPr>
        <w:t>Criminal justice i</w:t>
      </w:r>
      <w:r w:rsidR="0009680A" w:rsidRPr="0099008B">
        <w:rPr>
          <w:rFonts w:eastAsia="Aptos" w:cs="Calibri"/>
          <w:szCs w:val="21"/>
          <w:lang w:val="en-US"/>
        </w:rPr>
        <w:t xml:space="preserve">nstitutional </w:t>
      </w:r>
      <w:r w:rsidR="009754E5" w:rsidRPr="0099008B">
        <w:rPr>
          <w:rFonts w:eastAsia="Aptos" w:cs="Calibri"/>
          <w:szCs w:val="21"/>
          <w:lang w:val="en-US"/>
        </w:rPr>
        <w:t>policies (</w:t>
      </w:r>
      <w:r w:rsidRPr="0099008B">
        <w:rPr>
          <w:rFonts w:eastAsia="Aptos" w:cs="Calibri"/>
          <w:szCs w:val="21"/>
          <w:lang w:val="en-US"/>
        </w:rPr>
        <w:t>P</w:t>
      </w:r>
      <w:r w:rsidR="0009680A" w:rsidRPr="0099008B">
        <w:rPr>
          <w:rFonts w:eastAsia="Aptos" w:cs="Calibri"/>
          <w:szCs w:val="21"/>
          <w:lang w:val="en-US"/>
        </w:rPr>
        <w:t>olic</w:t>
      </w:r>
      <w:r w:rsidR="004548AC" w:rsidRPr="0099008B">
        <w:rPr>
          <w:rFonts w:eastAsia="Aptos" w:cs="Calibri"/>
          <w:szCs w:val="21"/>
          <w:lang w:val="en-US"/>
        </w:rPr>
        <w:t>e, c</w:t>
      </w:r>
      <w:r w:rsidR="007D204B" w:rsidRPr="0099008B">
        <w:rPr>
          <w:rFonts w:eastAsia="Aptos" w:cs="Calibri"/>
          <w:szCs w:val="21"/>
          <w:lang w:val="en-US"/>
        </w:rPr>
        <w:t>ourts</w:t>
      </w:r>
      <w:r w:rsidR="004548AC" w:rsidRPr="0099008B">
        <w:rPr>
          <w:rFonts w:eastAsia="Aptos" w:cs="Calibri"/>
          <w:szCs w:val="21"/>
          <w:lang w:val="en-US"/>
        </w:rPr>
        <w:t xml:space="preserve">, </w:t>
      </w:r>
      <w:r w:rsidR="007D204B" w:rsidRPr="0099008B">
        <w:rPr>
          <w:rFonts w:eastAsia="Aptos" w:cs="Calibri"/>
          <w:szCs w:val="21"/>
          <w:lang w:val="en-US"/>
        </w:rPr>
        <w:t xml:space="preserve">Crown </w:t>
      </w:r>
      <w:r w:rsidRPr="0099008B">
        <w:rPr>
          <w:rFonts w:eastAsia="Aptos" w:cs="Calibri"/>
          <w:szCs w:val="21"/>
          <w:lang w:val="en-US"/>
        </w:rPr>
        <w:t>P</w:t>
      </w:r>
      <w:r w:rsidR="007D204B" w:rsidRPr="0099008B">
        <w:rPr>
          <w:rFonts w:eastAsia="Aptos" w:cs="Calibri"/>
          <w:szCs w:val="21"/>
          <w:lang w:val="en-US"/>
        </w:rPr>
        <w:t xml:space="preserve">olicy </w:t>
      </w:r>
      <w:r w:rsidRPr="0099008B">
        <w:rPr>
          <w:rFonts w:eastAsia="Aptos" w:cs="Calibri"/>
          <w:szCs w:val="21"/>
          <w:lang w:val="en-US"/>
        </w:rPr>
        <w:t>M</w:t>
      </w:r>
      <w:r w:rsidR="007D204B" w:rsidRPr="0099008B">
        <w:rPr>
          <w:rFonts w:eastAsia="Aptos" w:cs="Calibri"/>
          <w:szCs w:val="21"/>
          <w:lang w:val="en-US"/>
        </w:rPr>
        <w:t>anual</w:t>
      </w:r>
      <w:r w:rsidRPr="0099008B">
        <w:rPr>
          <w:rFonts w:eastAsia="Aptos" w:cs="Calibri"/>
          <w:szCs w:val="21"/>
          <w:lang w:val="en-US"/>
        </w:rPr>
        <w:t>?)</w:t>
      </w:r>
      <w:r w:rsidR="004548AC" w:rsidRPr="0099008B">
        <w:rPr>
          <w:rFonts w:eastAsia="Aptos" w:cs="Calibri"/>
          <w:szCs w:val="21"/>
          <w:lang w:val="en-US"/>
        </w:rPr>
        <w:t>.</w:t>
      </w:r>
    </w:p>
    <w:p w14:paraId="7BC60813" w14:textId="77777777" w:rsidR="0009680A" w:rsidRPr="0099008B" w:rsidRDefault="0009680A" w:rsidP="00C9376C">
      <w:pPr>
        <w:contextualSpacing/>
        <w:rPr>
          <w:rFonts w:eastAsia="Aptos" w:cs="Calibri"/>
          <w:szCs w:val="21"/>
          <w:lang w:val="en-US"/>
        </w:rPr>
      </w:pPr>
    </w:p>
    <w:p w14:paraId="622D883D" w14:textId="759A5296" w:rsidR="007D204B" w:rsidRPr="0099008B" w:rsidRDefault="0009680A" w:rsidP="00C9376C">
      <w:pPr>
        <w:contextualSpacing/>
        <w:rPr>
          <w:rFonts w:eastAsia="Aptos" w:cs="Calibri"/>
          <w:i/>
          <w:iCs/>
          <w:color w:val="FF0000"/>
          <w:szCs w:val="21"/>
          <w:lang w:val="en-US"/>
        </w:rPr>
      </w:pPr>
      <w:r w:rsidRPr="0099008B">
        <w:rPr>
          <w:rFonts w:eastAsia="Aptos" w:cs="Calibri"/>
          <w:i/>
          <w:iCs/>
          <w:color w:val="FF0000"/>
          <w:szCs w:val="21"/>
          <w:lang w:val="en-US"/>
        </w:rPr>
        <w:t>Do you agree some kind of provincial framework is necessary? If so, w</w:t>
      </w:r>
      <w:r w:rsidR="009754E5" w:rsidRPr="0099008B">
        <w:rPr>
          <w:rFonts w:eastAsia="Aptos" w:cs="Calibri"/>
          <w:i/>
          <w:iCs/>
          <w:color w:val="FF0000"/>
          <w:szCs w:val="21"/>
          <w:lang w:val="en-US"/>
        </w:rPr>
        <w:t>hich approach (or approaches) is best and why</w:t>
      </w:r>
      <w:r w:rsidR="007D204B" w:rsidRPr="0099008B">
        <w:rPr>
          <w:rFonts w:eastAsia="Aptos" w:cs="Calibri"/>
          <w:i/>
          <w:iCs/>
          <w:color w:val="FF0000"/>
          <w:szCs w:val="21"/>
          <w:lang w:val="en-US"/>
        </w:rPr>
        <w:t>?</w:t>
      </w:r>
      <w:r w:rsidR="007D204B" w:rsidRPr="0099008B">
        <w:rPr>
          <w:rFonts w:eastAsia="Aptos" w:cs="Calibri"/>
          <w:i/>
          <w:iCs/>
          <w:color w:val="FF0000"/>
          <w:szCs w:val="21"/>
          <w:lang w:val="en-US"/>
        </w:rPr>
        <w:br/>
      </w:r>
    </w:p>
    <w:p w14:paraId="07D0688D" w14:textId="356AA116" w:rsidR="007D204B" w:rsidRPr="00C9376C" w:rsidRDefault="009754E5" w:rsidP="00C9376C">
      <w:pPr>
        <w:pStyle w:val="Heading2"/>
        <w:numPr>
          <w:ilvl w:val="0"/>
          <w:numId w:val="35"/>
        </w:numPr>
        <w:rPr>
          <w:rFonts w:eastAsia="Aptos"/>
          <w:lang w:val="en-US"/>
        </w:rPr>
      </w:pPr>
      <w:bookmarkStart w:id="73" w:name="_Toc195604724"/>
      <w:r w:rsidRPr="00C9376C">
        <w:rPr>
          <w:rFonts w:eastAsia="Aptos"/>
          <w:lang w:val="en-US"/>
        </w:rPr>
        <w:t>Prohibited Uses and Risk Criteria</w:t>
      </w:r>
      <w:bookmarkEnd w:id="73"/>
      <w:r w:rsidRPr="00C9376C">
        <w:rPr>
          <w:rFonts w:eastAsia="Aptos"/>
          <w:lang w:val="en-US"/>
        </w:rPr>
        <w:t xml:space="preserve"> </w:t>
      </w:r>
    </w:p>
    <w:p w14:paraId="61479B46" w14:textId="77777777" w:rsidR="007D204B" w:rsidRDefault="007D204B" w:rsidP="007D204B">
      <w:pPr>
        <w:contextualSpacing/>
        <w:rPr>
          <w:rFonts w:eastAsia="Aptos" w:cs="Calibri"/>
          <w:sz w:val="24"/>
          <w:lang w:val="en-US"/>
        </w:rPr>
      </w:pPr>
    </w:p>
    <w:p w14:paraId="34CA3C99" w14:textId="700F800A" w:rsidR="0009680A" w:rsidRPr="0099008B" w:rsidRDefault="009754E5" w:rsidP="00C9376C">
      <w:pPr>
        <w:contextualSpacing/>
        <w:rPr>
          <w:rFonts w:eastAsia="Aptos" w:cs="Calibri"/>
          <w:lang w:val="en-US"/>
        </w:rPr>
      </w:pPr>
      <w:r w:rsidRPr="0099008B">
        <w:rPr>
          <w:rFonts w:eastAsia="Aptos" w:cs="Calibri"/>
          <w:lang w:val="en-US"/>
        </w:rPr>
        <w:t xml:space="preserve">The EU </w:t>
      </w:r>
      <w:r w:rsidRPr="0099008B">
        <w:rPr>
          <w:rFonts w:eastAsia="Aptos" w:cs="Calibri"/>
          <w:i/>
          <w:iCs/>
          <w:lang w:val="en-US"/>
        </w:rPr>
        <w:t>AI Act</w:t>
      </w:r>
      <w:r w:rsidRPr="0099008B">
        <w:rPr>
          <w:rFonts w:eastAsia="Aptos" w:cs="Calibri"/>
          <w:lang w:val="en-US"/>
        </w:rPr>
        <w:t xml:space="preserve">, </w:t>
      </w:r>
      <w:r w:rsidRPr="0099008B">
        <w:rPr>
          <w:rFonts w:eastAsia="Aptos" w:cs="Calibri"/>
          <w:i/>
          <w:iCs/>
          <w:lang w:val="en-US"/>
        </w:rPr>
        <w:t>AIDA</w:t>
      </w:r>
      <w:r w:rsidRPr="0099008B">
        <w:rPr>
          <w:rFonts w:eastAsia="Aptos" w:cs="Calibri"/>
          <w:lang w:val="en-US"/>
        </w:rPr>
        <w:t>, and the Toronto Police Services AI policy all adopt some form of r</w:t>
      </w:r>
      <w:r w:rsidR="007D204B" w:rsidRPr="0099008B">
        <w:rPr>
          <w:rFonts w:eastAsia="Aptos" w:cs="Calibri"/>
          <w:lang w:val="en-US"/>
        </w:rPr>
        <w:t xml:space="preserve">isk-based </w:t>
      </w:r>
      <w:r w:rsidRPr="0099008B">
        <w:rPr>
          <w:rFonts w:eastAsia="Aptos" w:cs="Calibri"/>
          <w:lang w:val="en-US"/>
        </w:rPr>
        <w:t xml:space="preserve">AI governance, including </w:t>
      </w:r>
      <w:r w:rsidR="00DB7706" w:rsidRPr="0099008B">
        <w:rPr>
          <w:rFonts w:eastAsia="Aptos" w:cs="Calibri"/>
          <w:lang w:val="en-US"/>
        </w:rPr>
        <w:t xml:space="preserve">presumptive </w:t>
      </w:r>
      <w:r w:rsidRPr="0099008B">
        <w:rPr>
          <w:rFonts w:eastAsia="Aptos" w:cs="Calibri"/>
          <w:lang w:val="en-US"/>
        </w:rPr>
        <w:t xml:space="preserve">prohibited uses and/or </w:t>
      </w:r>
      <w:r w:rsidR="006A6819" w:rsidRPr="0099008B">
        <w:rPr>
          <w:rFonts w:eastAsia="Aptos" w:cs="Calibri"/>
          <w:lang w:val="en-US"/>
        </w:rPr>
        <w:t xml:space="preserve">presumptive </w:t>
      </w:r>
      <w:r w:rsidRPr="0099008B">
        <w:rPr>
          <w:rFonts w:eastAsia="Aptos" w:cs="Calibri"/>
          <w:lang w:val="en-US"/>
        </w:rPr>
        <w:t>“high risk” AI systems subject to stricter requirements and more oversight</w:t>
      </w:r>
      <w:r w:rsidR="00DB7706" w:rsidRPr="0099008B">
        <w:rPr>
          <w:rFonts w:eastAsia="Aptos" w:cs="Calibri"/>
          <w:lang w:val="en-US"/>
        </w:rPr>
        <w:t xml:space="preserve">. </w:t>
      </w:r>
    </w:p>
    <w:p w14:paraId="4BF20573" w14:textId="77777777" w:rsidR="0009680A" w:rsidRPr="0099008B" w:rsidRDefault="0009680A" w:rsidP="007B72EC">
      <w:pPr>
        <w:ind w:left="720"/>
        <w:contextualSpacing/>
        <w:rPr>
          <w:rFonts w:eastAsia="Aptos" w:cs="Calibri"/>
          <w:lang w:val="en-US"/>
        </w:rPr>
      </w:pPr>
    </w:p>
    <w:p w14:paraId="131CB329" w14:textId="4ED3D45B" w:rsidR="007D204B" w:rsidRPr="0099008B" w:rsidRDefault="00DB7706" w:rsidP="00C9376C">
      <w:pPr>
        <w:contextualSpacing/>
        <w:rPr>
          <w:rFonts w:eastAsia="Aptos" w:cs="Calibri"/>
          <w:i/>
          <w:iCs/>
          <w:color w:val="FF0000"/>
          <w:lang w:val="en-US"/>
        </w:rPr>
      </w:pPr>
      <w:r w:rsidRPr="0099008B">
        <w:rPr>
          <w:rFonts w:eastAsia="Aptos" w:cs="Calibri"/>
          <w:i/>
          <w:iCs/>
          <w:color w:val="FF0000"/>
          <w:lang w:val="en-US"/>
        </w:rPr>
        <w:t xml:space="preserve">In principle, do you agree with the prohibited/high risk framework? </w:t>
      </w:r>
      <w:r w:rsidR="006A6819" w:rsidRPr="0099008B">
        <w:rPr>
          <w:rFonts w:eastAsia="Aptos" w:cs="Calibri"/>
          <w:i/>
          <w:iCs/>
          <w:color w:val="FF0000"/>
          <w:lang w:val="en-US"/>
        </w:rPr>
        <w:t xml:space="preserve">What criteria should be adopted to identify prohibited or high risk systems? </w:t>
      </w:r>
      <w:r w:rsidRPr="0099008B">
        <w:rPr>
          <w:rFonts w:eastAsia="Aptos" w:cs="Calibri"/>
          <w:i/>
          <w:iCs/>
          <w:color w:val="FF0000"/>
          <w:lang w:val="en-US"/>
        </w:rPr>
        <w:t xml:space="preserve">Does </w:t>
      </w:r>
      <w:r w:rsidR="007D204B" w:rsidRPr="0099008B">
        <w:rPr>
          <w:rFonts w:eastAsia="Aptos" w:cs="Calibri"/>
          <w:i/>
          <w:iCs/>
          <w:color w:val="FF0000"/>
          <w:lang w:val="en-US"/>
        </w:rPr>
        <w:t>Canadian law suggest which</w:t>
      </w:r>
      <w:r w:rsidR="0009680A" w:rsidRPr="0099008B">
        <w:rPr>
          <w:rFonts w:eastAsia="Aptos" w:cs="Calibri"/>
          <w:i/>
          <w:iCs/>
          <w:color w:val="FF0000"/>
          <w:lang w:val="en-US"/>
        </w:rPr>
        <w:t xml:space="preserve">, or </w:t>
      </w:r>
      <w:r w:rsidR="007D204B" w:rsidRPr="0099008B">
        <w:rPr>
          <w:rFonts w:eastAsia="Aptos" w:cs="Calibri"/>
          <w:i/>
          <w:iCs/>
          <w:color w:val="FF0000"/>
          <w:lang w:val="en-US"/>
        </w:rPr>
        <w:t>how</w:t>
      </w:r>
      <w:r w:rsidR="0009680A" w:rsidRPr="0099008B">
        <w:rPr>
          <w:rFonts w:eastAsia="Aptos" w:cs="Calibri"/>
          <w:i/>
          <w:iCs/>
          <w:color w:val="FF0000"/>
          <w:lang w:val="en-US"/>
        </w:rPr>
        <w:t>,</w:t>
      </w:r>
      <w:r w:rsidR="007D204B" w:rsidRPr="0099008B">
        <w:rPr>
          <w:rFonts w:eastAsia="Aptos" w:cs="Calibri"/>
          <w:i/>
          <w:iCs/>
          <w:color w:val="FF0000"/>
          <w:lang w:val="en-US"/>
        </w:rPr>
        <w:t xml:space="preserve"> different AI </w:t>
      </w:r>
      <w:r w:rsidR="0009680A" w:rsidRPr="0099008B">
        <w:rPr>
          <w:rFonts w:eastAsia="Aptos" w:cs="Calibri"/>
          <w:i/>
          <w:iCs/>
          <w:color w:val="FF0000"/>
          <w:lang w:val="en-US"/>
        </w:rPr>
        <w:t xml:space="preserve">systems or </w:t>
      </w:r>
      <w:r w:rsidR="007D204B" w:rsidRPr="0099008B">
        <w:rPr>
          <w:rFonts w:eastAsia="Aptos" w:cs="Calibri"/>
          <w:i/>
          <w:iCs/>
          <w:color w:val="FF0000"/>
          <w:lang w:val="en-US"/>
        </w:rPr>
        <w:t>uses ought to be categorized?</w:t>
      </w:r>
      <w:r w:rsidR="006A6819" w:rsidRPr="0099008B">
        <w:rPr>
          <w:rFonts w:eastAsia="Aptos" w:cs="Calibri"/>
          <w:i/>
          <w:iCs/>
          <w:color w:val="FF0000"/>
          <w:lang w:val="en-US"/>
        </w:rPr>
        <w:t xml:space="preserve"> </w:t>
      </w:r>
      <w:r w:rsidR="007D204B" w:rsidRPr="0099008B">
        <w:rPr>
          <w:rFonts w:eastAsia="Aptos" w:cs="Calibri"/>
          <w:i/>
          <w:iCs/>
          <w:color w:val="FF0000"/>
          <w:lang w:val="en-US"/>
        </w:rPr>
        <w:br/>
      </w:r>
    </w:p>
    <w:p w14:paraId="36337E49" w14:textId="1DE5CC71" w:rsidR="0087054B" w:rsidRPr="0099008B" w:rsidRDefault="007D204B" w:rsidP="00C9376C">
      <w:pPr>
        <w:contextualSpacing/>
        <w:rPr>
          <w:rFonts w:eastAsia="Aptos" w:cs="Calibri"/>
          <w:i/>
          <w:iCs/>
          <w:color w:val="FF0000"/>
          <w:lang w:val="en-US"/>
        </w:rPr>
      </w:pPr>
      <w:r w:rsidRPr="0099008B">
        <w:rPr>
          <w:rFonts w:eastAsia="Aptos" w:cs="Calibri"/>
          <w:i/>
          <w:iCs/>
          <w:color w:val="FF0000"/>
          <w:lang w:val="en-US"/>
        </w:rPr>
        <w:t xml:space="preserve">If </w:t>
      </w:r>
      <w:r w:rsidR="00DB7706" w:rsidRPr="0099008B">
        <w:rPr>
          <w:rFonts w:eastAsia="Aptos" w:cs="Calibri"/>
          <w:i/>
          <w:iCs/>
          <w:color w:val="FF0000"/>
          <w:lang w:val="en-US"/>
        </w:rPr>
        <w:t xml:space="preserve">you agree </w:t>
      </w:r>
      <w:r w:rsidR="00C9376C" w:rsidRPr="0099008B">
        <w:rPr>
          <w:rFonts w:eastAsia="Aptos" w:cs="Calibri"/>
          <w:i/>
          <w:iCs/>
          <w:color w:val="FF0000"/>
          <w:lang w:val="en-US"/>
        </w:rPr>
        <w:t xml:space="preserve">some </w:t>
      </w:r>
      <w:r w:rsidR="00DB7706" w:rsidRPr="0099008B">
        <w:rPr>
          <w:rFonts w:eastAsia="Aptos" w:cs="Calibri"/>
          <w:i/>
          <w:iCs/>
          <w:color w:val="FF0000"/>
          <w:lang w:val="en-US"/>
        </w:rPr>
        <w:t xml:space="preserve">systems </w:t>
      </w:r>
      <w:r w:rsidR="0009680A" w:rsidRPr="0099008B">
        <w:rPr>
          <w:rFonts w:eastAsia="Aptos" w:cs="Calibri"/>
          <w:i/>
          <w:iCs/>
          <w:color w:val="FF0000"/>
          <w:lang w:val="en-US"/>
        </w:rPr>
        <w:t xml:space="preserve">or uses </w:t>
      </w:r>
      <w:r w:rsidR="00DB7706" w:rsidRPr="0099008B">
        <w:rPr>
          <w:rFonts w:eastAsia="Aptos" w:cs="Calibri"/>
          <w:i/>
          <w:iCs/>
          <w:color w:val="FF0000"/>
          <w:lang w:val="en-US"/>
        </w:rPr>
        <w:t xml:space="preserve">should be </w:t>
      </w:r>
      <w:r w:rsidRPr="0099008B">
        <w:rPr>
          <w:rFonts w:eastAsia="Aptos" w:cs="Calibri"/>
          <w:i/>
          <w:iCs/>
          <w:color w:val="FF0000"/>
          <w:lang w:val="en-US"/>
        </w:rPr>
        <w:t>prohib</w:t>
      </w:r>
      <w:r w:rsidR="00DB7706" w:rsidRPr="0099008B">
        <w:rPr>
          <w:rFonts w:eastAsia="Aptos" w:cs="Calibri"/>
          <w:i/>
          <w:iCs/>
          <w:color w:val="FF0000"/>
          <w:lang w:val="en-US"/>
        </w:rPr>
        <w:t>ited or identified as “</w:t>
      </w:r>
      <w:r w:rsidRPr="0099008B">
        <w:rPr>
          <w:rFonts w:eastAsia="Aptos" w:cs="Calibri"/>
          <w:i/>
          <w:iCs/>
          <w:color w:val="FF0000"/>
          <w:lang w:val="en-US"/>
        </w:rPr>
        <w:t>high-risk</w:t>
      </w:r>
      <w:r w:rsidR="00DB7706" w:rsidRPr="0099008B">
        <w:rPr>
          <w:rFonts w:eastAsia="Aptos" w:cs="Calibri"/>
          <w:i/>
          <w:iCs/>
          <w:color w:val="FF0000"/>
          <w:lang w:val="en-US"/>
        </w:rPr>
        <w:t>”</w:t>
      </w:r>
      <w:r w:rsidR="0087054B" w:rsidRPr="0099008B">
        <w:rPr>
          <w:rFonts w:eastAsia="Aptos" w:cs="Calibri"/>
          <w:i/>
          <w:iCs/>
          <w:color w:val="FF0000"/>
          <w:lang w:val="en-US"/>
        </w:rPr>
        <w:t>:</w:t>
      </w:r>
    </w:p>
    <w:p w14:paraId="6D8EBC1A" w14:textId="77777777" w:rsidR="006A6819" w:rsidRPr="0099008B" w:rsidRDefault="007D204B" w:rsidP="00C9376C">
      <w:pPr>
        <w:pStyle w:val="ListParagraph"/>
        <w:numPr>
          <w:ilvl w:val="0"/>
          <w:numId w:val="37"/>
        </w:numPr>
        <w:rPr>
          <w:rFonts w:eastAsia="Aptos" w:cs="Calibri"/>
          <w:i/>
          <w:iCs/>
          <w:color w:val="FF0000"/>
          <w:lang w:val="en-US"/>
        </w:rPr>
      </w:pPr>
      <w:r w:rsidRPr="0099008B">
        <w:rPr>
          <w:rFonts w:eastAsia="Aptos" w:cs="Calibri"/>
          <w:i/>
          <w:iCs/>
          <w:color w:val="FF0000"/>
          <w:lang w:val="en-US"/>
        </w:rPr>
        <w:t xml:space="preserve">What AI </w:t>
      </w:r>
      <w:r w:rsidR="006A6819" w:rsidRPr="0099008B">
        <w:rPr>
          <w:rFonts w:eastAsia="Aptos" w:cs="Calibri"/>
          <w:i/>
          <w:iCs/>
          <w:color w:val="FF0000"/>
          <w:lang w:val="en-US"/>
        </w:rPr>
        <w:t xml:space="preserve">systems </w:t>
      </w:r>
      <w:r w:rsidRPr="0099008B">
        <w:rPr>
          <w:rFonts w:eastAsia="Aptos" w:cs="Calibri"/>
          <w:i/>
          <w:iCs/>
          <w:color w:val="FF0000"/>
          <w:lang w:val="en-US"/>
        </w:rPr>
        <w:t>or uses should be in these categories?</w:t>
      </w:r>
      <w:r w:rsidR="00DB7706" w:rsidRPr="0099008B">
        <w:rPr>
          <w:rFonts w:eastAsia="Aptos" w:cs="Calibri"/>
          <w:i/>
          <w:iCs/>
          <w:color w:val="FF0000"/>
          <w:lang w:val="en-US"/>
        </w:rPr>
        <w:t xml:space="preserve"> </w:t>
      </w:r>
    </w:p>
    <w:p w14:paraId="05CA316A" w14:textId="49DA1047" w:rsidR="0087054B" w:rsidRPr="0099008B" w:rsidRDefault="008D6B53" w:rsidP="00C9376C">
      <w:pPr>
        <w:pStyle w:val="ListParagraph"/>
        <w:numPr>
          <w:ilvl w:val="0"/>
          <w:numId w:val="37"/>
        </w:numPr>
        <w:rPr>
          <w:rFonts w:eastAsia="Aptos" w:cs="Calibri"/>
          <w:i/>
          <w:iCs/>
          <w:color w:val="FF0000"/>
          <w:lang w:val="en-US"/>
        </w:rPr>
      </w:pPr>
      <w:r w:rsidRPr="0099008B">
        <w:rPr>
          <w:rFonts w:eastAsia="Aptos" w:cs="Calibri"/>
          <w:i/>
          <w:iCs/>
          <w:color w:val="FF0000"/>
          <w:lang w:val="en-US"/>
        </w:rPr>
        <w:t xml:space="preserve">Should </w:t>
      </w:r>
      <w:r w:rsidR="00DB7706" w:rsidRPr="0099008B">
        <w:rPr>
          <w:rFonts w:eastAsia="Aptos" w:cs="Calibri"/>
          <w:i/>
          <w:iCs/>
          <w:color w:val="FF0000"/>
          <w:lang w:val="en-US"/>
        </w:rPr>
        <w:t xml:space="preserve">real time FRT or predictive policing be </w:t>
      </w:r>
      <w:r w:rsidR="006A6819" w:rsidRPr="0099008B">
        <w:rPr>
          <w:rFonts w:eastAsia="Aptos" w:cs="Calibri"/>
          <w:i/>
          <w:iCs/>
          <w:color w:val="FF0000"/>
          <w:lang w:val="en-US"/>
        </w:rPr>
        <w:t>prohibited</w:t>
      </w:r>
      <w:r w:rsidR="00DB7706" w:rsidRPr="0099008B">
        <w:rPr>
          <w:rFonts w:eastAsia="Aptos" w:cs="Calibri"/>
          <w:i/>
          <w:iCs/>
          <w:color w:val="FF0000"/>
          <w:lang w:val="en-US"/>
        </w:rPr>
        <w:t>?</w:t>
      </w:r>
      <w:r w:rsidR="006A6819" w:rsidRPr="0099008B">
        <w:rPr>
          <w:rFonts w:eastAsia="Aptos" w:cs="Calibri"/>
          <w:i/>
          <w:iCs/>
          <w:color w:val="FF0000"/>
          <w:lang w:val="en-US"/>
        </w:rPr>
        <w:t xml:space="preserve"> If so, a</w:t>
      </w:r>
      <w:r w:rsidR="00DB7706" w:rsidRPr="0099008B">
        <w:rPr>
          <w:rFonts w:eastAsia="Aptos" w:cs="Calibri"/>
          <w:i/>
          <w:iCs/>
          <w:color w:val="FF0000"/>
          <w:lang w:val="en-US"/>
        </w:rPr>
        <w:t xml:space="preserve">re there reasonable exceptions, such as </w:t>
      </w:r>
      <w:r w:rsidR="00C9064E" w:rsidRPr="0099008B">
        <w:rPr>
          <w:rFonts w:eastAsia="Aptos" w:cs="Calibri"/>
          <w:i/>
          <w:iCs/>
          <w:color w:val="FF0000"/>
          <w:lang w:val="en-US"/>
        </w:rPr>
        <w:t xml:space="preserve">FRT to </w:t>
      </w:r>
      <w:r w:rsidR="00DB7706" w:rsidRPr="0099008B">
        <w:rPr>
          <w:rFonts w:eastAsia="Aptos" w:cs="Calibri"/>
          <w:i/>
          <w:iCs/>
          <w:color w:val="FF0000"/>
          <w:lang w:val="en-US"/>
        </w:rPr>
        <w:t xml:space="preserve">assist missing persons investigations? </w:t>
      </w:r>
      <w:r w:rsidR="00C9064E" w:rsidRPr="0099008B">
        <w:rPr>
          <w:rFonts w:eastAsia="Aptos" w:cs="Calibri"/>
          <w:i/>
          <w:iCs/>
          <w:color w:val="FF0000"/>
          <w:lang w:val="en-US"/>
        </w:rPr>
        <w:t xml:space="preserve">What rules </w:t>
      </w:r>
      <w:r w:rsidRPr="0099008B">
        <w:rPr>
          <w:rFonts w:eastAsia="Aptos" w:cs="Calibri"/>
          <w:i/>
          <w:iCs/>
          <w:color w:val="FF0000"/>
          <w:lang w:val="en-US"/>
        </w:rPr>
        <w:t xml:space="preserve">should </w:t>
      </w:r>
      <w:r w:rsidR="00C9064E" w:rsidRPr="0099008B">
        <w:rPr>
          <w:rFonts w:eastAsia="Aptos" w:cs="Calibri"/>
          <w:i/>
          <w:iCs/>
          <w:color w:val="FF0000"/>
          <w:lang w:val="en-US"/>
        </w:rPr>
        <w:t>apply?</w:t>
      </w:r>
    </w:p>
    <w:p w14:paraId="18CE8380" w14:textId="38D6593E" w:rsidR="007D204B" w:rsidRPr="0099008B" w:rsidRDefault="00DB7706" w:rsidP="00C9376C">
      <w:pPr>
        <w:pStyle w:val="ListParagraph"/>
        <w:numPr>
          <w:ilvl w:val="0"/>
          <w:numId w:val="37"/>
        </w:numPr>
        <w:rPr>
          <w:rFonts w:eastAsia="Aptos" w:cs="Calibri"/>
          <w:i/>
          <w:iCs/>
          <w:color w:val="FF0000"/>
          <w:lang w:val="en-US"/>
        </w:rPr>
      </w:pPr>
      <w:r w:rsidRPr="0099008B">
        <w:rPr>
          <w:rFonts w:eastAsia="Aptos" w:cs="Calibri"/>
          <w:i/>
          <w:iCs/>
          <w:color w:val="FF0000"/>
          <w:lang w:val="en-US"/>
        </w:rPr>
        <w:t xml:space="preserve">What oversight rules or </w:t>
      </w:r>
      <w:r w:rsidR="00C9064E" w:rsidRPr="0099008B">
        <w:rPr>
          <w:rFonts w:eastAsia="Aptos" w:cs="Calibri"/>
          <w:i/>
          <w:iCs/>
          <w:color w:val="FF0000"/>
          <w:lang w:val="en-US"/>
        </w:rPr>
        <w:t xml:space="preserve">procedural requirements are appropriate for high risk systems? </w:t>
      </w:r>
    </w:p>
    <w:p w14:paraId="1EBF2DA3" w14:textId="77777777" w:rsidR="004A4B72" w:rsidRPr="0099008B" w:rsidRDefault="004A4B72" w:rsidP="00C9064E">
      <w:pPr>
        <w:rPr>
          <w:rFonts w:eastAsia="Aptos" w:cs="Calibri"/>
          <w:b/>
          <w:bCs/>
          <w:i/>
          <w:iCs/>
          <w:lang w:val="en-US"/>
        </w:rPr>
      </w:pPr>
    </w:p>
    <w:p w14:paraId="0FC19D17" w14:textId="5DBF588B" w:rsidR="00C9376C" w:rsidRPr="004548AC" w:rsidRDefault="00C9376C" w:rsidP="00C9376C">
      <w:pPr>
        <w:pStyle w:val="Heading2"/>
        <w:numPr>
          <w:ilvl w:val="0"/>
          <w:numId w:val="35"/>
        </w:numPr>
      </w:pPr>
      <w:bookmarkStart w:id="74" w:name="_Toc195604725"/>
      <w:r w:rsidRPr="004548AC">
        <w:t>Bias</w:t>
      </w:r>
      <w:r w:rsidR="004548AC" w:rsidRPr="004548AC">
        <w:t xml:space="preserve">, Privacy and </w:t>
      </w:r>
      <w:r w:rsidR="00A8670B">
        <w:t>Procedural Fairness</w:t>
      </w:r>
      <w:bookmarkEnd w:id="74"/>
      <w:r w:rsidR="00A8670B">
        <w:t xml:space="preserve"> </w:t>
      </w:r>
    </w:p>
    <w:p w14:paraId="7DA5B9F8" w14:textId="16BF08CD" w:rsidR="0099008B" w:rsidRPr="0099008B" w:rsidRDefault="00033475" w:rsidP="004548AC">
      <w:pPr>
        <w:spacing w:before="120" w:after="120" w:line="240" w:lineRule="auto"/>
        <w:rPr>
          <w:rFonts w:cstheme="minorHAnsi"/>
        </w:rPr>
      </w:pPr>
      <w:r w:rsidRPr="0099008B">
        <w:rPr>
          <w:rFonts w:cstheme="minorHAnsi"/>
        </w:rPr>
        <w:t>Trustworthy criminal AI initiatives consistently include principles or detailed rules to ensure these systems do not discriminate</w:t>
      </w:r>
      <w:r w:rsidR="00A8670B">
        <w:rPr>
          <w:rFonts w:cstheme="minorHAnsi"/>
        </w:rPr>
        <w:t xml:space="preserve"> and </w:t>
      </w:r>
      <w:r w:rsidR="0099008B" w:rsidRPr="0099008B">
        <w:rPr>
          <w:rFonts w:cstheme="minorHAnsi"/>
        </w:rPr>
        <w:t xml:space="preserve">protect </w:t>
      </w:r>
      <w:r w:rsidRPr="0099008B">
        <w:rPr>
          <w:rFonts w:cstheme="minorHAnsi"/>
        </w:rPr>
        <w:t xml:space="preserve">privacy </w:t>
      </w:r>
      <w:r w:rsidR="00A8670B">
        <w:rPr>
          <w:rFonts w:cstheme="minorHAnsi"/>
        </w:rPr>
        <w:t>and procedural fairness</w:t>
      </w:r>
      <w:r w:rsidR="0099008B" w:rsidRPr="0099008B">
        <w:rPr>
          <w:rFonts w:cstheme="minorHAnsi"/>
        </w:rPr>
        <w:t xml:space="preserve">. </w:t>
      </w:r>
      <w:r w:rsidR="00B478F4">
        <w:rPr>
          <w:rFonts w:cstheme="minorHAnsi"/>
        </w:rPr>
        <w:t xml:space="preserve">The components </w:t>
      </w:r>
      <w:r w:rsidR="0099008B" w:rsidRPr="0099008B">
        <w:rPr>
          <w:rFonts w:cstheme="minorHAnsi"/>
        </w:rPr>
        <w:t>of these initiatives vary, but can often include:</w:t>
      </w:r>
    </w:p>
    <w:p w14:paraId="2749A9DD" w14:textId="77777777" w:rsidR="00B478F4" w:rsidRPr="000365AD" w:rsidRDefault="00B478F4" w:rsidP="00B478F4">
      <w:pPr>
        <w:pStyle w:val="ListParagraph"/>
        <w:numPr>
          <w:ilvl w:val="0"/>
          <w:numId w:val="4"/>
        </w:numPr>
        <w:spacing w:after="240" w:line="240" w:lineRule="auto"/>
      </w:pPr>
      <w:r w:rsidRPr="000365AD">
        <w:t xml:space="preserve">Mandatory disclosure of criminal AI systems, including public “AI registers”. </w:t>
      </w:r>
    </w:p>
    <w:p w14:paraId="50064213" w14:textId="77777777" w:rsidR="00B478F4" w:rsidRDefault="00B478F4" w:rsidP="00B478F4">
      <w:pPr>
        <w:pStyle w:val="ListParagraph"/>
        <w:numPr>
          <w:ilvl w:val="0"/>
          <w:numId w:val="4"/>
        </w:numPr>
        <w:spacing w:after="240" w:line="240" w:lineRule="auto"/>
      </w:pPr>
      <w:r>
        <w:t xml:space="preserve">Prohibitions </w:t>
      </w:r>
      <w:r w:rsidRPr="000365AD">
        <w:t>on highest risk criminal AI systems</w:t>
      </w:r>
      <w:r>
        <w:t xml:space="preserve"> </w:t>
      </w:r>
    </w:p>
    <w:p w14:paraId="1B21B4FC" w14:textId="77777777" w:rsidR="00B478F4" w:rsidRPr="000365AD" w:rsidRDefault="00B478F4" w:rsidP="00B478F4">
      <w:pPr>
        <w:pStyle w:val="ListParagraph"/>
        <w:numPr>
          <w:ilvl w:val="0"/>
          <w:numId w:val="4"/>
        </w:numPr>
        <w:spacing w:after="240" w:line="240" w:lineRule="auto"/>
      </w:pPr>
      <w:r>
        <w:lastRenderedPageBreak/>
        <w:t>C</w:t>
      </w:r>
      <w:r w:rsidRPr="000365AD">
        <w:t xml:space="preserve">riteria to identify prohibited </w:t>
      </w:r>
      <w:r>
        <w:t xml:space="preserve">or </w:t>
      </w:r>
      <w:r w:rsidRPr="000365AD">
        <w:t xml:space="preserve">high-risk systems. </w:t>
      </w:r>
    </w:p>
    <w:p w14:paraId="7728F877" w14:textId="77777777" w:rsidR="00B478F4" w:rsidRDefault="00B478F4" w:rsidP="00B478F4">
      <w:pPr>
        <w:pStyle w:val="ListParagraph"/>
        <w:numPr>
          <w:ilvl w:val="0"/>
          <w:numId w:val="4"/>
        </w:numPr>
        <w:spacing w:after="240" w:line="240" w:lineRule="auto"/>
      </w:pPr>
      <w:r>
        <w:t xml:space="preserve">Purpose and use limitations. </w:t>
      </w:r>
    </w:p>
    <w:p w14:paraId="79D0F406" w14:textId="77777777" w:rsidR="00B478F4" w:rsidRDefault="00B478F4" w:rsidP="00B478F4">
      <w:pPr>
        <w:pStyle w:val="ListParagraph"/>
        <w:numPr>
          <w:ilvl w:val="0"/>
          <w:numId w:val="4"/>
        </w:numPr>
        <w:spacing w:after="240" w:line="240" w:lineRule="auto"/>
      </w:pPr>
      <w:r w:rsidRPr="000365AD">
        <w:t>Mandatory and transparent AI impact assessments.</w:t>
      </w:r>
    </w:p>
    <w:p w14:paraId="602E81B0" w14:textId="77777777" w:rsidR="00B478F4" w:rsidRPr="0099008B" w:rsidRDefault="00B478F4" w:rsidP="00B478F4">
      <w:pPr>
        <w:pStyle w:val="ListParagraph"/>
        <w:numPr>
          <w:ilvl w:val="0"/>
          <w:numId w:val="4"/>
        </w:numPr>
        <w:spacing w:after="240" w:line="240" w:lineRule="auto"/>
      </w:pPr>
      <w:r>
        <w:t>Mitigation requirements.</w:t>
      </w:r>
    </w:p>
    <w:p w14:paraId="73323259" w14:textId="77777777" w:rsidR="00B478F4" w:rsidRPr="000365AD" w:rsidRDefault="00B478F4" w:rsidP="00B478F4">
      <w:pPr>
        <w:pStyle w:val="ListParagraph"/>
        <w:numPr>
          <w:ilvl w:val="0"/>
          <w:numId w:val="4"/>
        </w:numPr>
        <w:spacing w:after="240" w:line="240" w:lineRule="auto"/>
      </w:pPr>
      <w:r>
        <w:t xml:space="preserve">Mandatory obligations to </w:t>
      </w:r>
      <w:r w:rsidRPr="000365AD">
        <w:t>measure, correct and audit bias in AI systems.</w:t>
      </w:r>
    </w:p>
    <w:p w14:paraId="67C2725F" w14:textId="77777777" w:rsidR="00B478F4" w:rsidRPr="000365AD" w:rsidRDefault="00B478F4" w:rsidP="00B478F4">
      <w:pPr>
        <w:pStyle w:val="ListParagraph"/>
        <w:numPr>
          <w:ilvl w:val="0"/>
          <w:numId w:val="4"/>
        </w:numPr>
        <w:spacing w:after="240" w:line="240" w:lineRule="auto"/>
      </w:pPr>
      <w:r w:rsidRPr="000365AD">
        <w:t>Procedural protections, such as warrant requirements for high-risk systems</w:t>
      </w:r>
      <w:r>
        <w:t xml:space="preserve">. </w:t>
      </w:r>
    </w:p>
    <w:p w14:paraId="29AA91E3" w14:textId="77777777" w:rsidR="00B478F4" w:rsidRPr="000365AD" w:rsidRDefault="00B478F4" w:rsidP="00B478F4">
      <w:pPr>
        <w:pStyle w:val="ListParagraph"/>
        <w:numPr>
          <w:ilvl w:val="0"/>
          <w:numId w:val="4"/>
        </w:numPr>
        <w:spacing w:after="240" w:line="240" w:lineRule="auto"/>
      </w:pPr>
      <w:r w:rsidRPr="000365AD">
        <w:t xml:space="preserve">Mandatory “human in the loop” requirements and training. </w:t>
      </w:r>
    </w:p>
    <w:p w14:paraId="31465EA8" w14:textId="085C19F9" w:rsidR="00B478F4" w:rsidRPr="00B478F4" w:rsidRDefault="00B478F4" w:rsidP="0099008B">
      <w:pPr>
        <w:pStyle w:val="ListParagraph"/>
        <w:numPr>
          <w:ilvl w:val="0"/>
          <w:numId w:val="4"/>
        </w:numPr>
        <w:spacing w:after="240" w:line="240" w:lineRule="auto"/>
      </w:pPr>
      <w:r w:rsidRPr="000365AD">
        <w:t>Mandatory auditing and evaluation requirements.</w:t>
      </w:r>
    </w:p>
    <w:p w14:paraId="3C4A4696" w14:textId="682FAD2F" w:rsidR="006E3A1D" w:rsidRPr="006E3A1D" w:rsidRDefault="006E3A1D" w:rsidP="0099008B">
      <w:pPr>
        <w:contextualSpacing/>
        <w:rPr>
          <w:rFonts w:eastAsia="Aptos" w:cs="Calibri"/>
          <w:color w:val="000000" w:themeColor="text1"/>
          <w:lang w:val="en-US"/>
        </w:rPr>
      </w:pPr>
      <w:r w:rsidRPr="006E3A1D">
        <w:rPr>
          <w:rFonts w:eastAsia="Aptos" w:cs="Calibri"/>
          <w:color w:val="000000" w:themeColor="text1"/>
          <w:lang w:val="en-US"/>
        </w:rPr>
        <w:t xml:space="preserve">The Issue Papers </w:t>
      </w:r>
      <w:r w:rsidR="00B478F4">
        <w:rPr>
          <w:rFonts w:eastAsia="Aptos" w:cs="Calibri"/>
          <w:color w:val="000000" w:themeColor="text1"/>
          <w:lang w:val="en-US"/>
        </w:rPr>
        <w:t xml:space="preserve">also </w:t>
      </w:r>
      <w:r w:rsidRPr="006E3A1D">
        <w:rPr>
          <w:rFonts w:eastAsia="Aptos" w:cs="Calibri"/>
          <w:color w:val="000000" w:themeColor="text1"/>
          <w:lang w:val="en-US"/>
        </w:rPr>
        <w:t xml:space="preserve">note the variations within and between criminal AI systems </w:t>
      </w:r>
      <w:r w:rsidR="00B478F4">
        <w:rPr>
          <w:rFonts w:eastAsia="Aptos" w:cs="Calibri"/>
          <w:color w:val="000000" w:themeColor="text1"/>
          <w:lang w:val="en-US"/>
        </w:rPr>
        <w:t xml:space="preserve">have important implications for their risks and effect on </w:t>
      </w:r>
      <w:r w:rsidRPr="006E3A1D">
        <w:rPr>
          <w:rFonts w:eastAsia="Aptos" w:cs="Calibri"/>
          <w:color w:val="000000" w:themeColor="text1"/>
          <w:lang w:val="en-US"/>
        </w:rPr>
        <w:t xml:space="preserve">rights.  </w:t>
      </w:r>
    </w:p>
    <w:p w14:paraId="1CDE979D" w14:textId="77777777" w:rsidR="006E3A1D" w:rsidRDefault="006E3A1D" w:rsidP="0099008B">
      <w:pPr>
        <w:contextualSpacing/>
        <w:rPr>
          <w:rFonts w:eastAsia="Aptos" w:cs="Calibri"/>
          <w:i/>
          <w:iCs/>
          <w:color w:val="FF0000"/>
          <w:lang w:val="en-US"/>
        </w:rPr>
      </w:pPr>
    </w:p>
    <w:p w14:paraId="5A4D6207" w14:textId="0882CC27" w:rsidR="006E3A1D" w:rsidRDefault="0099008B" w:rsidP="0099008B">
      <w:pPr>
        <w:contextualSpacing/>
        <w:rPr>
          <w:rFonts w:eastAsia="Aptos" w:cs="Calibri"/>
          <w:i/>
          <w:iCs/>
          <w:color w:val="FF0000"/>
          <w:lang w:val="en-US"/>
        </w:rPr>
      </w:pPr>
      <w:r w:rsidRPr="0099008B">
        <w:rPr>
          <w:rFonts w:eastAsia="Aptos" w:cs="Calibri"/>
          <w:i/>
          <w:iCs/>
          <w:color w:val="FF0000"/>
          <w:lang w:val="en-US"/>
        </w:rPr>
        <w:t xml:space="preserve">In principle, do you agree </w:t>
      </w:r>
      <w:r>
        <w:rPr>
          <w:rFonts w:eastAsia="Aptos" w:cs="Calibri"/>
          <w:i/>
          <w:iCs/>
          <w:color w:val="FF0000"/>
          <w:lang w:val="en-US"/>
        </w:rPr>
        <w:t xml:space="preserve">that the province and criminal justice institutions in Ontario should </w:t>
      </w:r>
      <w:r w:rsidR="006E3A1D">
        <w:rPr>
          <w:rFonts w:eastAsia="Aptos" w:cs="Calibri"/>
          <w:i/>
          <w:iCs/>
          <w:color w:val="FF0000"/>
          <w:lang w:val="en-US"/>
        </w:rPr>
        <w:t>explicitly</w:t>
      </w:r>
      <w:r>
        <w:rPr>
          <w:rFonts w:eastAsia="Aptos" w:cs="Calibri"/>
          <w:i/>
          <w:iCs/>
          <w:color w:val="FF0000"/>
          <w:lang w:val="en-US"/>
        </w:rPr>
        <w:t xml:space="preserve"> </w:t>
      </w:r>
      <w:r w:rsidRPr="006E3A1D">
        <w:rPr>
          <w:rFonts w:eastAsia="Aptos" w:cs="Calibri"/>
          <w:i/>
          <w:iCs/>
          <w:color w:val="FF0000"/>
          <w:lang w:val="en-US"/>
        </w:rPr>
        <w:t xml:space="preserve">commit to ensuring criminal AI systems </w:t>
      </w:r>
      <w:r w:rsidRPr="006E3A1D">
        <w:rPr>
          <w:rFonts w:cstheme="minorHAnsi"/>
          <w:i/>
          <w:iCs/>
          <w:color w:val="FF0000"/>
        </w:rPr>
        <w:t>do not discriminate, protect privacy rights, and can be explained?</w:t>
      </w:r>
      <w:r w:rsidRPr="006E3A1D">
        <w:rPr>
          <w:rFonts w:eastAsia="Aptos" w:cs="Calibri"/>
          <w:i/>
          <w:iCs/>
          <w:color w:val="FF0000"/>
          <w:lang w:val="en-US"/>
        </w:rPr>
        <w:t xml:space="preserve"> </w:t>
      </w:r>
    </w:p>
    <w:p w14:paraId="780E5E6E" w14:textId="77777777" w:rsidR="006E3A1D" w:rsidRDefault="006E3A1D" w:rsidP="006E3A1D">
      <w:pPr>
        <w:contextualSpacing/>
        <w:rPr>
          <w:rFonts w:eastAsia="Aptos" w:cs="Calibri"/>
          <w:i/>
          <w:iCs/>
          <w:color w:val="FF0000"/>
          <w:lang w:val="en-US"/>
        </w:rPr>
      </w:pPr>
    </w:p>
    <w:p w14:paraId="0ACD59E8" w14:textId="4DBF7B9F" w:rsidR="006E3A1D" w:rsidRDefault="00B478F4" w:rsidP="006E3A1D">
      <w:pPr>
        <w:contextualSpacing/>
        <w:rPr>
          <w:rFonts w:eastAsia="Aptos" w:cs="Calibri"/>
          <w:i/>
          <w:iCs/>
          <w:color w:val="FF0000"/>
          <w:lang w:val="en-US"/>
        </w:rPr>
      </w:pPr>
      <w:r>
        <w:rPr>
          <w:rFonts w:eastAsia="Aptos" w:cs="Calibri"/>
          <w:i/>
          <w:iCs/>
          <w:color w:val="FF0000"/>
          <w:lang w:val="en-US"/>
        </w:rPr>
        <w:t xml:space="preserve">In your view, which of the </w:t>
      </w:r>
      <w:r w:rsidR="00A8670B">
        <w:rPr>
          <w:rFonts w:eastAsia="Aptos" w:cs="Calibri"/>
          <w:i/>
          <w:iCs/>
          <w:color w:val="FF0000"/>
          <w:lang w:val="en-US"/>
        </w:rPr>
        <w:t xml:space="preserve">components listed above are necessary to ensure criminal AI systems protect rights? </w:t>
      </w:r>
      <w:r w:rsidR="00A8670B" w:rsidRPr="0099008B">
        <w:rPr>
          <w:rFonts w:eastAsia="Aptos" w:cs="Calibri"/>
          <w:i/>
          <w:iCs/>
          <w:color w:val="FF0000"/>
          <w:lang w:val="en-US"/>
        </w:rPr>
        <w:t>Does Canadian law suggest which</w:t>
      </w:r>
      <w:r w:rsidR="00A8670B">
        <w:rPr>
          <w:rFonts w:eastAsia="Aptos" w:cs="Calibri"/>
          <w:i/>
          <w:iCs/>
          <w:color w:val="FF0000"/>
          <w:lang w:val="en-US"/>
        </w:rPr>
        <w:t xml:space="preserve"> components should be adopted?</w:t>
      </w:r>
    </w:p>
    <w:p w14:paraId="199B76FB" w14:textId="77777777" w:rsidR="00A8670B" w:rsidRDefault="00A8670B" w:rsidP="006E3A1D">
      <w:pPr>
        <w:contextualSpacing/>
        <w:rPr>
          <w:rFonts w:eastAsia="Aptos" w:cs="Calibri"/>
          <w:i/>
          <w:iCs/>
          <w:color w:val="FF0000"/>
          <w:lang w:val="en-US"/>
        </w:rPr>
      </w:pPr>
    </w:p>
    <w:p w14:paraId="7AD05D5A" w14:textId="4AF08319" w:rsidR="00A8670B" w:rsidRDefault="00A8670B" w:rsidP="006E3A1D">
      <w:pPr>
        <w:contextualSpacing/>
        <w:rPr>
          <w:rFonts w:eastAsia="Aptos" w:cs="Calibri"/>
          <w:i/>
          <w:iCs/>
          <w:color w:val="FF0000"/>
          <w:lang w:val="en-US"/>
        </w:rPr>
      </w:pPr>
      <w:r>
        <w:rPr>
          <w:rFonts w:eastAsia="Aptos" w:cs="Calibri"/>
          <w:i/>
          <w:iCs/>
          <w:color w:val="FF0000"/>
          <w:lang w:val="en-US"/>
        </w:rPr>
        <w:t xml:space="preserve">What is the best way to evaluate the rights impact of various criminal AI systems? Should there be a sliding-scale of mitigation requirements depending on the risk of the </w:t>
      </w:r>
      <w:r w:rsidR="00364898">
        <w:rPr>
          <w:rFonts w:eastAsia="Aptos" w:cs="Calibri"/>
          <w:i/>
          <w:iCs/>
          <w:color w:val="FF0000"/>
          <w:lang w:val="en-US"/>
        </w:rPr>
        <w:t>system</w:t>
      </w:r>
      <w:r>
        <w:rPr>
          <w:rFonts w:eastAsia="Aptos" w:cs="Calibri"/>
          <w:i/>
          <w:iCs/>
          <w:color w:val="FF0000"/>
          <w:lang w:val="en-US"/>
        </w:rPr>
        <w:t>?</w:t>
      </w:r>
    </w:p>
    <w:p w14:paraId="5BBAB995" w14:textId="261DE571" w:rsidR="00A8670B" w:rsidRDefault="00A8670B" w:rsidP="006E3A1D">
      <w:pPr>
        <w:contextualSpacing/>
        <w:rPr>
          <w:rFonts w:eastAsia="Aptos" w:cs="Calibri"/>
          <w:i/>
          <w:iCs/>
          <w:color w:val="FF0000"/>
          <w:lang w:val="en-US"/>
        </w:rPr>
      </w:pPr>
    </w:p>
    <w:p w14:paraId="68AF5745" w14:textId="77777777" w:rsidR="004548AC" w:rsidRPr="00C9064E" w:rsidRDefault="004548AC" w:rsidP="004548AC">
      <w:pPr>
        <w:pStyle w:val="Heading2"/>
        <w:numPr>
          <w:ilvl w:val="0"/>
          <w:numId w:val="35"/>
        </w:numPr>
        <w:rPr>
          <w:rFonts w:eastAsia="Aptos"/>
          <w:lang w:val="en-US"/>
        </w:rPr>
      </w:pPr>
      <w:bookmarkStart w:id="75" w:name="_Toc195604726"/>
      <w:r w:rsidRPr="00C9064E">
        <w:rPr>
          <w:rFonts w:eastAsia="Aptos"/>
          <w:lang w:val="en-US"/>
        </w:rPr>
        <w:t>Disclosure</w:t>
      </w:r>
      <w:bookmarkEnd w:id="75"/>
      <w:r w:rsidRPr="00C9064E">
        <w:rPr>
          <w:rFonts w:eastAsia="Aptos"/>
          <w:lang w:val="en-US"/>
        </w:rPr>
        <w:t xml:space="preserve"> </w:t>
      </w:r>
    </w:p>
    <w:p w14:paraId="29B3DC51" w14:textId="77777777" w:rsidR="004548AC" w:rsidRPr="0099008B" w:rsidRDefault="004548AC" w:rsidP="004548AC">
      <w:pPr>
        <w:spacing w:before="120" w:after="120" w:line="240" w:lineRule="auto"/>
        <w:rPr>
          <w:rFonts w:cstheme="minorHAnsi"/>
          <w:szCs w:val="21"/>
        </w:rPr>
      </w:pPr>
      <w:r w:rsidRPr="0099008B">
        <w:rPr>
          <w:rFonts w:cstheme="minorHAnsi"/>
          <w:szCs w:val="21"/>
        </w:rPr>
        <w:t xml:space="preserve">Disclosure is a consistent theme in trustworthy criminal AI legislation and frameworks.  There are choices about the timing, form and substance of disclosure obligations. </w:t>
      </w:r>
    </w:p>
    <w:p w14:paraId="7417D8A1" w14:textId="77777777" w:rsidR="004548AC" w:rsidRPr="0099008B" w:rsidRDefault="004548AC" w:rsidP="004548AC">
      <w:pPr>
        <w:spacing w:after="120" w:line="240" w:lineRule="auto"/>
        <w:rPr>
          <w:rFonts w:cstheme="minorHAnsi"/>
          <w:i/>
          <w:iCs/>
          <w:szCs w:val="21"/>
        </w:rPr>
      </w:pPr>
    </w:p>
    <w:p w14:paraId="51DE8416" w14:textId="77777777" w:rsidR="004548AC" w:rsidRPr="0099008B" w:rsidRDefault="004548AC" w:rsidP="004548AC">
      <w:pPr>
        <w:spacing w:line="240" w:lineRule="auto"/>
        <w:rPr>
          <w:rFonts w:cstheme="minorHAnsi"/>
          <w:i/>
          <w:iCs/>
          <w:color w:val="FF0000"/>
          <w:szCs w:val="21"/>
        </w:rPr>
      </w:pPr>
      <w:r w:rsidRPr="0099008B">
        <w:rPr>
          <w:rFonts w:cstheme="minorHAnsi"/>
          <w:i/>
          <w:iCs/>
          <w:color w:val="FF0000"/>
          <w:szCs w:val="21"/>
        </w:rPr>
        <w:t>How and to what extent should criminal AI systems be disclosed?</w:t>
      </w:r>
    </w:p>
    <w:p w14:paraId="607E1389" w14:textId="77777777" w:rsidR="004548AC" w:rsidRPr="0099008B" w:rsidRDefault="004548AC" w:rsidP="004548AC">
      <w:pPr>
        <w:spacing w:line="240" w:lineRule="auto"/>
        <w:rPr>
          <w:rFonts w:cstheme="minorHAnsi"/>
          <w:i/>
          <w:iCs/>
          <w:color w:val="FF0000"/>
          <w:szCs w:val="21"/>
        </w:rPr>
      </w:pPr>
      <w:r w:rsidRPr="0099008B">
        <w:rPr>
          <w:rFonts w:cstheme="minorHAnsi"/>
          <w:i/>
          <w:iCs/>
          <w:color w:val="FF0000"/>
          <w:szCs w:val="21"/>
        </w:rPr>
        <w:t>Should there be a mandatory AI register or public report? If so, what should be included:</w:t>
      </w:r>
    </w:p>
    <w:p w14:paraId="5FC05CEA" w14:textId="77777777" w:rsidR="004548AC" w:rsidRPr="0099008B" w:rsidRDefault="004548AC" w:rsidP="004548AC">
      <w:pPr>
        <w:pStyle w:val="ListParagraph"/>
        <w:numPr>
          <w:ilvl w:val="1"/>
          <w:numId w:val="10"/>
        </w:numPr>
        <w:spacing w:line="240" w:lineRule="auto"/>
        <w:ind w:left="720"/>
        <w:rPr>
          <w:rFonts w:cstheme="minorHAnsi"/>
          <w:i/>
          <w:iCs/>
          <w:color w:val="FF0000"/>
          <w:szCs w:val="21"/>
        </w:rPr>
      </w:pPr>
      <w:r w:rsidRPr="0099008B">
        <w:rPr>
          <w:rFonts w:cstheme="minorHAnsi"/>
          <w:i/>
          <w:iCs/>
          <w:color w:val="FF0000"/>
          <w:szCs w:val="21"/>
        </w:rPr>
        <w:t>A detailed or summary impact assessment?</w:t>
      </w:r>
    </w:p>
    <w:p w14:paraId="71B9574B" w14:textId="77777777" w:rsidR="004548AC" w:rsidRPr="0099008B" w:rsidRDefault="004548AC" w:rsidP="004548AC">
      <w:pPr>
        <w:pStyle w:val="ListParagraph"/>
        <w:numPr>
          <w:ilvl w:val="1"/>
          <w:numId w:val="10"/>
        </w:numPr>
        <w:spacing w:line="240" w:lineRule="auto"/>
        <w:ind w:left="720"/>
        <w:rPr>
          <w:rFonts w:cstheme="minorHAnsi"/>
          <w:i/>
          <w:iCs/>
          <w:color w:val="FF0000"/>
          <w:szCs w:val="21"/>
        </w:rPr>
      </w:pPr>
      <w:r w:rsidRPr="0099008B">
        <w:rPr>
          <w:rFonts w:cstheme="minorHAnsi"/>
          <w:i/>
          <w:iCs/>
          <w:color w:val="FF0000"/>
          <w:szCs w:val="21"/>
        </w:rPr>
        <w:t xml:space="preserve">Comprehensive or a summary description of training data? </w:t>
      </w:r>
    </w:p>
    <w:p w14:paraId="6E56D3BA" w14:textId="77777777" w:rsidR="004548AC" w:rsidRPr="0099008B" w:rsidRDefault="004548AC" w:rsidP="004548AC">
      <w:pPr>
        <w:pStyle w:val="ListParagraph"/>
        <w:numPr>
          <w:ilvl w:val="1"/>
          <w:numId w:val="10"/>
        </w:numPr>
        <w:spacing w:line="240" w:lineRule="auto"/>
        <w:ind w:left="720"/>
        <w:rPr>
          <w:rFonts w:cstheme="minorHAnsi"/>
          <w:i/>
          <w:iCs/>
          <w:color w:val="FF0000"/>
          <w:szCs w:val="21"/>
        </w:rPr>
      </w:pPr>
      <w:r w:rsidRPr="0099008B">
        <w:rPr>
          <w:rFonts w:cstheme="minorHAnsi"/>
          <w:i/>
          <w:iCs/>
          <w:color w:val="FF0000"/>
          <w:szCs w:val="21"/>
        </w:rPr>
        <w:t>Output data to facilitate independent auditing, oversight and performance monitoring?</w:t>
      </w:r>
    </w:p>
    <w:p w14:paraId="4AC0A8A7" w14:textId="39FAF7FE" w:rsidR="00C9376C" w:rsidRPr="00C9376C" w:rsidRDefault="004548AC" w:rsidP="004548AC">
      <w:pPr>
        <w:spacing w:line="240" w:lineRule="auto"/>
      </w:pPr>
      <w:r w:rsidRPr="0099008B">
        <w:rPr>
          <w:rFonts w:cstheme="minorHAnsi"/>
          <w:i/>
          <w:iCs/>
          <w:color w:val="FF0000"/>
          <w:szCs w:val="21"/>
        </w:rPr>
        <w:t xml:space="preserve">How to promote disclosure while protecting other legitimate objectives, </w:t>
      </w:r>
      <w:r w:rsidR="00364898">
        <w:rPr>
          <w:rFonts w:cstheme="minorHAnsi"/>
          <w:i/>
          <w:iCs/>
          <w:color w:val="FF0000"/>
          <w:szCs w:val="21"/>
        </w:rPr>
        <w:t xml:space="preserve">such as </w:t>
      </w:r>
      <w:r w:rsidRPr="0099008B">
        <w:rPr>
          <w:rFonts w:cstheme="minorHAnsi"/>
          <w:i/>
          <w:iCs/>
          <w:color w:val="FF0000"/>
          <w:szCs w:val="21"/>
        </w:rPr>
        <w:t xml:space="preserve">sensitive investigating techniques? </w:t>
      </w:r>
      <w:r w:rsidRPr="0099008B">
        <w:rPr>
          <w:rFonts w:cstheme="minorHAnsi"/>
          <w:i/>
          <w:iCs/>
          <w:szCs w:val="21"/>
        </w:rPr>
        <w:br/>
      </w:r>
    </w:p>
    <w:p w14:paraId="6403D509" w14:textId="11B42D1C" w:rsidR="0057301C" w:rsidRPr="0057301C" w:rsidRDefault="0057301C" w:rsidP="00A2744F">
      <w:pPr>
        <w:pStyle w:val="Heading2"/>
        <w:numPr>
          <w:ilvl w:val="0"/>
          <w:numId w:val="35"/>
        </w:numPr>
      </w:pPr>
      <w:bookmarkStart w:id="76" w:name="_Toc195604727"/>
      <w:r w:rsidRPr="0057301C">
        <w:t xml:space="preserve">Impact </w:t>
      </w:r>
      <w:r w:rsidRPr="00A2744F">
        <w:t>Assessments</w:t>
      </w:r>
      <w:bookmarkEnd w:id="76"/>
    </w:p>
    <w:p w14:paraId="18C5E5B5" w14:textId="24F79763" w:rsidR="0057301C" w:rsidRPr="0099008B" w:rsidRDefault="0057301C" w:rsidP="00C9376C">
      <w:pPr>
        <w:spacing w:before="120" w:after="120" w:line="240" w:lineRule="auto"/>
        <w:rPr>
          <w:rFonts w:cstheme="minorHAnsi"/>
          <w:szCs w:val="21"/>
        </w:rPr>
      </w:pPr>
      <w:r w:rsidRPr="0099008B">
        <w:rPr>
          <w:rFonts w:cstheme="minorHAnsi"/>
          <w:szCs w:val="21"/>
        </w:rPr>
        <w:t xml:space="preserve">The need for impact assessments is a consistent theme in criminal AI legislation and frameworks. </w:t>
      </w:r>
      <w:r w:rsidR="00662091" w:rsidRPr="0099008B">
        <w:rPr>
          <w:rFonts w:cstheme="minorHAnsi"/>
          <w:szCs w:val="21"/>
        </w:rPr>
        <w:t xml:space="preserve">There are choices about the timing, form and substance of impact assessments. </w:t>
      </w:r>
    </w:p>
    <w:p w14:paraId="7F9C7118" w14:textId="77777777" w:rsidR="0057301C" w:rsidRPr="0099008B" w:rsidRDefault="0057301C" w:rsidP="0057301C">
      <w:pPr>
        <w:pStyle w:val="ListParagraph"/>
        <w:spacing w:before="120" w:after="120" w:line="240" w:lineRule="auto"/>
        <w:rPr>
          <w:rFonts w:cstheme="minorHAnsi"/>
          <w:szCs w:val="21"/>
        </w:rPr>
      </w:pPr>
    </w:p>
    <w:p w14:paraId="78238B6D" w14:textId="77777777" w:rsidR="00AC6965" w:rsidRPr="0099008B" w:rsidRDefault="0057301C" w:rsidP="00AC6965">
      <w:pPr>
        <w:pStyle w:val="ListParagraph"/>
        <w:spacing w:before="120" w:after="120" w:line="240" w:lineRule="auto"/>
        <w:ind w:left="0"/>
        <w:rPr>
          <w:rFonts w:cstheme="minorHAnsi"/>
          <w:i/>
          <w:iCs/>
          <w:color w:val="FF0000"/>
          <w:szCs w:val="21"/>
        </w:rPr>
      </w:pPr>
      <w:r w:rsidRPr="0099008B">
        <w:rPr>
          <w:rFonts w:cstheme="minorHAnsi"/>
          <w:i/>
          <w:iCs/>
          <w:color w:val="FF0000"/>
          <w:szCs w:val="21"/>
        </w:rPr>
        <w:t xml:space="preserve">Should the province require </w:t>
      </w:r>
      <w:r w:rsidR="006A6819" w:rsidRPr="0099008B">
        <w:rPr>
          <w:rFonts w:cstheme="minorHAnsi"/>
          <w:i/>
          <w:iCs/>
          <w:color w:val="FF0000"/>
          <w:szCs w:val="21"/>
        </w:rPr>
        <w:t xml:space="preserve">a mandatory </w:t>
      </w:r>
      <w:r w:rsidRPr="0099008B">
        <w:rPr>
          <w:rFonts w:cstheme="minorHAnsi"/>
          <w:bCs/>
          <w:i/>
          <w:iCs/>
          <w:color w:val="FF0000"/>
          <w:szCs w:val="21"/>
        </w:rPr>
        <w:t>impact assessment</w:t>
      </w:r>
      <w:r w:rsidRPr="0099008B">
        <w:rPr>
          <w:rFonts w:cstheme="minorHAnsi"/>
          <w:b/>
          <w:i/>
          <w:iCs/>
          <w:color w:val="FF0000"/>
          <w:szCs w:val="21"/>
        </w:rPr>
        <w:t xml:space="preserve"> </w:t>
      </w:r>
      <w:r w:rsidRPr="0099008B">
        <w:rPr>
          <w:rFonts w:cstheme="minorHAnsi"/>
          <w:bCs/>
          <w:i/>
          <w:iCs/>
          <w:color w:val="FF0000"/>
          <w:szCs w:val="21"/>
        </w:rPr>
        <w:t>for criminal AI systems in Ontario</w:t>
      </w:r>
      <w:r w:rsidR="006A6819" w:rsidRPr="0099008B">
        <w:rPr>
          <w:rFonts w:cstheme="minorHAnsi"/>
          <w:bCs/>
          <w:i/>
          <w:iCs/>
          <w:color w:val="FF0000"/>
          <w:szCs w:val="21"/>
        </w:rPr>
        <w:t>?</w:t>
      </w:r>
      <w:r w:rsidRPr="0099008B">
        <w:rPr>
          <w:rFonts w:cstheme="minorHAnsi"/>
          <w:bCs/>
          <w:i/>
          <w:iCs/>
          <w:color w:val="FF0000"/>
          <w:szCs w:val="21"/>
        </w:rPr>
        <w:t xml:space="preserve"> </w:t>
      </w:r>
      <w:r w:rsidR="006A6819" w:rsidRPr="0099008B">
        <w:rPr>
          <w:rFonts w:cstheme="minorHAnsi"/>
          <w:bCs/>
          <w:i/>
          <w:iCs/>
          <w:color w:val="FF0000"/>
          <w:szCs w:val="21"/>
        </w:rPr>
        <w:t>Do you agree an impact assessment should address</w:t>
      </w:r>
      <w:r w:rsidR="00AC6965" w:rsidRPr="0099008B">
        <w:rPr>
          <w:rFonts w:cstheme="minorHAnsi"/>
          <w:bCs/>
          <w:i/>
          <w:iCs/>
          <w:color w:val="FF0000"/>
          <w:szCs w:val="21"/>
        </w:rPr>
        <w:t xml:space="preserve"> p</w:t>
      </w:r>
      <w:r w:rsidRPr="0099008B">
        <w:rPr>
          <w:rFonts w:cstheme="minorHAnsi"/>
          <w:i/>
          <w:iCs/>
          <w:color w:val="FF0000"/>
          <w:szCs w:val="21"/>
        </w:rPr>
        <w:t>rivac</w:t>
      </w:r>
      <w:r w:rsidR="00C9376C" w:rsidRPr="0099008B">
        <w:rPr>
          <w:rFonts w:cstheme="minorHAnsi"/>
          <w:i/>
          <w:iCs/>
          <w:color w:val="FF0000"/>
          <w:szCs w:val="21"/>
        </w:rPr>
        <w:t>y</w:t>
      </w:r>
      <w:r w:rsidR="00AC6965" w:rsidRPr="0099008B">
        <w:rPr>
          <w:rFonts w:cstheme="minorHAnsi"/>
          <w:i/>
          <w:iCs/>
          <w:color w:val="FF0000"/>
          <w:szCs w:val="21"/>
        </w:rPr>
        <w:t xml:space="preserve">, human </w:t>
      </w:r>
      <w:r w:rsidRPr="0099008B">
        <w:rPr>
          <w:rFonts w:cstheme="minorHAnsi"/>
          <w:i/>
          <w:iCs/>
          <w:color w:val="FF0000"/>
          <w:szCs w:val="21"/>
        </w:rPr>
        <w:t>rights</w:t>
      </w:r>
      <w:r w:rsidR="00AC6965" w:rsidRPr="0099008B">
        <w:rPr>
          <w:rFonts w:cstheme="minorHAnsi"/>
          <w:i/>
          <w:iCs/>
          <w:color w:val="FF0000"/>
          <w:szCs w:val="21"/>
        </w:rPr>
        <w:t xml:space="preserve"> and </w:t>
      </w:r>
      <w:r w:rsidRPr="0099008B">
        <w:rPr>
          <w:rFonts w:cstheme="minorHAnsi"/>
          <w:i/>
          <w:iCs/>
          <w:color w:val="FF0000"/>
          <w:szCs w:val="21"/>
        </w:rPr>
        <w:t>procedural fairness and provide</w:t>
      </w:r>
      <w:r w:rsidR="006A6819" w:rsidRPr="0099008B">
        <w:rPr>
          <w:rFonts w:cstheme="minorHAnsi"/>
          <w:i/>
          <w:iCs/>
          <w:color w:val="FF0000"/>
          <w:szCs w:val="21"/>
        </w:rPr>
        <w:t xml:space="preserve"> </w:t>
      </w:r>
      <w:r w:rsidRPr="0099008B">
        <w:rPr>
          <w:rFonts w:cstheme="minorHAnsi"/>
          <w:i/>
          <w:iCs/>
          <w:color w:val="FF0000"/>
          <w:szCs w:val="21"/>
        </w:rPr>
        <w:t>assurances about how an AI system will comply with other legal obligations?</w:t>
      </w:r>
      <w:r w:rsidR="006A6819" w:rsidRPr="0099008B">
        <w:rPr>
          <w:rFonts w:cstheme="minorHAnsi"/>
          <w:i/>
          <w:iCs/>
          <w:color w:val="FF0000"/>
          <w:szCs w:val="21"/>
        </w:rPr>
        <w:t xml:space="preserve"> </w:t>
      </w:r>
    </w:p>
    <w:p w14:paraId="13636BF8" w14:textId="77777777" w:rsidR="00AC6965" w:rsidRPr="0099008B" w:rsidRDefault="00AC6965" w:rsidP="00AC6965">
      <w:pPr>
        <w:pStyle w:val="ListParagraph"/>
        <w:spacing w:before="120" w:after="120" w:line="240" w:lineRule="auto"/>
        <w:ind w:left="0"/>
        <w:rPr>
          <w:rFonts w:cstheme="minorHAnsi"/>
          <w:i/>
          <w:iCs/>
          <w:color w:val="FF0000"/>
          <w:szCs w:val="21"/>
        </w:rPr>
      </w:pPr>
    </w:p>
    <w:p w14:paraId="463A84A6" w14:textId="06A8C392" w:rsidR="006A6819" w:rsidRPr="0099008B" w:rsidRDefault="0057301C" w:rsidP="00AC6965">
      <w:pPr>
        <w:pStyle w:val="ListParagraph"/>
        <w:spacing w:before="120" w:after="120" w:line="240" w:lineRule="auto"/>
        <w:ind w:left="0"/>
        <w:rPr>
          <w:rFonts w:cstheme="minorHAnsi"/>
          <w:i/>
          <w:iCs/>
          <w:color w:val="FF0000"/>
          <w:szCs w:val="21"/>
        </w:rPr>
      </w:pPr>
      <w:r w:rsidRPr="0099008B">
        <w:rPr>
          <w:rFonts w:cstheme="minorHAnsi"/>
          <w:i/>
          <w:iCs/>
          <w:color w:val="FF0000"/>
          <w:szCs w:val="21"/>
        </w:rPr>
        <w:lastRenderedPageBreak/>
        <w:t xml:space="preserve">What </w:t>
      </w:r>
      <w:r w:rsidR="006A6819" w:rsidRPr="0099008B">
        <w:rPr>
          <w:rFonts w:cstheme="minorHAnsi"/>
          <w:i/>
          <w:iCs/>
          <w:color w:val="FF0000"/>
          <w:szCs w:val="21"/>
        </w:rPr>
        <w:t xml:space="preserve">other </w:t>
      </w:r>
      <w:r w:rsidRPr="0099008B">
        <w:rPr>
          <w:rFonts w:cstheme="minorHAnsi"/>
          <w:i/>
          <w:iCs/>
          <w:color w:val="FF0000"/>
          <w:szCs w:val="21"/>
        </w:rPr>
        <w:t>information or risks should be included?</w:t>
      </w:r>
      <w:r w:rsidR="004A4B72" w:rsidRPr="0099008B">
        <w:rPr>
          <w:rFonts w:cstheme="minorHAnsi"/>
          <w:i/>
          <w:iCs/>
          <w:color w:val="FF0000"/>
          <w:szCs w:val="21"/>
        </w:rPr>
        <w:t xml:space="preserve"> </w:t>
      </w:r>
      <w:r w:rsidR="006A6819" w:rsidRPr="0099008B">
        <w:rPr>
          <w:rFonts w:cstheme="minorHAnsi"/>
          <w:i/>
          <w:iCs/>
          <w:color w:val="FF0000"/>
          <w:szCs w:val="21"/>
        </w:rPr>
        <w:t xml:space="preserve"> </w:t>
      </w:r>
    </w:p>
    <w:p w14:paraId="643E9952" w14:textId="77777777" w:rsidR="006A6819" w:rsidRPr="0099008B" w:rsidRDefault="006A6819" w:rsidP="00C9376C">
      <w:pPr>
        <w:pStyle w:val="ListParagraph"/>
        <w:spacing w:before="120" w:after="120" w:line="240" w:lineRule="auto"/>
        <w:ind w:left="0"/>
        <w:rPr>
          <w:rFonts w:cstheme="minorHAnsi"/>
          <w:i/>
          <w:iCs/>
          <w:color w:val="FF0000"/>
          <w:szCs w:val="21"/>
        </w:rPr>
      </w:pPr>
    </w:p>
    <w:p w14:paraId="45B852F6" w14:textId="34901197" w:rsidR="004A4B72" w:rsidRPr="0099008B" w:rsidRDefault="0057301C" w:rsidP="00C9376C">
      <w:pPr>
        <w:pStyle w:val="ListParagraph"/>
        <w:spacing w:before="120" w:after="120" w:line="240" w:lineRule="auto"/>
        <w:ind w:left="0"/>
        <w:rPr>
          <w:rFonts w:cstheme="minorHAnsi"/>
          <w:i/>
          <w:iCs/>
          <w:color w:val="FF0000"/>
          <w:szCs w:val="21"/>
        </w:rPr>
      </w:pPr>
      <w:r w:rsidRPr="0099008B">
        <w:rPr>
          <w:rFonts w:cstheme="minorHAnsi"/>
          <w:i/>
          <w:iCs/>
          <w:color w:val="FF0000"/>
          <w:szCs w:val="21"/>
        </w:rPr>
        <w:t xml:space="preserve">How </w:t>
      </w:r>
      <w:r w:rsidR="004A4B72" w:rsidRPr="0099008B">
        <w:rPr>
          <w:rFonts w:cstheme="minorHAnsi"/>
          <w:i/>
          <w:iCs/>
          <w:color w:val="FF0000"/>
          <w:szCs w:val="21"/>
        </w:rPr>
        <w:t xml:space="preserve">to </w:t>
      </w:r>
      <w:r w:rsidRPr="0099008B">
        <w:rPr>
          <w:rFonts w:cstheme="minorHAnsi"/>
          <w:i/>
          <w:iCs/>
          <w:color w:val="FF0000"/>
          <w:szCs w:val="21"/>
        </w:rPr>
        <w:t xml:space="preserve">ensure </w:t>
      </w:r>
      <w:r w:rsidR="00302833" w:rsidRPr="0099008B">
        <w:rPr>
          <w:rFonts w:cstheme="minorHAnsi"/>
          <w:i/>
          <w:iCs/>
          <w:color w:val="FF0000"/>
          <w:szCs w:val="21"/>
        </w:rPr>
        <w:t>impact assessment</w:t>
      </w:r>
      <w:r w:rsidR="004A4B72" w:rsidRPr="0099008B">
        <w:rPr>
          <w:rFonts w:cstheme="minorHAnsi"/>
          <w:i/>
          <w:iCs/>
          <w:color w:val="FF0000"/>
          <w:szCs w:val="21"/>
        </w:rPr>
        <w:t>s</w:t>
      </w:r>
      <w:r w:rsidR="00302833" w:rsidRPr="0099008B">
        <w:rPr>
          <w:rFonts w:cstheme="minorHAnsi"/>
          <w:i/>
          <w:iCs/>
          <w:color w:val="FF0000"/>
          <w:szCs w:val="21"/>
        </w:rPr>
        <w:t xml:space="preserve"> </w:t>
      </w:r>
      <w:r w:rsidR="004A4B72" w:rsidRPr="0099008B">
        <w:rPr>
          <w:rFonts w:cstheme="minorHAnsi"/>
          <w:i/>
          <w:iCs/>
          <w:color w:val="FF0000"/>
          <w:szCs w:val="21"/>
        </w:rPr>
        <w:t xml:space="preserve">are </w:t>
      </w:r>
      <w:r w:rsidRPr="0099008B">
        <w:rPr>
          <w:rFonts w:cstheme="minorHAnsi"/>
          <w:i/>
          <w:iCs/>
          <w:color w:val="FF0000"/>
          <w:szCs w:val="21"/>
        </w:rPr>
        <w:t xml:space="preserve">being used </w:t>
      </w:r>
      <w:r w:rsidR="00302833" w:rsidRPr="0099008B">
        <w:rPr>
          <w:rFonts w:cstheme="minorHAnsi"/>
          <w:i/>
          <w:iCs/>
          <w:color w:val="FF0000"/>
          <w:szCs w:val="21"/>
        </w:rPr>
        <w:t xml:space="preserve">and reported </w:t>
      </w:r>
      <w:r w:rsidRPr="0099008B">
        <w:rPr>
          <w:rFonts w:cstheme="minorHAnsi"/>
          <w:i/>
          <w:iCs/>
          <w:color w:val="FF0000"/>
          <w:szCs w:val="21"/>
        </w:rPr>
        <w:t>consistently?</w:t>
      </w:r>
      <w:r w:rsidRPr="0099008B">
        <w:rPr>
          <w:rFonts w:eastAsia="Aptos" w:cs="Calibri"/>
          <w:i/>
          <w:iCs/>
          <w:color w:val="FF0000"/>
          <w:szCs w:val="21"/>
          <w:lang w:val="en-US"/>
        </w:rPr>
        <w:br/>
      </w:r>
    </w:p>
    <w:p w14:paraId="55D7FFB3" w14:textId="5E5653B0" w:rsidR="00A2744F" w:rsidRPr="00A2744F" w:rsidRDefault="00613485" w:rsidP="00A2744F">
      <w:pPr>
        <w:pStyle w:val="Heading2"/>
        <w:numPr>
          <w:ilvl w:val="0"/>
          <w:numId w:val="35"/>
        </w:numPr>
        <w:spacing w:after="120"/>
        <w:rPr>
          <w:lang w:val="en-US"/>
        </w:rPr>
      </w:pPr>
      <w:bookmarkStart w:id="77" w:name="_Toc195604728"/>
      <w:r w:rsidRPr="00D321AE">
        <w:t>Bail</w:t>
      </w:r>
      <w:r w:rsidRPr="00613485">
        <w:rPr>
          <w:lang w:val="en-US"/>
        </w:rPr>
        <w:t xml:space="preserve"> and Sentencing Risk Assessments</w:t>
      </w:r>
      <w:bookmarkEnd w:id="77"/>
    </w:p>
    <w:p w14:paraId="65A7241F" w14:textId="1DD37FBC" w:rsidR="0087054B" w:rsidRPr="0099008B" w:rsidRDefault="0087054B" w:rsidP="00662091">
      <w:pPr>
        <w:rPr>
          <w:rFonts w:eastAsia="Aptos" w:cs="Calibri"/>
          <w:szCs w:val="21"/>
          <w:lang w:val="en-US"/>
        </w:rPr>
      </w:pPr>
      <w:r w:rsidRPr="0099008B">
        <w:rPr>
          <w:rFonts w:eastAsia="Calibri" w:cs="Calibri"/>
          <w:szCs w:val="21"/>
          <w:lang w:eastAsia="en-CA"/>
        </w:rPr>
        <w:t>Bail and sentencing risk assessment AI and algorithms raise many challenges</w:t>
      </w:r>
      <w:r w:rsidR="00662091" w:rsidRPr="0099008B">
        <w:rPr>
          <w:rFonts w:eastAsia="Calibri" w:cs="Calibri"/>
          <w:szCs w:val="21"/>
          <w:lang w:eastAsia="en-CA"/>
        </w:rPr>
        <w:t xml:space="preserve">, including questions regarding bias and discrimination, disclosure and an accused’s ability to challenge a algorithm’s predictions. </w:t>
      </w:r>
    </w:p>
    <w:p w14:paraId="409183EF" w14:textId="5989F496" w:rsidR="0087054B" w:rsidRPr="0099008B" w:rsidRDefault="007D204B" w:rsidP="00662091">
      <w:pPr>
        <w:contextualSpacing/>
        <w:rPr>
          <w:rFonts w:eastAsia="Aptos" w:cs="Calibri"/>
          <w:i/>
          <w:iCs/>
          <w:color w:val="FF0000"/>
          <w:szCs w:val="21"/>
          <w:lang w:val="en-US"/>
        </w:rPr>
      </w:pPr>
      <w:r w:rsidRPr="0099008B">
        <w:rPr>
          <w:rFonts w:eastAsia="Calibri" w:cs="Calibri"/>
          <w:i/>
          <w:iCs/>
          <w:color w:val="FF0000"/>
          <w:szCs w:val="21"/>
          <w:lang w:eastAsia="en-CA"/>
        </w:rPr>
        <w:t>How can the legal system ensure that AI-generated risk scores</w:t>
      </w:r>
      <w:r w:rsidR="0087054B" w:rsidRPr="0099008B">
        <w:rPr>
          <w:rFonts w:eastAsia="Calibri" w:cs="Calibri"/>
          <w:i/>
          <w:iCs/>
          <w:color w:val="FF0000"/>
          <w:szCs w:val="21"/>
          <w:lang w:eastAsia="en-CA"/>
        </w:rPr>
        <w:t xml:space="preserve"> </w:t>
      </w:r>
      <w:r w:rsidRPr="0099008B">
        <w:rPr>
          <w:rFonts w:eastAsia="Calibri" w:cs="Calibri"/>
          <w:i/>
          <w:iCs/>
          <w:color w:val="FF0000"/>
          <w:szCs w:val="21"/>
          <w:lang w:eastAsia="en-CA"/>
        </w:rPr>
        <w:t xml:space="preserve">maintain the standards of openness, transparency, and reliability </w:t>
      </w:r>
      <w:r w:rsidR="0010665E" w:rsidRPr="0099008B">
        <w:rPr>
          <w:rFonts w:eastAsia="Calibri" w:cs="Calibri"/>
          <w:i/>
          <w:iCs/>
          <w:color w:val="FF0000"/>
          <w:szCs w:val="21"/>
          <w:lang w:eastAsia="en-CA"/>
        </w:rPr>
        <w:t xml:space="preserve">needed </w:t>
      </w:r>
      <w:r w:rsidRPr="0099008B">
        <w:rPr>
          <w:rFonts w:eastAsia="Calibri" w:cs="Calibri"/>
          <w:i/>
          <w:iCs/>
          <w:color w:val="FF0000"/>
          <w:szCs w:val="21"/>
          <w:lang w:eastAsia="en-CA"/>
        </w:rPr>
        <w:t>to protect the rights of individuals and uphold the integrity of the judicial process?</w:t>
      </w:r>
      <w:bookmarkStart w:id="78" w:name="_Hlk176773687"/>
      <w:r w:rsidRPr="0099008B">
        <w:rPr>
          <w:rFonts w:eastAsia="Calibri" w:cs="Calibri"/>
          <w:i/>
          <w:iCs/>
          <w:color w:val="FF0000"/>
          <w:szCs w:val="21"/>
          <w:lang w:eastAsia="en-CA"/>
        </w:rPr>
        <w:t xml:space="preserve"> </w:t>
      </w:r>
    </w:p>
    <w:p w14:paraId="699C1260" w14:textId="77777777" w:rsidR="0010665E" w:rsidRPr="0099008B" w:rsidRDefault="0010665E" w:rsidP="00662091">
      <w:pPr>
        <w:contextualSpacing/>
        <w:rPr>
          <w:rFonts w:eastAsia="Aptos" w:cs="Calibri"/>
          <w:i/>
          <w:iCs/>
          <w:color w:val="FF0000"/>
          <w:szCs w:val="21"/>
          <w:lang w:val="en-US"/>
        </w:rPr>
      </w:pPr>
    </w:p>
    <w:bookmarkEnd w:id="78"/>
    <w:p w14:paraId="021B1366" w14:textId="65516637" w:rsidR="0010665E" w:rsidRPr="0099008B" w:rsidRDefault="0010665E" w:rsidP="00662091">
      <w:pPr>
        <w:contextualSpacing/>
        <w:rPr>
          <w:rFonts w:eastAsia="Calibri" w:cs="Calibri"/>
          <w:i/>
          <w:iCs/>
          <w:color w:val="FF0000"/>
          <w:szCs w:val="21"/>
          <w:lang w:eastAsia="en-CA"/>
        </w:rPr>
      </w:pPr>
      <w:r w:rsidRPr="0099008B">
        <w:rPr>
          <w:rFonts w:eastAsia="Calibri" w:cs="Calibri"/>
          <w:i/>
          <w:iCs/>
          <w:color w:val="FF0000"/>
          <w:szCs w:val="21"/>
          <w:lang w:eastAsia="en-CA"/>
        </w:rPr>
        <w:t xml:space="preserve">Do AI risk assessments, </w:t>
      </w:r>
      <w:r w:rsidR="007D204B" w:rsidRPr="0099008B">
        <w:rPr>
          <w:rFonts w:eastAsia="Calibri" w:cs="Calibri"/>
          <w:i/>
          <w:iCs/>
          <w:color w:val="FF0000"/>
          <w:szCs w:val="21"/>
          <w:lang w:eastAsia="en-CA"/>
        </w:rPr>
        <w:t xml:space="preserve">producing outputs </w:t>
      </w:r>
      <w:r w:rsidRPr="0099008B">
        <w:rPr>
          <w:rFonts w:eastAsia="Calibri" w:cs="Calibri"/>
          <w:i/>
          <w:iCs/>
          <w:color w:val="FF0000"/>
          <w:szCs w:val="21"/>
          <w:lang w:eastAsia="en-CA"/>
        </w:rPr>
        <w:t xml:space="preserve">based on </w:t>
      </w:r>
      <w:r w:rsidR="007D204B" w:rsidRPr="0099008B">
        <w:rPr>
          <w:rFonts w:eastAsia="Calibri" w:cs="Calibri"/>
          <w:i/>
          <w:iCs/>
          <w:color w:val="FF0000"/>
          <w:szCs w:val="21"/>
          <w:lang w:eastAsia="en-CA"/>
        </w:rPr>
        <w:t xml:space="preserve">discriminatory </w:t>
      </w:r>
      <w:r w:rsidRPr="0099008B">
        <w:rPr>
          <w:rFonts w:eastAsia="Calibri" w:cs="Calibri"/>
          <w:i/>
          <w:iCs/>
          <w:color w:val="FF0000"/>
          <w:szCs w:val="21"/>
          <w:lang w:eastAsia="en-CA"/>
        </w:rPr>
        <w:t>data</w:t>
      </w:r>
      <w:r w:rsidR="007D204B" w:rsidRPr="0099008B">
        <w:rPr>
          <w:rFonts w:eastAsia="Calibri" w:cs="Calibri"/>
          <w:i/>
          <w:iCs/>
          <w:color w:val="FF0000"/>
          <w:szCs w:val="21"/>
          <w:lang w:eastAsia="en-CA"/>
        </w:rPr>
        <w:t>, have a place in sentencing Indigenous and Black offenders</w:t>
      </w:r>
      <w:r w:rsidRPr="0099008B">
        <w:rPr>
          <w:rFonts w:eastAsia="Calibri" w:cs="Calibri"/>
          <w:i/>
          <w:iCs/>
          <w:color w:val="FF0000"/>
          <w:szCs w:val="21"/>
          <w:lang w:eastAsia="en-CA"/>
        </w:rPr>
        <w:t>?</w:t>
      </w:r>
      <w:r w:rsidR="007D204B" w:rsidRPr="0099008B">
        <w:rPr>
          <w:rFonts w:eastAsia="Calibri" w:cs="Calibri"/>
          <w:i/>
          <w:iCs/>
          <w:color w:val="FF0000"/>
          <w:szCs w:val="21"/>
          <w:lang w:eastAsia="en-CA"/>
        </w:rPr>
        <w:t xml:space="preserve"> </w:t>
      </w:r>
    </w:p>
    <w:p w14:paraId="6D39075D" w14:textId="77777777" w:rsidR="0010665E" w:rsidRPr="0099008B" w:rsidRDefault="0010665E" w:rsidP="00662091">
      <w:pPr>
        <w:contextualSpacing/>
        <w:rPr>
          <w:rFonts w:eastAsia="Calibri" w:cs="Calibri"/>
          <w:i/>
          <w:iCs/>
          <w:color w:val="FF0000"/>
          <w:szCs w:val="21"/>
          <w:lang w:eastAsia="en-CA"/>
        </w:rPr>
      </w:pPr>
    </w:p>
    <w:p w14:paraId="4C7D740F" w14:textId="7B818941" w:rsidR="00613485" w:rsidRPr="0099008B" w:rsidRDefault="007D204B" w:rsidP="00662091">
      <w:pPr>
        <w:contextualSpacing/>
        <w:rPr>
          <w:rFonts w:eastAsia="Aptos" w:cs="Calibri"/>
          <w:i/>
          <w:iCs/>
          <w:color w:val="FF0000"/>
          <w:szCs w:val="21"/>
          <w:lang w:val="en-US"/>
        </w:rPr>
      </w:pPr>
      <w:r w:rsidRPr="0099008B">
        <w:rPr>
          <w:rFonts w:eastAsia="Calibri" w:cs="Calibri"/>
          <w:i/>
          <w:iCs/>
          <w:color w:val="FF0000"/>
          <w:szCs w:val="21"/>
          <w:lang w:eastAsia="en-CA"/>
        </w:rPr>
        <w:t xml:space="preserve">If </w:t>
      </w:r>
      <w:r w:rsidR="0010665E" w:rsidRPr="0099008B">
        <w:rPr>
          <w:rFonts w:eastAsia="Calibri" w:cs="Calibri"/>
          <w:i/>
          <w:iCs/>
          <w:color w:val="FF0000"/>
          <w:szCs w:val="21"/>
          <w:lang w:eastAsia="en-CA"/>
        </w:rPr>
        <w:t xml:space="preserve">an AI risk assessment </w:t>
      </w:r>
      <w:r w:rsidRPr="0099008B">
        <w:rPr>
          <w:rFonts w:eastAsia="Calibri" w:cs="Calibri"/>
          <w:i/>
          <w:iCs/>
          <w:color w:val="FF0000"/>
          <w:szCs w:val="21"/>
          <w:lang w:eastAsia="en-CA"/>
        </w:rPr>
        <w:t xml:space="preserve">cannot consider colonial or racist legacies or histories that may have played a role in formulating the data its processes, </w:t>
      </w:r>
      <w:r w:rsidR="0010665E" w:rsidRPr="0099008B">
        <w:rPr>
          <w:rFonts w:eastAsia="Calibri" w:cs="Calibri"/>
          <w:i/>
          <w:iCs/>
          <w:color w:val="FF0000"/>
          <w:szCs w:val="21"/>
          <w:lang w:eastAsia="en-CA"/>
        </w:rPr>
        <w:t xml:space="preserve">would </w:t>
      </w:r>
      <w:r w:rsidR="00364898">
        <w:rPr>
          <w:rFonts w:eastAsia="Calibri" w:cs="Calibri"/>
          <w:i/>
          <w:iCs/>
          <w:color w:val="FF0000"/>
          <w:szCs w:val="21"/>
          <w:lang w:eastAsia="en-CA"/>
        </w:rPr>
        <w:t xml:space="preserve">the </w:t>
      </w:r>
      <w:r w:rsidR="0010665E" w:rsidRPr="0099008B">
        <w:rPr>
          <w:rFonts w:eastAsia="Calibri" w:cs="Calibri"/>
          <w:i/>
          <w:iCs/>
          <w:color w:val="FF0000"/>
          <w:szCs w:val="21"/>
          <w:lang w:eastAsia="en-CA"/>
        </w:rPr>
        <w:t xml:space="preserve">assessment </w:t>
      </w:r>
      <w:r w:rsidRPr="0099008B">
        <w:rPr>
          <w:rFonts w:eastAsia="Calibri" w:cs="Calibri"/>
          <w:i/>
          <w:iCs/>
          <w:color w:val="FF0000"/>
          <w:szCs w:val="21"/>
          <w:lang w:eastAsia="en-CA"/>
        </w:rPr>
        <w:t xml:space="preserve">circumvent </w:t>
      </w:r>
      <w:r w:rsidRPr="00364898">
        <w:rPr>
          <w:rFonts w:eastAsia="Calibri" w:cs="Calibri"/>
          <w:i/>
          <w:iCs/>
          <w:color w:val="FF0000"/>
          <w:szCs w:val="21"/>
          <w:lang w:eastAsia="en-CA"/>
        </w:rPr>
        <w:t>Criminal Code</w:t>
      </w:r>
      <w:r w:rsidRPr="0099008B">
        <w:rPr>
          <w:rFonts w:eastAsia="Calibri" w:cs="Calibri"/>
          <w:i/>
          <w:iCs/>
          <w:color w:val="FF0000"/>
          <w:szCs w:val="21"/>
          <w:lang w:eastAsia="en-CA"/>
        </w:rPr>
        <w:t xml:space="preserve"> s. 493.2?</w:t>
      </w:r>
    </w:p>
    <w:p w14:paraId="65C7590E" w14:textId="77777777" w:rsidR="00613485" w:rsidRDefault="00613485" w:rsidP="007B72EC">
      <w:pPr>
        <w:contextualSpacing/>
        <w:rPr>
          <w:rFonts w:eastAsia="Calibri" w:cs="Calibri"/>
          <w:sz w:val="24"/>
          <w:lang w:eastAsia="en-CA"/>
        </w:rPr>
      </w:pPr>
    </w:p>
    <w:p w14:paraId="51F852B6" w14:textId="50A3A96F" w:rsidR="00613485" w:rsidRPr="00662091" w:rsidRDefault="00613485" w:rsidP="00A2744F">
      <w:pPr>
        <w:pStyle w:val="Heading2"/>
        <w:numPr>
          <w:ilvl w:val="0"/>
          <w:numId w:val="35"/>
        </w:numPr>
        <w:spacing w:after="120"/>
        <w:rPr>
          <w:lang w:val="en-US"/>
        </w:rPr>
      </w:pPr>
      <w:bookmarkStart w:id="79" w:name="_Toc195604729"/>
      <w:r w:rsidRPr="00662091">
        <w:rPr>
          <w:lang w:val="en-US"/>
        </w:rPr>
        <w:t>AI Litigation</w:t>
      </w:r>
      <w:bookmarkEnd w:id="79"/>
    </w:p>
    <w:p w14:paraId="3E89E1F0" w14:textId="2CD3E164" w:rsidR="00613485" w:rsidRPr="0099008B" w:rsidRDefault="00613485" w:rsidP="00A2744F">
      <w:pPr>
        <w:spacing w:after="120"/>
        <w:rPr>
          <w:rFonts w:eastAsia="Aptos" w:cs="Calibri"/>
          <w:lang w:val="en-US"/>
        </w:rPr>
      </w:pPr>
      <w:r w:rsidRPr="0099008B">
        <w:rPr>
          <w:rFonts w:eastAsia="Aptos" w:cs="Calibri"/>
          <w:lang w:val="en-US"/>
        </w:rPr>
        <w:t>The Issue Papers discuss how criminal AI systems raise new and complex procedural, evidentia</w:t>
      </w:r>
      <w:r w:rsidR="0057301C" w:rsidRPr="0099008B">
        <w:rPr>
          <w:rFonts w:eastAsia="Aptos" w:cs="Calibri"/>
          <w:lang w:val="en-US"/>
        </w:rPr>
        <w:t xml:space="preserve">l and </w:t>
      </w:r>
      <w:r w:rsidRPr="0099008B">
        <w:rPr>
          <w:rFonts w:eastAsia="Aptos" w:cs="Calibri"/>
          <w:lang w:val="en-US"/>
        </w:rPr>
        <w:t>litigation challenges, including:</w:t>
      </w:r>
    </w:p>
    <w:p w14:paraId="4AAD9B83" w14:textId="77777777" w:rsidR="00613485" w:rsidRPr="0099008B" w:rsidRDefault="00613485" w:rsidP="00662091">
      <w:pPr>
        <w:pStyle w:val="ListParagraph"/>
        <w:numPr>
          <w:ilvl w:val="0"/>
          <w:numId w:val="40"/>
        </w:numPr>
        <w:rPr>
          <w:rFonts w:eastAsia="Aptos" w:cs="Calibri"/>
          <w:lang w:val="en-US"/>
        </w:rPr>
      </w:pPr>
      <w:r w:rsidRPr="0099008B">
        <w:rPr>
          <w:rFonts w:eastAsia="Aptos" w:cs="Calibri"/>
          <w:lang w:val="en-US"/>
        </w:rPr>
        <w:t>Admissibility and reliability of AI evidence and whether AI is “expert evidence.”</w:t>
      </w:r>
    </w:p>
    <w:p w14:paraId="0133DCF1" w14:textId="77777777" w:rsidR="00613485" w:rsidRPr="0099008B" w:rsidRDefault="00613485" w:rsidP="00662091">
      <w:pPr>
        <w:pStyle w:val="ListParagraph"/>
        <w:numPr>
          <w:ilvl w:val="0"/>
          <w:numId w:val="40"/>
        </w:numPr>
        <w:rPr>
          <w:rFonts w:eastAsia="Aptos" w:cs="Calibri"/>
          <w:lang w:val="en-US"/>
        </w:rPr>
      </w:pPr>
      <w:r w:rsidRPr="0099008B">
        <w:rPr>
          <w:rFonts w:eastAsia="Aptos" w:cs="Calibri"/>
          <w:lang w:val="en-US"/>
        </w:rPr>
        <w:t>Use of AI to generate incident reports, summarize or analyze body cam data, etc.</w:t>
      </w:r>
    </w:p>
    <w:p w14:paraId="3DAFAFB1" w14:textId="77777777" w:rsidR="00613485" w:rsidRPr="0099008B" w:rsidRDefault="00613485" w:rsidP="00662091">
      <w:pPr>
        <w:pStyle w:val="ListParagraph"/>
        <w:numPr>
          <w:ilvl w:val="0"/>
          <w:numId w:val="40"/>
        </w:numPr>
        <w:rPr>
          <w:rFonts w:eastAsia="Aptos" w:cs="Calibri"/>
          <w:lang w:val="en-US"/>
        </w:rPr>
      </w:pPr>
      <w:r w:rsidRPr="0099008B">
        <w:rPr>
          <w:rFonts w:eastAsia="Aptos" w:cs="Calibri"/>
          <w:lang w:val="en-US"/>
        </w:rPr>
        <w:t>AI-assisted submissions to court or disclosure summaries.</w:t>
      </w:r>
    </w:p>
    <w:p w14:paraId="17F3DE3D" w14:textId="77777777" w:rsidR="00613485" w:rsidRPr="0099008B" w:rsidRDefault="00613485" w:rsidP="00662091">
      <w:pPr>
        <w:pStyle w:val="ListParagraph"/>
        <w:numPr>
          <w:ilvl w:val="0"/>
          <w:numId w:val="40"/>
        </w:numPr>
        <w:rPr>
          <w:rFonts w:eastAsia="Aptos" w:cs="Calibri"/>
          <w:lang w:val="en-US"/>
        </w:rPr>
      </w:pPr>
      <w:r w:rsidRPr="0099008B">
        <w:rPr>
          <w:rFonts w:eastAsia="Aptos" w:cs="Calibri"/>
          <w:lang w:val="en-US"/>
        </w:rPr>
        <w:t>Deep fake evidence.</w:t>
      </w:r>
    </w:p>
    <w:p w14:paraId="69B6BF03" w14:textId="77777777" w:rsidR="00033475" w:rsidRPr="0099008B" w:rsidRDefault="00033475" w:rsidP="00033475">
      <w:pPr>
        <w:pStyle w:val="ListParagraph"/>
        <w:numPr>
          <w:ilvl w:val="0"/>
          <w:numId w:val="40"/>
        </w:numPr>
        <w:rPr>
          <w:rFonts w:eastAsia="Aptos" w:cs="Calibri"/>
          <w:lang w:val="en-US"/>
        </w:rPr>
      </w:pPr>
      <w:r w:rsidRPr="0099008B">
        <w:rPr>
          <w:rFonts w:eastAsia="Aptos" w:cstheme="minorHAnsi"/>
        </w:rPr>
        <w:t xml:space="preserve">AI-generated witness statements, victim impact statements, </w:t>
      </w:r>
      <w:r w:rsidRPr="0099008B">
        <w:rPr>
          <w:rFonts w:eastAsia="Aptos" w:cstheme="minorHAnsi"/>
          <w:i/>
          <w:iCs/>
        </w:rPr>
        <w:t>Gladue</w:t>
      </w:r>
      <w:r w:rsidRPr="0099008B">
        <w:rPr>
          <w:rFonts w:eastAsia="Aptos" w:cstheme="minorHAnsi"/>
        </w:rPr>
        <w:t xml:space="preserve"> reports, etc. </w:t>
      </w:r>
    </w:p>
    <w:p w14:paraId="01A18D4D" w14:textId="77777777" w:rsidR="00613485" w:rsidRPr="0099008B" w:rsidRDefault="00613485" w:rsidP="00662091">
      <w:pPr>
        <w:pStyle w:val="ListParagraph"/>
        <w:numPr>
          <w:ilvl w:val="0"/>
          <w:numId w:val="40"/>
        </w:numPr>
        <w:rPr>
          <w:rFonts w:eastAsia="Aptos" w:cs="Calibri"/>
          <w:lang w:val="en-US"/>
        </w:rPr>
      </w:pPr>
      <w:r w:rsidRPr="0099008B">
        <w:rPr>
          <w:rFonts w:eastAsia="Aptos" w:cs="Calibri"/>
          <w:lang w:val="en-US"/>
        </w:rPr>
        <w:t xml:space="preserve">Litigating assertions of “trade secrets” or “investigative privilege.” </w:t>
      </w:r>
    </w:p>
    <w:p w14:paraId="2DB66CDC" w14:textId="77777777" w:rsidR="00613485" w:rsidRPr="0099008B" w:rsidRDefault="00613485" w:rsidP="00662091">
      <w:pPr>
        <w:pStyle w:val="ListParagraph"/>
        <w:numPr>
          <w:ilvl w:val="0"/>
          <w:numId w:val="40"/>
        </w:numPr>
        <w:rPr>
          <w:rFonts w:eastAsia="Aptos" w:cs="Calibri"/>
          <w:lang w:val="en-US"/>
        </w:rPr>
      </w:pPr>
      <w:r w:rsidRPr="0099008B">
        <w:rPr>
          <w:rFonts w:eastAsia="Aptos" w:cs="Calibri"/>
          <w:lang w:val="en-US"/>
        </w:rPr>
        <w:t xml:space="preserve">Warrants or </w:t>
      </w:r>
      <w:r w:rsidRPr="0099008B">
        <w:rPr>
          <w:rFonts w:eastAsia="Aptos" w:cs="Calibri"/>
          <w:i/>
          <w:iCs/>
          <w:lang w:val="en-US"/>
        </w:rPr>
        <w:t>O’Connor</w:t>
      </w:r>
      <w:r w:rsidRPr="0099008B">
        <w:rPr>
          <w:rFonts w:eastAsia="Aptos" w:cs="Calibri"/>
          <w:lang w:val="en-US"/>
        </w:rPr>
        <w:t xml:space="preserve"> Applications for third-party evidence.</w:t>
      </w:r>
    </w:p>
    <w:p w14:paraId="27A18614" w14:textId="77777777" w:rsidR="00613485" w:rsidRPr="0099008B" w:rsidRDefault="00613485" w:rsidP="0099008B">
      <w:pPr>
        <w:spacing w:after="120"/>
        <w:ind w:left="720"/>
        <w:contextualSpacing/>
        <w:rPr>
          <w:rFonts w:eastAsia="Aptos" w:cs="Calibri"/>
          <w:iCs/>
          <w:lang w:val="en-US"/>
        </w:rPr>
      </w:pPr>
    </w:p>
    <w:p w14:paraId="0D51D9F0" w14:textId="42945EA4" w:rsidR="007B72EC" w:rsidRPr="0099008B" w:rsidRDefault="00A2744F" w:rsidP="0099008B">
      <w:pPr>
        <w:spacing w:after="120"/>
        <w:contextualSpacing/>
        <w:rPr>
          <w:rFonts w:eastAsia="Aptos" w:cs="Calibri"/>
          <w:color w:val="FF0000"/>
          <w:lang w:val="en-US"/>
        </w:rPr>
      </w:pPr>
      <w:r w:rsidRPr="0099008B">
        <w:rPr>
          <w:rFonts w:eastAsia="Aptos" w:cs="Calibri"/>
          <w:i/>
          <w:color w:val="FF0000"/>
          <w:lang w:val="en-US"/>
        </w:rPr>
        <w:t xml:space="preserve">How can </w:t>
      </w:r>
      <w:r w:rsidR="00364898">
        <w:rPr>
          <w:rFonts w:eastAsia="Aptos" w:cs="Calibri"/>
          <w:i/>
          <w:color w:val="FF0000"/>
          <w:lang w:val="en-US"/>
        </w:rPr>
        <w:t xml:space="preserve">we </w:t>
      </w:r>
      <w:r w:rsidR="00613485" w:rsidRPr="0099008B">
        <w:rPr>
          <w:rFonts w:eastAsia="Aptos" w:cs="Calibri"/>
          <w:i/>
          <w:color w:val="FF0000"/>
          <w:lang w:val="en-US"/>
        </w:rPr>
        <w:t>regulate</w:t>
      </w:r>
      <w:r w:rsidR="001F5424" w:rsidRPr="0099008B">
        <w:rPr>
          <w:rFonts w:eastAsia="Aptos" w:cs="Calibri"/>
          <w:i/>
          <w:color w:val="FF0000"/>
          <w:lang w:val="en-US"/>
        </w:rPr>
        <w:t xml:space="preserve">, </w:t>
      </w:r>
      <w:r w:rsidR="00613485" w:rsidRPr="0099008B">
        <w:rPr>
          <w:rFonts w:eastAsia="Aptos" w:cs="Calibri"/>
          <w:i/>
          <w:color w:val="FF0000"/>
          <w:lang w:val="en-US"/>
        </w:rPr>
        <w:t>formalize</w:t>
      </w:r>
      <w:r w:rsidR="001F5424" w:rsidRPr="0099008B">
        <w:rPr>
          <w:rFonts w:eastAsia="Aptos" w:cs="Calibri"/>
          <w:i/>
          <w:color w:val="FF0000"/>
          <w:lang w:val="en-US"/>
        </w:rPr>
        <w:t xml:space="preserve"> or </w:t>
      </w:r>
      <w:r w:rsidR="00613485" w:rsidRPr="0099008B">
        <w:rPr>
          <w:rFonts w:eastAsia="Aptos" w:cs="Calibri"/>
          <w:i/>
          <w:color w:val="FF0000"/>
          <w:lang w:val="en-US"/>
        </w:rPr>
        <w:t>streamline frequent</w:t>
      </w:r>
      <w:r w:rsidRPr="0099008B">
        <w:rPr>
          <w:rFonts w:eastAsia="Aptos" w:cs="Calibri"/>
          <w:i/>
          <w:color w:val="FF0000"/>
          <w:lang w:val="en-US"/>
        </w:rPr>
        <w:t>ly litigated</w:t>
      </w:r>
      <w:r w:rsidR="00613485" w:rsidRPr="0099008B">
        <w:rPr>
          <w:rFonts w:eastAsia="Aptos" w:cs="Calibri"/>
          <w:i/>
          <w:color w:val="FF0000"/>
          <w:lang w:val="en-US"/>
        </w:rPr>
        <w:t xml:space="preserve"> AI-related issues like the above?</w:t>
      </w:r>
      <w:r w:rsidR="00613485" w:rsidRPr="0099008B">
        <w:rPr>
          <w:rFonts w:eastAsia="Aptos" w:cs="Calibri"/>
          <w:iCs/>
          <w:color w:val="FF0000"/>
          <w:lang w:val="en-US"/>
        </w:rPr>
        <w:t xml:space="preserve"> </w:t>
      </w:r>
    </w:p>
    <w:p w14:paraId="015FADB7" w14:textId="77777777" w:rsidR="007B72EC" w:rsidRPr="0099008B" w:rsidRDefault="007B72EC" w:rsidP="0099008B">
      <w:pPr>
        <w:spacing w:after="120"/>
        <w:contextualSpacing/>
        <w:rPr>
          <w:rFonts w:eastAsia="Aptos" w:cs="Calibri"/>
          <w:color w:val="FF0000"/>
          <w:lang w:val="en-US"/>
        </w:rPr>
      </w:pPr>
    </w:p>
    <w:p w14:paraId="1D60A2B3" w14:textId="7B962C0A" w:rsidR="007B72EC" w:rsidRPr="0099008B" w:rsidRDefault="00613485" w:rsidP="0099008B">
      <w:pPr>
        <w:spacing w:after="120"/>
        <w:contextualSpacing/>
        <w:rPr>
          <w:rFonts w:eastAsia="Times New Roman" w:cs="Calibri"/>
          <w:i/>
          <w:color w:val="FF0000"/>
          <w:lang w:eastAsia="en-CA"/>
        </w:rPr>
      </w:pPr>
      <w:r w:rsidRPr="0099008B">
        <w:rPr>
          <w:rFonts w:eastAsia="Aptos" w:cs="Calibri"/>
          <w:i/>
          <w:color w:val="FF0000"/>
          <w:lang w:val="en-US"/>
        </w:rPr>
        <w:t xml:space="preserve">Would a routine requirement for full disclosure of an AI system and its components be mitigated </w:t>
      </w:r>
      <w:r w:rsidRPr="0099008B">
        <w:rPr>
          <w:rFonts w:eastAsia="Times New Roman" w:cs="Calibri"/>
          <w:i/>
          <w:color w:val="FF0000"/>
          <w:lang w:eastAsia="en-CA"/>
        </w:rPr>
        <w:t>by objective AI performance measures, such as independent technical audits that validate the reliability and performance of AI systems</w:t>
      </w:r>
      <w:r w:rsidR="007B72EC" w:rsidRPr="0099008B">
        <w:rPr>
          <w:rFonts w:eastAsia="Times New Roman" w:cs="Calibri"/>
          <w:i/>
          <w:color w:val="FF0000"/>
          <w:lang w:eastAsia="en-CA"/>
        </w:rPr>
        <w:t>?</w:t>
      </w:r>
    </w:p>
    <w:p w14:paraId="543993D0" w14:textId="77777777" w:rsidR="007B72EC" w:rsidRPr="0099008B" w:rsidRDefault="007B72EC" w:rsidP="0099008B">
      <w:pPr>
        <w:spacing w:after="120"/>
        <w:ind w:left="720"/>
        <w:contextualSpacing/>
        <w:rPr>
          <w:rFonts w:eastAsia="Aptos" w:cs="Calibri"/>
          <w:i/>
          <w:lang w:val="en-US"/>
        </w:rPr>
      </w:pPr>
    </w:p>
    <w:p w14:paraId="66E6A31A" w14:textId="17241E57" w:rsidR="001F5424" w:rsidRPr="0099008B" w:rsidRDefault="001F5424" w:rsidP="0099008B">
      <w:pPr>
        <w:spacing w:after="120"/>
        <w:rPr>
          <w:rFonts w:eastAsia="Aptos" w:cstheme="minorHAnsi"/>
          <w:b/>
          <w:bCs/>
          <w:i/>
          <w:iCs/>
          <w:color w:val="FF0000"/>
        </w:rPr>
      </w:pPr>
      <w:r w:rsidRPr="0099008B">
        <w:rPr>
          <w:rFonts w:eastAsia="Aptos" w:cstheme="minorHAnsi"/>
          <w:i/>
          <w:iCs/>
          <w:color w:val="FF0000"/>
        </w:rPr>
        <w:t xml:space="preserve">Do </w:t>
      </w:r>
      <w:r w:rsidR="007B72EC" w:rsidRPr="0099008B">
        <w:rPr>
          <w:rFonts w:eastAsia="Aptos" w:cstheme="minorHAnsi"/>
          <w:i/>
          <w:iCs/>
          <w:color w:val="FF0000"/>
        </w:rPr>
        <w:t xml:space="preserve">we need standards or practices governing </w:t>
      </w:r>
      <w:r w:rsidR="00033475" w:rsidRPr="0099008B">
        <w:rPr>
          <w:rFonts w:eastAsia="Aptos" w:cstheme="minorHAnsi"/>
          <w:i/>
          <w:iCs/>
          <w:color w:val="FF0000"/>
        </w:rPr>
        <w:t xml:space="preserve">AI-generated </w:t>
      </w:r>
      <w:r w:rsidR="007B72EC" w:rsidRPr="0099008B">
        <w:rPr>
          <w:rFonts w:eastAsia="Aptos" w:cstheme="minorHAnsi"/>
          <w:i/>
          <w:iCs/>
          <w:color w:val="FF0000"/>
        </w:rPr>
        <w:t xml:space="preserve">statements/reports </w:t>
      </w:r>
      <w:r w:rsidRPr="0099008B">
        <w:rPr>
          <w:rFonts w:eastAsia="Aptos" w:cstheme="minorHAnsi"/>
          <w:i/>
          <w:iCs/>
          <w:color w:val="FF0000"/>
        </w:rPr>
        <w:t>to ensure reliability and admissibility</w:t>
      </w:r>
      <w:r w:rsidR="007B72EC" w:rsidRPr="0099008B">
        <w:rPr>
          <w:rFonts w:eastAsia="Aptos" w:cstheme="minorHAnsi"/>
          <w:i/>
          <w:iCs/>
          <w:color w:val="FF0000"/>
        </w:rPr>
        <w:t xml:space="preserve">? </w:t>
      </w:r>
    </w:p>
    <w:p w14:paraId="7E470B48" w14:textId="77777777" w:rsidR="00302833" w:rsidRDefault="00302833" w:rsidP="00613485">
      <w:pPr>
        <w:contextualSpacing/>
        <w:rPr>
          <w:rFonts w:eastAsia="Aptos" w:cs="Calibri"/>
          <w:b/>
          <w:bCs/>
          <w:sz w:val="24"/>
          <w:lang w:val="en-US"/>
        </w:rPr>
      </w:pPr>
    </w:p>
    <w:p w14:paraId="28D27441" w14:textId="77777777" w:rsidR="00364898" w:rsidRPr="00341096" w:rsidRDefault="00364898" w:rsidP="00261A72">
      <w:pPr>
        <w:pStyle w:val="Heading2"/>
        <w:numPr>
          <w:ilvl w:val="0"/>
          <w:numId w:val="35"/>
        </w:numPr>
        <w:spacing w:after="120"/>
        <w:rPr>
          <w:rFonts w:eastAsia="Aptos"/>
          <w:lang w:val="en-US"/>
        </w:rPr>
      </w:pPr>
      <w:bookmarkStart w:id="80" w:name="_Toc195604730"/>
      <w:r>
        <w:rPr>
          <w:rFonts w:eastAsia="Aptos"/>
          <w:lang w:val="en-US"/>
        </w:rPr>
        <w:lastRenderedPageBreak/>
        <w:t>Public Engagement</w:t>
      </w:r>
      <w:bookmarkEnd w:id="80"/>
      <w:r>
        <w:rPr>
          <w:rFonts w:eastAsia="Aptos"/>
          <w:lang w:val="en-US"/>
        </w:rPr>
        <w:t xml:space="preserve"> </w:t>
      </w:r>
    </w:p>
    <w:p w14:paraId="2CC2A5A6" w14:textId="77777777" w:rsidR="00364898" w:rsidRDefault="00364898" w:rsidP="00261A72">
      <w:pPr>
        <w:spacing w:after="120"/>
        <w:rPr>
          <w:rFonts w:eastAsia="Aptos" w:cs="Calibri"/>
          <w:szCs w:val="21"/>
          <w:lang w:val="en-US"/>
        </w:rPr>
      </w:pPr>
    </w:p>
    <w:p w14:paraId="3A54B789" w14:textId="661C4EDD" w:rsidR="005C3B6A" w:rsidRPr="005C3B6A" w:rsidRDefault="005C3B6A" w:rsidP="00261A72">
      <w:pPr>
        <w:spacing w:after="120"/>
        <w:rPr>
          <w:rFonts w:eastAsia="Aptos" w:cs="Calibri"/>
          <w:szCs w:val="21"/>
          <w:lang w:val="en-US"/>
        </w:rPr>
      </w:pPr>
      <w:r>
        <w:rPr>
          <w:rFonts w:ascii="Aptos" w:hAnsi="Aptos"/>
          <w:color w:val="212121"/>
        </w:rPr>
        <w:t xml:space="preserve">Many criminal AI systems have been criticized by communities who believe they were not consulted or informed about systems that affect them. Many trustworthy criminal AI initiatives, including the Toronto Police Service AI Policy, include public engagement requirements. </w:t>
      </w:r>
    </w:p>
    <w:p w14:paraId="4259A872" w14:textId="77777777" w:rsidR="00364898" w:rsidRPr="0099008B" w:rsidRDefault="00364898" w:rsidP="00364898">
      <w:pPr>
        <w:rPr>
          <w:rFonts w:eastAsia="Aptos" w:cs="Calibri"/>
          <w:i/>
          <w:iCs/>
          <w:color w:val="FF0000"/>
          <w:szCs w:val="21"/>
          <w:lang w:val="en-US"/>
        </w:rPr>
      </w:pPr>
      <w:r w:rsidRPr="0099008B">
        <w:rPr>
          <w:rFonts w:eastAsia="Aptos" w:cs="Calibri"/>
          <w:i/>
          <w:iCs/>
          <w:color w:val="FF0000"/>
          <w:szCs w:val="21"/>
          <w:lang w:val="en-US"/>
        </w:rPr>
        <w:t xml:space="preserve">How should the public be involved in criminal AI policymaking, evaluation or oversight? </w:t>
      </w:r>
      <w:r w:rsidRPr="0099008B">
        <w:rPr>
          <w:rFonts w:eastAsia="Aptos" w:cs="Calibri"/>
          <w:i/>
          <w:iCs/>
          <w:color w:val="FF0000"/>
          <w:szCs w:val="21"/>
          <w:lang w:val="en-US"/>
        </w:rPr>
        <w:br/>
      </w:r>
    </w:p>
    <w:p w14:paraId="26061249" w14:textId="27C44AF7" w:rsidR="00613485" w:rsidRPr="007B72EC" w:rsidRDefault="007B72EC" w:rsidP="00A2744F">
      <w:pPr>
        <w:pStyle w:val="Heading2"/>
        <w:numPr>
          <w:ilvl w:val="0"/>
          <w:numId w:val="35"/>
        </w:numPr>
        <w:rPr>
          <w:rFonts w:eastAsia="Aptos"/>
          <w:lang w:val="en-US"/>
        </w:rPr>
      </w:pPr>
      <w:bookmarkStart w:id="81" w:name="_Toc195604731"/>
      <w:r>
        <w:rPr>
          <w:rFonts w:eastAsia="Aptos"/>
          <w:lang w:val="en-US"/>
        </w:rPr>
        <w:t>Access to Justice</w:t>
      </w:r>
      <w:bookmarkEnd w:id="81"/>
    </w:p>
    <w:p w14:paraId="6D02B8A4" w14:textId="77777777" w:rsidR="007B72EC" w:rsidRDefault="007B72EC" w:rsidP="00C44A1D">
      <w:pPr>
        <w:spacing w:after="120"/>
        <w:contextualSpacing/>
        <w:rPr>
          <w:rFonts w:eastAsia="Aptos" w:cs="Calibri"/>
          <w:b/>
          <w:bCs/>
          <w:sz w:val="24"/>
          <w:lang w:val="en-US"/>
        </w:rPr>
      </w:pPr>
    </w:p>
    <w:p w14:paraId="0ACD89C0" w14:textId="15AA46E1" w:rsidR="0057301C" w:rsidRDefault="004711D1" w:rsidP="00C44A1D">
      <w:pPr>
        <w:spacing w:after="120"/>
        <w:contextualSpacing/>
        <w:rPr>
          <w:rFonts w:eastAsia="Aptos" w:cs="Calibri"/>
          <w:szCs w:val="21"/>
          <w:lang w:val="en-US"/>
        </w:rPr>
      </w:pPr>
      <w:r>
        <w:rPr>
          <w:rFonts w:eastAsia="Aptos" w:cs="Calibri"/>
          <w:szCs w:val="21"/>
          <w:lang w:val="en-US"/>
        </w:rPr>
        <w:t xml:space="preserve">The Issue Papers included extensive discussions about the potential </w:t>
      </w:r>
      <w:r w:rsidR="00364898">
        <w:rPr>
          <w:rFonts w:eastAsia="Aptos" w:cs="Calibri"/>
          <w:szCs w:val="21"/>
          <w:lang w:val="en-US"/>
        </w:rPr>
        <w:t xml:space="preserve">systemic </w:t>
      </w:r>
      <w:r>
        <w:rPr>
          <w:rFonts w:eastAsia="Aptos" w:cs="Calibri"/>
          <w:szCs w:val="21"/>
          <w:lang w:val="en-US"/>
        </w:rPr>
        <w:t xml:space="preserve">impact of criminal AI systems on access to justice and racialized, Indigenous or low-income communities in Ontario.  </w:t>
      </w:r>
    </w:p>
    <w:p w14:paraId="16B9BC41" w14:textId="77777777" w:rsidR="004711D1" w:rsidRDefault="004711D1" w:rsidP="00C44A1D">
      <w:pPr>
        <w:spacing w:after="120"/>
        <w:contextualSpacing/>
        <w:rPr>
          <w:rFonts w:eastAsia="Aptos" w:cs="Calibri"/>
          <w:szCs w:val="21"/>
          <w:lang w:val="en-US"/>
        </w:rPr>
      </w:pPr>
    </w:p>
    <w:p w14:paraId="02E8A9AB" w14:textId="57811471" w:rsidR="004711D1" w:rsidRDefault="004711D1" w:rsidP="00C44A1D">
      <w:pPr>
        <w:spacing w:after="120"/>
        <w:contextualSpacing/>
        <w:rPr>
          <w:rFonts w:eastAsia="Aptos" w:cs="Calibri"/>
          <w:i/>
          <w:iCs/>
          <w:color w:val="FF0000"/>
          <w:szCs w:val="21"/>
          <w:lang w:val="en-US"/>
        </w:rPr>
      </w:pPr>
      <w:r w:rsidRPr="00364898">
        <w:rPr>
          <w:rFonts w:eastAsia="Aptos" w:cs="Calibri"/>
          <w:i/>
          <w:iCs/>
          <w:color w:val="FF0000"/>
          <w:szCs w:val="21"/>
          <w:lang w:val="en-US"/>
        </w:rPr>
        <w:t xml:space="preserve">In addition to the </w:t>
      </w:r>
      <w:r w:rsidR="00364898" w:rsidRPr="00364898">
        <w:rPr>
          <w:rFonts w:eastAsia="Aptos" w:cs="Calibri"/>
          <w:i/>
          <w:iCs/>
          <w:color w:val="FF0000"/>
          <w:szCs w:val="21"/>
          <w:lang w:val="en-US"/>
        </w:rPr>
        <w:t xml:space="preserve">measures discussed above, how can Ontario’s criminal justice system ensure access to justice if criminal AI systems are </w:t>
      </w:r>
      <w:r w:rsidR="00364898">
        <w:rPr>
          <w:rFonts w:eastAsia="Aptos" w:cs="Calibri"/>
          <w:i/>
          <w:iCs/>
          <w:color w:val="FF0000"/>
          <w:szCs w:val="21"/>
          <w:lang w:val="en-US"/>
        </w:rPr>
        <w:t>widely adopted</w:t>
      </w:r>
      <w:r w:rsidR="00364898" w:rsidRPr="00364898">
        <w:rPr>
          <w:rFonts w:eastAsia="Aptos" w:cs="Calibri"/>
          <w:i/>
          <w:iCs/>
          <w:color w:val="FF0000"/>
          <w:szCs w:val="21"/>
          <w:lang w:val="en-US"/>
        </w:rPr>
        <w:t xml:space="preserve"> in Ontario?</w:t>
      </w:r>
    </w:p>
    <w:p w14:paraId="60EC0C62" w14:textId="77777777" w:rsidR="00364898" w:rsidRDefault="00364898" w:rsidP="00C44A1D">
      <w:pPr>
        <w:spacing w:after="120"/>
        <w:contextualSpacing/>
        <w:rPr>
          <w:rFonts w:eastAsia="Aptos" w:cs="Calibri"/>
          <w:i/>
          <w:iCs/>
          <w:color w:val="FF0000"/>
          <w:szCs w:val="21"/>
          <w:lang w:val="en-US"/>
        </w:rPr>
      </w:pPr>
    </w:p>
    <w:p w14:paraId="611B1E61" w14:textId="654E4D55" w:rsidR="00364898" w:rsidRPr="00364898" w:rsidRDefault="00364898" w:rsidP="00C44A1D">
      <w:pPr>
        <w:spacing w:after="120"/>
        <w:contextualSpacing/>
        <w:rPr>
          <w:rFonts w:eastAsia="Aptos" w:cs="Calibri"/>
          <w:i/>
          <w:iCs/>
          <w:color w:val="FF0000"/>
          <w:szCs w:val="21"/>
          <w:lang w:val="en-US"/>
        </w:rPr>
      </w:pPr>
      <w:r>
        <w:rPr>
          <w:rFonts w:eastAsia="Aptos" w:cs="Calibri"/>
          <w:i/>
          <w:iCs/>
          <w:color w:val="FF0000"/>
          <w:szCs w:val="21"/>
          <w:lang w:val="en-US"/>
        </w:rPr>
        <w:t>What policies or supports are needed to ensure access to justice for criminal defendants who lack the resources to challenge criminal AI systems?</w:t>
      </w:r>
    </w:p>
    <w:p w14:paraId="601AF13C" w14:textId="77777777" w:rsidR="004711D1" w:rsidRPr="00364898" w:rsidRDefault="004711D1" w:rsidP="00C44A1D">
      <w:pPr>
        <w:spacing w:after="120"/>
        <w:contextualSpacing/>
        <w:rPr>
          <w:rFonts w:eastAsia="Aptos" w:cs="Calibri"/>
          <w:color w:val="FF0000"/>
          <w:szCs w:val="21"/>
          <w:lang w:val="en-US"/>
        </w:rPr>
      </w:pPr>
    </w:p>
    <w:p w14:paraId="58F6BCA6" w14:textId="0A56CCBB" w:rsidR="0099008B" w:rsidRPr="0099008B" w:rsidRDefault="00C9376C" w:rsidP="0099008B">
      <w:pPr>
        <w:pStyle w:val="Heading2"/>
        <w:numPr>
          <w:ilvl w:val="0"/>
          <w:numId w:val="35"/>
        </w:numPr>
        <w:spacing w:after="120"/>
        <w:rPr>
          <w:rFonts w:eastAsia="Aptos"/>
          <w:lang w:val="en-US"/>
        </w:rPr>
      </w:pPr>
      <w:bookmarkStart w:id="82" w:name="_Toc195604732"/>
      <w:r>
        <w:rPr>
          <w:rFonts w:eastAsia="Aptos"/>
          <w:lang w:val="en-US"/>
        </w:rPr>
        <w:t>Institutional Capacity</w:t>
      </w:r>
      <w:bookmarkEnd w:id="82"/>
      <w:r>
        <w:rPr>
          <w:rFonts w:eastAsia="Aptos"/>
          <w:lang w:val="en-US"/>
        </w:rPr>
        <w:t xml:space="preserve"> </w:t>
      </w:r>
    </w:p>
    <w:p w14:paraId="5DC4C663" w14:textId="1899A25E" w:rsidR="00C9376C" w:rsidRPr="0099008B" w:rsidRDefault="00C9376C" w:rsidP="0099008B">
      <w:pPr>
        <w:spacing w:after="120"/>
        <w:rPr>
          <w:rFonts w:eastAsia="Aptos" w:cs="Calibri"/>
          <w:szCs w:val="21"/>
          <w:lang w:val="en-US"/>
        </w:rPr>
      </w:pPr>
      <w:r w:rsidRPr="0099008B">
        <w:rPr>
          <w:rFonts w:eastAsia="Aptos" w:cs="Calibri"/>
          <w:szCs w:val="21"/>
          <w:lang w:val="en-US"/>
        </w:rPr>
        <w:t xml:space="preserve">The Issue Papers discuss how criminal AI systems raise new challenges for Ontario’s criminal justice institutions. </w:t>
      </w:r>
    </w:p>
    <w:p w14:paraId="4470DFB6" w14:textId="20FA0200" w:rsidR="00C9376C" w:rsidRPr="0099008B" w:rsidRDefault="00C9376C" w:rsidP="0099008B">
      <w:pPr>
        <w:spacing w:after="120"/>
        <w:contextualSpacing/>
        <w:rPr>
          <w:b/>
          <w:bCs/>
          <w:color w:val="FF0000"/>
          <w:sz w:val="21"/>
          <w:szCs w:val="21"/>
          <w:lang w:val="en-US"/>
        </w:rPr>
      </w:pPr>
      <w:r w:rsidRPr="0099008B">
        <w:rPr>
          <w:rFonts w:eastAsia="Aptos" w:cs="Calibri"/>
          <w:i/>
          <w:iCs/>
          <w:color w:val="FF0000"/>
          <w:szCs w:val="21"/>
          <w:lang w:val="en-US"/>
        </w:rPr>
        <w:t>Does the provincial justice system have capacity to respond to these challenges? If not, what tools or supports are needed to help institutions to proactively respond to these challenges?</w:t>
      </w:r>
      <w:r w:rsidRPr="0099008B">
        <w:rPr>
          <w:rFonts w:eastAsia="Aptos" w:cs="Calibri"/>
          <w:i/>
          <w:iCs/>
          <w:color w:val="FF0000"/>
          <w:szCs w:val="21"/>
          <w:lang w:val="en-US"/>
        </w:rPr>
        <w:br/>
      </w:r>
    </w:p>
    <w:p w14:paraId="3FC9C92A" w14:textId="7FC08E41" w:rsidR="007D204B" w:rsidRPr="00F648D3" w:rsidRDefault="00302833" w:rsidP="0099008B">
      <w:pPr>
        <w:pStyle w:val="Heading2"/>
        <w:numPr>
          <w:ilvl w:val="0"/>
          <w:numId w:val="35"/>
        </w:numPr>
        <w:spacing w:after="120"/>
        <w:rPr>
          <w:rFonts w:eastAsia="Aptos"/>
        </w:rPr>
      </w:pPr>
      <w:bookmarkStart w:id="83" w:name="_Toc195604733"/>
      <w:r>
        <w:rPr>
          <w:rFonts w:eastAsia="Aptos"/>
        </w:rPr>
        <w:t>Systemic Oversight</w:t>
      </w:r>
      <w:bookmarkEnd w:id="83"/>
      <w:r>
        <w:rPr>
          <w:rFonts w:eastAsia="Aptos"/>
        </w:rPr>
        <w:t xml:space="preserve"> </w:t>
      </w:r>
    </w:p>
    <w:p w14:paraId="07424F77" w14:textId="2B4195BA" w:rsidR="007D204B" w:rsidRPr="0099008B" w:rsidRDefault="00302833" w:rsidP="0099008B">
      <w:pPr>
        <w:spacing w:before="120" w:after="120" w:line="240" w:lineRule="auto"/>
        <w:rPr>
          <w:rFonts w:cstheme="minorHAnsi"/>
          <w:szCs w:val="21"/>
        </w:rPr>
      </w:pPr>
      <w:r w:rsidRPr="0099008B">
        <w:rPr>
          <w:rFonts w:cstheme="minorHAnsi"/>
          <w:szCs w:val="21"/>
        </w:rPr>
        <w:t xml:space="preserve">In addition to the measures discussed above, many believe there is a need for </w:t>
      </w:r>
      <w:r w:rsidR="007D204B" w:rsidRPr="0099008B">
        <w:rPr>
          <w:rFonts w:cstheme="minorHAnsi"/>
          <w:szCs w:val="21"/>
        </w:rPr>
        <w:t>independent oversight of public sector AI system, including in criminal justice.</w:t>
      </w:r>
    </w:p>
    <w:p w14:paraId="469CA8E4" w14:textId="77777777" w:rsidR="00C9376C" w:rsidRPr="0099008B" w:rsidRDefault="007D204B" w:rsidP="0099008B">
      <w:pPr>
        <w:spacing w:before="120" w:after="120" w:line="240" w:lineRule="auto"/>
        <w:rPr>
          <w:rFonts w:cstheme="minorHAnsi"/>
          <w:i/>
          <w:iCs/>
          <w:color w:val="FF0000"/>
          <w:szCs w:val="21"/>
        </w:rPr>
      </w:pPr>
      <w:r w:rsidRPr="0099008B">
        <w:rPr>
          <w:rFonts w:cstheme="minorHAnsi"/>
          <w:i/>
          <w:iCs/>
          <w:color w:val="FF0000"/>
          <w:szCs w:val="21"/>
        </w:rPr>
        <w:t xml:space="preserve">Given that many criminal justice institutions have or are subject to forms of oversight, how </w:t>
      </w:r>
      <w:r w:rsidR="004A4B72" w:rsidRPr="0099008B">
        <w:rPr>
          <w:rFonts w:cstheme="minorHAnsi"/>
          <w:i/>
          <w:iCs/>
          <w:color w:val="FF0000"/>
          <w:szCs w:val="21"/>
        </w:rPr>
        <w:t xml:space="preserve">would </w:t>
      </w:r>
      <w:r w:rsidRPr="0099008B">
        <w:rPr>
          <w:rFonts w:cstheme="minorHAnsi"/>
          <w:i/>
          <w:iCs/>
          <w:color w:val="FF0000"/>
          <w:szCs w:val="21"/>
        </w:rPr>
        <w:t xml:space="preserve">AI oversight </w:t>
      </w:r>
      <w:r w:rsidR="004A4B72" w:rsidRPr="0099008B">
        <w:rPr>
          <w:rFonts w:cstheme="minorHAnsi"/>
          <w:i/>
          <w:iCs/>
          <w:color w:val="FF0000"/>
          <w:szCs w:val="21"/>
        </w:rPr>
        <w:t xml:space="preserve">work? </w:t>
      </w:r>
    </w:p>
    <w:p w14:paraId="523F69B6" w14:textId="304AF4C3" w:rsidR="007D204B" w:rsidRPr="0099008B" w:rsidRDefault="004A4B72" w:rsidP="0099008B">
      <w:pPr>
        <w:spacing w:before="120" w:after="120" w:line="240" w:lineRule="auto"/>
        <w:rPr>
          <w:rFonts w:cstheme="minorHAnsi"/>
          <w:i/>
          <w:iCs/>
          <w:color w:val="FF0000"/>
          <w:szCs w:val="21"/>
        </w:rPr>
      </w:pPr>
      <w:r w:rsidRPr="0099008B">
        <w:rPr>
          <w:rFonts w:cstheme="minorHAnsi"/>
          <w:i/>
          <w:iCs/>
          <w:color w:val="FF0000"/>
          <w:szCs w:val="21"/>
        </w:rPr>
        <w:t xml:space="preserve">Does Ontario need a new, independent oversight office or can this function be built into existing </w:t>
      </w:r>
      <w:r w:rsidR="007D204B" w:rsidRPr="0099008B">
        <w:rPr>
          <w:rFonts w:cstheme="minorHAnsi"/>
          <w:i/>
          <w:iCs/>
          <w:color w:val="FF0000"/>
          <w:szCs w:val="21"/>
        </w:rPr>
        <w:t>organizations?</w:t>
      </w:r>
    </w:p>
    <w:p w14:paraId="120B950A" w14:textId="77777777" w:rsidR="00AD6262" w:rsidRPr="00623CB4" w:rsidRDefault="00AD6262" w:rsidP="00623CB4">
      <w:pPr>
        <w:ind w:left="720"/>
        <w:rPr>
          <w:rFonts w:eastAsia="Calibri" w:cstheme="minorHAnsi"/>
          <w:b/>
          <w:bCs/>
          <w:i/>
          <w:iCs/>
          <w:kern w:val="0"/>
          <w:lang w:eastAsia="en-CA"/>
          <w14:ligatures w14:val="none"/>
        </w:rPr>
      </w:pPr>
    </w:p>
    <w:p w14:paraId="451A499A" w14:textId="77777777" w:rsidR="0040140A" w:rsidRPr="0040140A" w:rsidRDefault="0040140A" w:rsidP="0040140A">
      <w:pPr>
        <w:spacing w:after="0"/>
        <w:rPr>
          <w:bCs/>
        </w:rPr>
      </w:pPr>
    </w:p>
    <w:p w14:paraId="51F743C3" w14:textId="77777777" w:rsidR="00414E25" w:rsidRDefault="00414E25" w:rsidP="00414E25">
      <w:pPr>
        <w:spacing w:after="0"/>
        <w:rPr>
          <w:rFonts w:ascii="Calibri" w:eastAsia="Calibri" w:hAnsi="Calibri" w:cs="Times New Roman"/>
        </w:rPr>
      </w:pPr>
    </w:p>
    <w:p w14:paraId="1BA353E9" w14:textId="650E5DB7" w:rsidR="006A012C" w:rsidRDefault="006A012C">
      <w:pPr>
        <w:rPr>
          <w:rFonts w:asciiTheme="majorHAnsi" w:eastAsiaTheme="majorEastAsia" w:hAnsiTheme="majorHAnsi" w:cstheme="majorBidi"/>
          <w:b/>
          <w:color w:val="2F5496" w:themeColor="accent1" w:themeShade="BF"/>
          <w:sz w:val="26"/>
          <w:szCs w:val="26"/>
        </w:rPr>
      </w:pPr>
    </w:p>
    <w:sectPr w:rsidR="006A012C" w:rsidSect="0017040B">
      <w:headerReference w:type="default" r:id="rId42"/>
      <w:footerReference w:type="default" r:id="rId43"/>
      <w:endnotePr>
        <w:numFmt w:val="decimal"/>
      </w:endnotePr>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D5F3A" w14:textId="77777777" w:rsidR="000D0A37" w:rsidRDefault="000D0A37" w:rsidP="0060645D">
      <w:pPr>
        <w:spacing w:after="0" w:line="240" w:lineRule="auto"/>
      </w:pPr>
      <w:r>
        <w:separator/>
      </w:r>
    </w:p>
  </w:endnote>
  <w:endnote w:type="continuationSeparator" w:id="0">
    <w:p w14:paraId="657149CE" w14:textId="77777777" w:rsidR="000D0A37" w:rsidRDefault="000D0A37" w:rsidP="0060645D">
      <w:pPr>
        <w:spacing w:after="0" w:line="240" w:lineRule="auto"/>
      </w:pPr>
      <w:r>
        <w:continuationSeparator/>
      </w:r>
    </w:p>
  </w:endnote>
  <w:endnote w:id="1">
    <w:p w14:paraId="724730E9" w14:textId="3DBC5035" w:rsidR="00B549D7" w:rsidRDefault="00B549D7">
      <w:pPr>
        <w:pStyle w:val="EndnoteText"/>
      </w:pPr>
      <w:r>
        <w:rPr>
          <w:rStyle w:val="EndnoteReference"/>
        </w:rPr>
        <w:endnoteRef/>
      </w:r>
      <w:r>
        <w:t xml:space="preserve"> Predictive policing is discussed in the LCO’s Criminal AI Project Issue Paper</w:t>
      </w:r>
      <w:r w:rsidR="00EA5092">
        <w:t xml:space="preserve"> 2</w:t>
      </w:r>
      <w:r>
        <w:t xml:space="preserve">, </w:t>
      </w:r>
      <w:r w:rsidR="00EA5092" w:rsidRPr="00EA5092">
        <w:rPr>
          <w:i/>
          <w:iCs/>
        </w:rPr>
        <w:t xml:space="preserve">Use of AI by </w:t>
      </w:r>
      <w:r w:rsidRPr="00CD75D3">
        <w:rPr>
          <w:i/>
          <w:iCs/>
        </w:rPr>
        <w:t>Law Enforcement</w:t>
      </w:r>
      <w:r w:rsidR="00EA5092">
        <w:rPr>
          <w:i/>
          <w:iCs/>
        </w:rPr>
        <w:t xml:space="preserve"> </w:t>
      </w:r>
      <w:r w:rsidR="00EA5092">
        <w:t xml:space="preserve">[LCO </w:t>
      </w:r>
      <w:r w:rsidR="006E3821">
        <w:t>Police AI Issue Paper</w:t>
      </w:r>
      <w:r w:rsidR="00EA5092">
        <w:t xml:space="preserve">] </w:t>
      </w:r>
      <w:r>
        <w:t xml:space="preserve">by LCO Counsel Ryan Fritsch. This paper is available online at </w:t>
      </w:r>
      <w:hyperlink r:id="rId1" w:history="1">
        <w:r w:rsidRPr="007C6405">
          <w:rPr>
            <w:rStyle w:val="Hyperlink"/>
          </w:rPr>
          <w:t>https://www.lco-cdo.org/en/our-current-projects/crimai/</w:t>
        </w:r>
      </w:hyperlink>
      <w:r>
        <w:t xml:space="preserve">. See also </w:t>
      </w:r>
      <w:r w:rsidR="0062785A">
        <w:t xml:space="preserve">generally, </w:t>
      </w:r>
      <w:r w:rsidRPr="00CD75D3">
        <w:rPr>
          <w:lang w:val="en-US"/>
        </w:rPr>
        <w:t xml:space="preserve">Andrew Guthrie Ferguson, “Predictive Policing Theory” published as Chapter 24 in Tamara Rice Lave and Eric J. Miller (eds.), </w:t>
      </w:r>
      <w:r w:rsidRPr="00CD75D3">
        <w:rPr>
          <w:i/>
          <w:iCs/>
          <w:lang w:val="en-US"/>
        </w:rPr>
        <w:t>The Cambridge Handbook of Policing in the United States</w:t>
      </w:r>
      <w:r w:rsidRPr="00CD75D3">
        <w:rPr>
          <w:lang w:val="en-US"/>
        </w:rPr>
        <w:t xml:space="preserve"> [Ferguson 2019]</w:t>
      </w:r>
      <w:r>
        <w:rPr>
          <w:lang w:val="en-US"/>
        </w:rPr>
        <w:t xml:space="preserve"> </w:t>
      </w:r>
      <w:r w:rsidRPr="00CD75D3">
        <w:rPr>
          <w:lang w:val="en-US"/>
        </w:rPr>
        <w:t>(2019), online</w:t>
      </w:r>
      <w:r>
        <w:rPr>
          <w:lang w:val="en-US"/>
        </w:rPr>
        <w:t>:</w:t>
      </w:r>
      <w:r w:rsidRPr="00CD75D3">
        <w:rPr>
          <w:lang w:val="en-US"/>
        </w:rPr>
        <w:t xml:space="preserve"> </w:t>
      </w:r>
      <w:hyperlink r:id="rId2" w:history="1">
        <w:r w:rsidRPr="00CD75D3">
          <w:rPr>
            <w:rStyle w:val="Hyperlink"/>
            <w:lang w:val="en-US"/>
          </w:rPr>
          <w:t>https://ssrn.com/abstract=3516382</w:t>
        </w:r>
      </w:hyperlink>
      <w:r w:rsidRPr="00CD75D3">
        <w:t xml:space="preserve">; </w:t>
      </w:r>
      <w:r w:rsidRPr="00CD75D3">
        <w:rPr>
          <w:lang w:val="en-US"/>
        </w:rPr>
        <w:t>National Academies of Sciences, Engineering, and Medicine</w:t>
      </w:r>
      <w:r>
        <w:rPr>
          <w:lang w:val="en-US"/>
        </w:rPr>
        <w:t xml:space="preserve">, </w:t>
      </w:r>
      <w:r w:rsidRPr="00F01714">
        <w:rPr>
          <w:i/>
          <w:iCs/>
          <w:lang w:val="en-US"/>
        </w:rPr>
        <w:t>Law Enforcement Use of Predictive Policing Approaches: Proceedings of a Workshop – In Brief</w:t>
      </w:r>
      <w:r w:rsidRPr="00CD75D3">
        <w:rPr>
          <w:lang w:val="en-US"/>
        </w:rPr>
        <w:t xml:space="preserve"> [NAS Predictive Policing]</w:t>
      </w:r>
      <w:r>
        <w:rPr>
          <w:lang w:val="en-US"/>
        </w:rPr>
        <w:t xml:space="preserve"> </w:t>
      </w:r>
      <w:r w:rsidRPr="00CD75D3">
        <w:rPr>
          <w:lang w:val="en-US"/>
        </w:rPr>
        <w:t>(2024), online</w:t>
      </w:r>
      <w:r>
        <w:rPr>
          <w:lang w:val="en-US"/>
        </w:rPr>
        <w:t>:</w:t>
      </w:r>
      <w:r w:rsidRPr="00CD75D3">
        <w:rPr>
          <w:lang w:val="en-US"/>
        </w:rPr>
        <w:t xml:space="preserve"> </w:t>
      </w:r>
      <w:hyperlink r:id="rId3" w:history="1">
        <w:r w:rsidRPr="00CD75D3">
          <w:rPr>
            <w:rStyle w:val="Hyperlink"/>
            <w:lang w:val="en-US"/>
          </w:rPr>
          <w:t>https://nap.nationalacademies.org/catalog/28037/law-enforcement-use-of-predictive-policing-approaches-proceedings-of-a</w:t>
        </w:r>
      </w:hyperlink>
      <w:r>
        <w:t xml:space="preserve">; </w:t>
      </w:r>
      <w:r w:rsidRPr="00547BF1">
        <w:t>and</w:t>
      </w:r>
      <w:r w:rsidRPr="00CD75D3">
        <w:t xml:space="preserve"> The Citizen Lab, </w:t>
      </w:r>
      <w:r w:rsidRPr="000D299B">
        <w:rPr>
          <w:i/>
          <w:iCs/>
        </w:rPr>
        <w:t>To Surveil and Protect: A Human Rights Analysis of Algorithmic Policing in Canada</w:t>
      </w:r>
      <w:r w:rsidRPr="00CD75D3">
        <w:t xml:space="preserve"> [To Surveil and Protect]</w:t>
      </w:r>
      <w:r>
        <w:t xml:space="preserve"> </w:t>
      </w:r>
      <w:r w:rsidRPr="00CD75D3">
        <w:t xml:space="preserve">(2020), online: </w:t>
      </w:r>
      <w:hyperlink r:id="rId4" w:history="1">
        <w:r w:rsidRPr="00CD75D3">
          <w:rPr>
            <w:rStyle w:val="Hyperlink"/>
          </w:rPr>
          <w:t>https://citizenlab.ca/wp-content/uploads/2020/09/To-Surveil-and-Predict.pdf</w:t>
        </w:r>
      </w:hyperlink>
      <w:r w:rsidRPr="00CD75D3">
        <w:rPr>
          <w:lang w:val="en-US"/>
        </w:rPr>
        <w:t>.</w:t>
      </w:r>
      <w:r w:rsidR="00BE6D0C">
        <w:rPr>
          <w:lang w:val="en-US"/>
        </w:rPr>
        <w:t xml:space="preserve"> </w:t>
      </w:r>
    </w:p>
  </w:endnote>
  <w:endnote w:id="2">
    <w:p w14:paraId="51F5391A" w14:textId="7C8F4653" w:rsidR="00B549D7" w:rsidRPr="00CD75D3" w:rsidRDefault="00B549D7" w:rsidP="00E03202">
      <w:pPr>
        <w:pStyle w:val="EndnoteText"/>
        <w:rPr>
          <w:lang w:val="en-US"/>
        </w:rPr>
      </w:pPr>
      <w:r w:rsidRPr="00CD75D3">
        <w:rPr>
          <w:rStyle w:val="EndnoteReference"/>
        </w:rPr>
        <w:endnoteRef/>
      </w:r>
      <w:r w:rsidRPr="00CD75D3">
        <w:t xml:space="preserve"> </w:t>
      </w:r>
      <w:r>
        <w:t xml:space="preserve">Ferguson 2019 </w:t>
      </w:r>
      <w:r w:rsidRPr="00CD75D3">
        <w:rPr>
          <w:lang w:val="en-US"/>
        </w:rPr>
        <w:t>at 491.</w:t>
      </w:r>
    </w:p>
  </w:endnote>
  <w:endnote w:id="3">
    <w:p w14:paraId="3C961CEC" w14:textId="77777777" w:rsidR="0062785A" w:rsidRPr="00A8323D" w:rsidRDefault="0062785A" w:rsidP="0062785A">
      <w:pPr>
        <w:pStyle w:val="EndnoteText"/>
      </w:pPr>
      <w:r w:rsidRPr="009B2CEB">
        <w:rPr>
          <w:rStyle w:val="EndnoteReference"/>
        </w:rPr>
        <w:endnoteRef/>
      </w:r>
      <w:r w:rsidRPr="009B2CEB">
        <w:t xml:space="preserve"> To </w:t>
      </w:r>
      <w:r w:rsidRPr="00EA5092">
        <w:rPr>
          <w:i/>
          <w:iCs/>
        </w:rPr>
        <w:t>Surveil and Protect</w:t>
      </w:r>
      <w:r w:rsidRPr="00A8323D">
        <w:t xml:space="preserve"> at </w:t>
      </w:r>
      <w:r>
        <w:t>41-46</w:t>
      </w:r>
      <w:r w:rsidRPr="00A8323D">
        <w:rPr>
          <w:lang w:val="en-US"/>
        </w:rPr>
        <w:t>.</w:t>
      </w:r>
      <w:r w:rsidRPr="00A8323D">
        <w:t xml:space="preserve"> </w:t>
      </w:r>
    </w:p>
  </w:endnote>
  <w:endnote w:id="4">
    <w:p w14:paraId="41A92120" w14:textId="129D9D0F" w:rsidR="00B549D7" w:rsidRPr="009B2CEB" w:rsidRDefault="00B549D7" w:rsidP="0022083A">
      <w:pPr>
        <w:pStyle w:val="EndnoteText"/>
      </w:pPr>
      <w:r w:rsidRPr="009B2CEB">
        <w:rPr>
          <w:rStyle w:val="EndnoteReference"/>
        </w:rPr>
        <w:endnoteRef/>
      </w:r>
      <w:r w:rsidRPr="009B2CEB">
        <w:t xml:space="preserve"> See generally, LCO </w:t>
      </w:r>
      <w:r w:rsidR="006E3821">
        <w:t xml:space="preserve">Police </w:t>
      </w:r>
      <w:r w:rsidRPr="009B2CEB">
        <w:t>AI Issue Paper</w:t>
      </w:r>
      <w:r>
        <w:t xml:space="preserve"> </w:t>
      </w:r>
      <w:r w:rsidRPr="009B2CEB">
        <w:t>and NAS Predictive Policing at 3-4.</w:t>
      </w:r>
    </w:p>
  </w:endnote>
  <w:endnote w:id="5">
    <w:p w14:paraId="5C244CC4" w14:textId="06C4078A" w:rsidR="00B549D7" w:rsidRPr="009B2CEB" w:rsidRDefault="00B549D7" w:rsidP="008A2ED0">
      <w:pPr>
        <w:spacing w:after="0"/>
        <w:rPr>
          <w:lang w:val="en-US"/>
        </w:rPr>
      </w:pPr>
      <w:r w:rsidRPr="009B2CEB">
        <w:rPr>
          <w:rStyle w:val="EndnoteReference"/>
          <w:sz w:val="20"/>
          <w:szCs w:val="20"/>
        </w:rPr>
        <w:endnoteRef/>
      </w:r>
      <w:r w:rsidRPr="009B2CEB">
        <w:rPr>
          <w:color w:val="000000"/>
          <w:sz w:val="20"/>
          <w:szCs w:val="20"/>
        </w:rPr>
        <w:t xml:space="preserve"> To </w:t>
      </w:r>
      <w:r w:rsidRPr="00EA5092">
        <w:rPr>
          <w:i/>
          <w:iCs/>
          <w:color w:val="000000"/>
          <w:sz w:val="20"/>
          <w:szCs w:val="20"/>
        </w:rPr>
        <w:t>Surveil and Protect</w:t>
      </w:r>
      <w:r w:rsidRPr="009B2CEB">
        <w:rPr>
          <w:color w:val="000000"/>
          <w:sz w:val="20"/>
          <w:szCs w:val="20"/>
        </w:rPr>
        <w:t xml:space="preserve"> at 47. </w:t>
      </w:r>
    </w:p>
  </w:endnote>
  <w:endnote w:id="6">
    <w:p w14:paraId="5B6C536E" w14:textId="1FAE54DA" w:rsidR="00B549D7" w:rsidRDefault="00B549D7" w:rsidP="009F322C">
      <w:pPr>
        <w:pStyle w:val="EndnoteText"/>
      </w:pPr>
      <w:r>
        <w:rPr>
          <w:rStyle w:val="EndnoteReference"/>
        </w:rPr>
        <w:endnoteRef/>
      </w:r>
      <w:r>
        <w:t xml:space="preserve"> Law enforcement FRT is discussed in the LCO Police AI Issue Paper. See also</w:t>
      </w:r>
      <w:r w:rsidR="0062785A">
        <w:t xml:space="preserve"> generally,</w:t>
      </w:r>
      <w:r>
        <w:t xml:space="preserve"> </w:t>
      </w:r>
      <w:r w:rsidRPr="009B2CEB">
        <w:t xml:space="preserve">International Criminal Police Organization (INTERPOL), </w:t>
      </w:r>
      <w:r>
        <w:rPr>
          <w:i/>
          <w:iCs/>
        </w:rPr>
        <w:t xml:space="preserve">A Policy Framework for Responsible Limits on Facial Recognition </w:t>
      </w:r>
      <w:r>
        <w:t xml:space="preserve">[INTERPOL Policy </w:t>
      </w:r>
      <w:r w:rsidR="00671283">
        <w:t>Framework</w:t>
      </w:r>
      <w:r>
        <w:t xml:space="preserve">] (2021), online: </w:t>
      </w:r>
      <w:hyperlink r:id="rId5" w:history="1">
        <w:r w:rsidRPr="006951C2">
          <w:rPr>
            <w:rStyle w:val="Hyperlink"/>
          </w:rPr>
          <w:t>https://unicri.org/A-Policy-Framework%20-for-Responsible-Limits-on-Facial-Recognition</w:t>
        </w:r>
      </w:hyperlink>
      <w:r>
        <w:t xml:space="preserve">; International Network of Civil Liberties Organizations, </w:t>
      </w:r>
      <w:r>
        <w:rPr>
          <w:i/>
          <w:iCs/>
        </w:rPr>
        <w:t xml:space="preserve">Eyes on the Watchers: Challenging the Rise of Police Facial Recognition Technology </w:t>
      </w:r>
      <w:r>
        <w:t xml:space="preserve">[INCLO Challenging FRT] (2025), online: </w:t>
      </w:r>
      <w:hyperlink r:id="rId6" w:history="1">
        <w:r w:rsidRPr="00BB48AD">
          <w:rPr>
            <w:rStyle w:val="Hyperlink"/>
          </w:rPr>
          <w:t>https://inclo.net/pillars/surveillance-and-digital-rights/principles-for-use-of-frt/</w:t>
        </w:r>
      </w:hyperlink>
      <w:r>
        <w:t xml:space="preserve">; and </w:t>
      </w:r>
      <w:r w:rsidRPr="009B2CEB">
        <w:t xml:space="preserve">Information and Privacy Commissioner of Ontario, </w:t>
      </w:r>
      <w:r w:rsidRPr="009B2CEB">
        <w:rPr>
          <w:i/>
          <w:iCs/>
        </w:rPr>
        <w:t>Facial Recognition and Mugshot Databases: Guidance for Police in Ontario</w:t>
      </w:r>
      <w:r w:rsidRPr="009B2CEB">
        <w:t xml:space="preserve"> [IPC FRT Report]</w:t>
      </w:r>
      <w:r>
        <w:t xml:space="preserve"> </w:t>
      </w:r>
      <w:r w:rsidRPr="009B2CEB">
        <w:t xml:space="preserve">(2024), online: </w:t>
      </w:r>
      <w:hyperlink r:id="rId7" w:history="1">
        <w:r w:rsidRPr="009B2CEB">
          <w:rPr>
            <w:rStyle w:val="Hyperlink"/>
          </w:rPr>
          <w:t>https://www.ipc.on.ca/wp-content/uploads/2024/01/2024-01-19-facial-recognition-and-mugshot-databases-guidance-for-police-in-ontario-e.pdf</w:t>
        </w:r>
      </w:hyperlink>
      <w:r>
        <w:t>.</w:t>
      </w:r>
    </w:p>
  </w:endnote>
  <w:endnote w:id="7">
    <w:p w14:paraId="296C6F06" w14:textId="327FCA80" w:rsidR="00B549D7" w:rsidRPr="009B2CEB" w:rsidRDefault="00B549D7" w:rsidP="006C16DC">
      <w:pPr>
        <w:spacing w:after="0" w:line="240" w:lineRule="auto"/>
        <w:rPr>
          <w:sz w:val="20"/>
          <w:szCs w:val="20"/>
        </w:rPr>
      </w:pPr>
      <w:r w:rsidRPr="009B2CEB">
        <w:rPr>
          <w:rStyle w:val="EndnoteReference"/>
          <w:sz w:val="20"/>
          <w:szCs w:val="20"/>
        </w:rPr>
        <w:endnoteRef/>
      </w:r>
      <w:r w:rsidRPr="009B2CEB">
        <w:rPr>
          <w:sz w:val="20"/>
          <w:szCs w:val="20"/>
        </w:rPr>
        <w:t xml:space="preserve"> </w:t>
      </w:r>
      <w:r>
        <w:rPr>
          <w:sz w:val="20"/>
          <w:szCs w:val="20"/>
        </w:rPr>
        <w:t xml:space="preserve">IPC FRT Report </w:t>
      </w:r>
      <w:r w:rsidRPr="009B2CEB">
        <w:rPr>
          <w:sz w:val="20"/>
          <w:szCs w:val="20"/>
        </w:rPr>
        <w:t>at 1.</w:t>
      </w:r>
    </w:p>
  </w:endnote>
  <w:endnote w:id="8">
    <w:p w14:paraId="48B065AE" w14:textId="2FAC2675" w:rsidR="00B549D7" w:rsidRPr="009B2CEB" w:rsidRDefault="00B549D7" w:rsidP="00D236FC">
      <w:pPr>
        <w:pStyle w:val="EndnoteText"/>
      </w:pPr>
      <w:r w:rsidRPr="009B2CEB">
        <w:rPr>
          <w:rStyle w:val="EndnoteReference"/>
        </w:rPr>
        <w:endnoteRef/>
      </w:r>
      <w:r w:rsidRPr="009B2CEB">
        <w:t xml:space="preserve"> International Criminal Police Organization (INTERPOL), </w:t>
      </w:r>
      <w:r w:rsidRPr="009B2CEB">
        <w:rPr>
          <w:i/>
          <w:iCs/>
        </w:rPr>
        <w:t>Introduction to Responsible AI Innovation</w:t>
      </w:r>
      <w:r w:rsidRPr="009B2CEB">
        <w:t xml:space="preserve"> </w:t>
      </w:r>
      <w:r w:rsidRPr="009B2CEB">
        <w:rPr>
          <w:rFonts w:eastAsia="Times New Roman"/>
          <w:lang w:val="en-US" w:eastAsia="en-CA"/>
        </w:rPr>
        <w:t>(2024) [INTERPOL AI Introduction], online</w:t>
      </w:r>
      <w:r>
        <w:rPr>
          <w:rFonts w:eastAsia="Times New Roman"/>
          <w:lang w:val="en-US" w:eastAsia="en-CA"/>
        </w:rPr>
        <w:t xml:space="preserve">: </w:t>
      </w:r>
      <w:hyperlink r:id="rId8" w:history="1">
        <w:r w:rsidRPr="009B2CEB">
          <w:rPr>
            <w:rStyle w:val="Hyperlink"/>
            <w:rFonts w:eastAsia="Times New Roman"/>
            <w:lang w:val="en-US" w:eastAsia="en-CA"/>
          </w:rPr>
          <w:t>https://www.interpol.int/en/How-we-work/Innovation/Artificial-Intelligence-Toolkit</w:t>
        </w:r>
      </w:hyperlink>
      <w:r w:rsidRPr="009B2CEB">
        <w:rPr>
          <w:rFonts w:eastAsia="Times New Roman"/>
          <w:lang w:val="en-US" w:eastAsia="en-CA"/>
        </w:rPr>
        <w:t xml:space="preserve"> at </w:t>
      </w:r>
      <w:r w:rsidRPr="009B2CEB">
        <w:t>21.</w:t>
      </w:r>
    </w:p>
  </w:endnote>
  <w:endnote w:id="9">
    <w:p w14:paraId="08F5BD69" w14:textId="28144588" w:rsidR="00B549D7" w:rsidRDefault="00B549D7" w:rsidP="00D236FC">
      <w:pPr>
        <w:pStyle w:val="EndnoteText"/>
      </w:pPr>
      <w:r>
        <w:rPr>
          <w:rStyle w:val="EndnoteReference"/>
        </w:rPr>
        <w:endnoteRef/>
      </w:r>
      <w:r>
        <w:t xml:space="preserve"> </w:t>
      </w:r>
      <w:r w:rsidRPr="00CD75D3">
        <w:t xml:space="preserve">Europol, </w:t>
      </w:r>
      <w:r w:rsidRPr="00CD75D3">
        <w:rPr>
          <w:i/>
          <w:iCs/>
        </w:rPr>
        <w:t xml:space="preserve">AI and Policing: The Benefits and Challenges of Artificial Intelligence for Law Enforcement </w:t>
      </w:r>
      <w:r w:rsidRPr="00CD75D3">
        <w:t>[E</w:t>
      </w:r>
      <w:r>
        <w:t>UROPOL</w:t>
      </w:r>
      <w:r w:rsidRPr="00CD75D3">
        <w:t>]</w:t>
      </w:r>
      <w:r>
        <w:t xml:space="preserve"> </w:t>
      </w:r>
      <w:r w:rsidRPr="00CD75D3">
        <w:t>(2024), online</w:t>
      </w:r>
      <w:r>
        <w:t>:</w:t>
      </w:r>
      <w:r w:rsidRPr="00CD75D3">
        <w:t xml:space="preserve"> </w:t>
      </w:r>
      <w:hyperlink r:id="rId9" w:history="1">
        <w:r w:rsidRPr="00CD75D3">
          <w:rPr>
            <w:rStyle w:val="Hyperlink"/>
          </w:rPr>
          <w:t>https://www.europol.europa.eu/publication-events/main-reports/ai-and-policing</w:t>
        </w:r>
      </w:hyperlink>
      <w:r>
        <w:t xml:space="preserve"> at 21-29.</w:t>
      </w:r>
      <w:r w:rsidR="00BE6D0C">
        <w:t xml:space="preserve"> </w:t>
      </w:r>
      <w:r w:rsidRPr="00CD75D3">
        <w:t xml:space="preserve"> </w:t>
      </w:r>
    </w:p>
  </w:endnote>
  <w:endnote w:id="10">
    <w:p w14:paraId="702689B8" w14:textId="439F158D" w:rsidR="00B549D7" w:rsidRDefault="00B549D7">
      <w:pPr>
        <w:pStyle w:val="EndnoteText"/>
      </w:pPr>
      <w:r>
        <w:rPr>
          <w:rStyle w:val="EndnoteReference"/>
        </w:rPr>
        <w:endnoteRef/>
      </w:r>
      <w:r>
        <w:t xml:space="preserve"> For example, see </w:t>
      </w:r>
      <w:r w:rsidRPr="009B2CEB">
        <w:rPr>
          <w:color w:val="000000"/>
        </w:rPr>
        <w:t xml:space="preserve">United States Government Accountability Office, Report to Congressional Requesters, </w:t>
      </w:r>
      <w:r w:rsidRPr="009B2CEB">
        <w:rPr>
          <w:i/>
          <w:iCs/>
          <w:color w:val="000000"/>
        </w:rPr>
        <w:t>Facial Recognition Technology: Federal Law Enforcement Agencies Should Better Assess Privacy and Other Risks</w:t>
      </w:r>
      <w:r w:rsidRPr="009B2CEB">
        <w:rPr>
          <w:color w:val="000000"/>
        </w:rPr>
        <w:t xml:space="preserve"> (2021), online: </w:t>
      </w:r>
      <w:hyperlink r:id="rId10">
        <w:r w:rsidRPr="009B2CEB">
          <w:rPr>
            <w:color w:val="0563C1"/>
            <w:u w:val="single"/>
          </w:rPr>
          <w:t>https://www.gao.gov/assets/gao-21-518.pdf</w:t>
        </w:r>
      </w:hyperlink>
      <w:r w:rsidRPr="009B2CEB">
        <w:t>.</w:t>
      </w:r>
    </w:p>
  </w:endnote>
  <w:endnote w:id="11">
    <w:p w14:paraId="54EAD40A" w14:textId="490A988A" w:rsidR="00B549D7" w:rsidRDefault="00B549D7">
      <w:pPr>
        <w:pStyle w:val="EndnoteText"/>
      </w:pPr>
      <w:r>
        <w:rPr>
          <w:rStyle w:val="EndnoteReference"/>
        </w:rPr>
        <w:endnoteRef/>
      </w:r>
      <w:r>
        <w:t xml:space="preserve"> </w:t>
      </w:r>
      <w:r w:rsidRPr="00EA0B4A">
        <w:t xml:space="preserve">Office of the Privacy Commissioner of Canada, </w:t>
      </w:r>
      <w:r w:rsidRPr="00EA5092">
        <w:rPr>
          <w:i/>
          <w:iCs/>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A30CCF">
        <w:t xml:space="preserve"> </w:t>
      </w:r>
      <w:r>
        <w:t xml:space="preserve">[Joint Clearview AI Investigation] </w:t>
      </w:r>
      <w:r w:rsidRPr="00A30CCF">
        <w:t>(February</w:t>
      </w:r>
      <w:r w:rsidRPr="00EA0B4A">
        <w:t xml:space="preserve"> 2,</w:t>
      </w:r>
      <w:r w:rsidRPr="00A30CCF">
        <w:t xml:space="preserve"> 2021), online: </w:t>
      </w:r>
      <w:hyperlink r:id="rId11" w:history="1">
        <w:r w:rsidRPr="00A30CCF">
          <w:rPr>
            <w:rStyle w:val="Hyperlink"/>
          </w:rPr>
          <w:t>https://www.priv.gc.ca/en/opc-actions-and-decisions/investigations/investigations-into-businesses/2021/pipeda-2021-001/</w:t>
        </w:r>
      </w:hyperlink>
      <w:r>
        <w:t>.</w:t>
      </w:r>
    </w:p>
  </w:endnote>
  <w:endnote w:id="12">
    <w:p w14:paraId="5ADDE9AD" w14:textId="3026158C" w:rsidR="00B549D7" w:rsidRDefault="00B549D7" w:rsidP="00D236FC">
      <w:pPr>
        <w:pStyle w:val="EndnoteText"/>
      </w:pPr>
      <w:r>
        <w:rPr>
          <w:rStyle w:val="EndnoteReference"/>
        </w:rPr>
        <w:endnoteRef/>
      </w:r>
      <w:r>
        <w:t xml:space="preserve"> </w:t>
      </w:r>
      <w:r w:rsidRPr="00CD75D3">
        <w:rPr>
          <w:rFonts w:cstheme="minorHAnsi"/>
        </w:rPr>
        <w:t xml:space="preserve">Toronto Police Services, </w:t>
      </w:r>
      <w:r w:rsidRPr="00695356">
        <w:rPr>
          <w:rFonts w:cstheme="minorHAnsi"/>
          <w:i/>
          <w:iCs/>
        </w:rPr>
        <w:t>Update on the Implementation of the Board’s Policy on the Use of AI Technology</w:t>
      </w:r>
      <w:r w:rsidRPr="00CD75D3">
        <w:rPr>
          <w:rFonts w:cstheme="minorHAnsi"/>
        </w:rPr>
        <w:t xml:space="preserve"> (January 11 2024), online</w:t>
      </w:r>
      <w:r>
        <w:rPr>
          <w:rFonts w:cstheme="minorHAnsi"/>
        </w:rPr>
        <w:t xml:space="preserve">: </w:t>
      </w:r>
      <w:hyperlink r:id="rId12" w:history="1">
        <w:r w:rsidRPr="00CD75D3">
          <w:rPr>
            <w:rStyle w:val="Hyperlink"/>
            <w:rFonts w:cstheme="minorHAnsi"/>
          </w:rPr>
          <w:t>https://tpsb.ca/jdownloads-categories?task=download.send&amp;id=813:january-11-2024-public-agenda&amp;catid=32</w:t>
        </w:r>
      </w:hyperlink>
      <w:r w:rsidRPr="00CD75D3">
        <w:t>.</w:t>
      </w:r>
    </w:p>
  </w:endnote>
  <w:endnote w:id="13">
    <w:p w14:paraId="413BF2AA" w14:textId="77A71A07" w:rsidR="00B549D7" w:rsidRDefault="00B549D7" w:rsidP="00A14F63">
      <w:pPr>
        <w:pStyle w:val="EndnoteText"/>
      </w:pPr>
      <w:r>
        <w:rPr>
          <w:rStyle w:val="EndnoteReference"/>
        </w:rPr>
        <w:endnoteRef/>
      </w:r>
      <w:r>
        <w:t xml:space="preserve"> Bail and sentencing AI systems are discussed in the LCO Criminal AI Project Issue Paper</w:t>
      </w:r>
      <w:r w:rsidR="00EA5092">
        <w:t xml:space="preserve"> 3,</w:t>
      </w:r>
      <w:r>
        <w:t xml:space="preserve"> </w:t>
      </w:r>
      <w:r>
        <w:rPr>
          <w:i/>
          <w:iCs/>
        </w:rPr>
        <w:t xml:space="preserve">AI and the Assessment of Risk in Bail, Sentencing and Recidivism </w:t>
      </w:r>
      <w:r>
        <w:t>[</w:t>
      </w:r>
      <w:r w:rsidR="006E3821">
        <w:t xml:space="preserve">LCO </w:t>
      </w:r>
      <w:r>
        <w:t>AI in Bail and Sentencing</w:t>
      </w:r>
      <w:r w:rsidR="006E3821">
        <w:t xml:space="preserve"> Issue Paper</w:t>
      </w:r>
      <w:r>
        <w:t xml:space="preserve">] by </w:t>
      </w:r>
      <w:r w:rsidRPr="0053578E">
        <w:rPr>
          <w:lang w:eastAsia="en-CA"/>
        </w:rPr>
        <w:t>Armando D’Andrea, Criminal Panel Manager and former Criminal Duty Counsel, Legal Aid Ontario and Gideon Christian, Professor of Law, University of Calgary</w:t>
      </w:r>
      <w:r>
        <w:rPr>
          <w:lang w:eastAsia="en-CA"/>
        </w:rPr>
        <w:t xml:space="preserve"> </w:t>
      </w:r>
      <w:r w:rsidRPr="0053578E">
        <w:rPr>
          <w:lang w:eastAsia="en-CA"/>
        </w:rPr>
        <w:t>Faculty of Law</w:t>
      </w:r>
      <w:r>
        <w:rPr>
          <w:lang w:eastAsia="en-CA"/>
        </w:rPr>
        <w:t xml:space="preserve">. </w:t>
      </w:r>
      <w:r>
        <w:t xml:space="preserve">This paper is available online at </w:t>
      </w:r>
      <w:hyperlink r:id="rId13" w:history="1">
        <w:r w:rsidRPr="007C6405">
          <w:rPr>
            <w:rStyle w:val="Hyperlink"/>
          </w:rPr>
          <w:t>https://www.lco-cdo.org/en/our-current-projects/crimai/</w:t>
        </w:r>
      </w:hyperlink>
      <w:r>
        <w:t xml:space="preserve">. </w:t>
      </w:r>
      <w:r>
        <w:rPr>
          <w:lang w:eastAsia="en-CA"/>
        </w:rPr>
        <w:t xml:space="preserve">See also </w:t>
      </w:r>
      <w:r w:rsidR="005C4830" w:rsidRPr="002A304F">
        <w:t xml:space="preserve">Law Commission of Ontario, </w:t>
      </w:r>
      <w:r w:rsidR="005C4830" w:rsidRPr="004E19E3">
        <w:rPr>
          <w:i/>
          <w:iCs/>
        </w:rPr>
        <w:t>The Rise and Fall of Algorithms in American Criminal Justice: Lessons for Canada</w:t>
      </w:r>
      <w:r w:rsidR="005C4830">
        <w:t xml:space="preserve"> [LCO American Lessons] (2020) [LCO Criminal AI Issue Paper], online:</w:t>
      </w:r>
      <w:r w:rsidR="00BE6D0C">
        <w:t xml:space="preserve"> </w:t>
      </w:r>
      <w:hyperlink r:id="rId14" w:history="1">
        <w:r w:rsidR="005C4830" w:rsidRPr="00A4378E">
          <w:rPr>
            <w:rStyle w:val="Hyperlink"/>
          </w:rPr>
          <w:t>https://www.lco-cdo.org/wp-content/uploads/2020/10/Criminal-AI-Paper-Final-Oct-28-2020.pdf</w:t>
        </w:r>
      </w:hyperlink>
      <w:r w:rsidR="005C4830">
        <w:rPr>
          <w:lang w:eastAsia="en-CA"/>
        </w:rPr>
        <w:t>.</w:t>
      </w:r>
    </w:p>
  </w:endnote>
  <w:endnote w:id="14">
    <w:p w14:paraId="050EAEAE" w14:textId="609E65F1" w:rsidR="00B549D7" w:rsidRPr="009B2CEB" w:rsidRDefault="00B549D7" w:rsidP="00305C53">
      <w:pPr>
        <w:pStyle w:val="EndnoteText"/>
      </w:pPr>
      <w:r w:rsidRPr="009B2CEB">
        <w:rPr>
          <w:rStyle w:val="EndnoteReference"/>
        </w:rPr>
        <w:endnoteRef/>
      </w:r>
      <w:r w:rsidRPr="009B2CEB">
        <w:t xml:space="preserve"> The Champion, </w:t>
      </w:r>
      <w:r w:rsidRPr="009B2CEB">
        <w:rPr>
          <w:i/>
          <w:iCs/>
        </w:rPr>
        <w:t xml:space="preserve">Making Sense of Risk Assessments, </w:t>
      </w:r>
      <w:r w:rsidRPr="009B2CEB">
        <w:rPr>
          <w:rFonts w:cstheme="minorHAnsi"/>
        </w:rPr>
        <w:t>American National Association of Criminal Defense Lawyers,</w:t>
      </w:r>
      <w:r w:rsidRPr="009B2CEB">
        <w:t xml:space="preserve"> [The Champion]</w:t>
      </w:r>
      <w:r>
        <w:t xml:space="preserve"> (2018)</w:t>
      </w:r>
      <w:r w:rsidRPr="009B2CEB">
        <w:t>, online</w:t>
      </w:r>
      <w:r>
        <w:t xml:space="preserve">: </w:t>
      </w:r>
      <w:hyperlink r:id="rId15" w:history="1">
        <w:r w:rsidRPr="009B2CEB">
          <w:rPr>
            <w:rStyle w:val="Hyperlink"/>
          </w:rPr>
          <w:t>https://www.nacdl.org/Article/June2018-MakingSenseofPretrialRiskAsses</w:t>
        </w:r>
      </w:hyperlink>
      <w:r w:rsidRPr="009B2CEB">
        <w:t>.</w:t>
      </w:r>
      <w:r w:rsidR="0062785A">
        <w:t xml:space="preserve"> See also LCO American Lessons.</w:t>
      </w:r>
    </w:p>
  </w:endnote>
  <w:endnote w:id="15">
    <w:p w14:paraId="1F5004B5" w14:textId="77777777" w:rsidR="00B549D7" w:rsidRPr="009B2CEB" w:rsidRDefault="00B549D7" w:rsidP="00305C53">
      <w:pPr>
        <w:pStyle w:val="Footnote"/>
      </w:pPr>
      <w:r w:rsidRPr="009B2CEB">
        <w:rPr>
          <w:rStyle w:val="EndnoteReference"/>
        </w:rPr>
        <w:endnoteRef/>
      </w:r>
      <w:r w:rsidRPr="009B2CEB">
        <w:t xml:space="preserve"> Sarah Picard-Fritshe et al,</w:t>
      </w:r>
      <w:r>
        <w:t xml:space="preserve"> </w:t>
      </w:r>
      <w:r w:rsidRPr="009B2CEB">
        <w:t>Center on Court Innovation</w:t>
      </w:r>
      <w:r>
        <w:t>,</w:t>
      </w:r>
      <w:r w:rsidRPr="009B2CEB">
        <w:rPr>
          <w:i/>
        </w:rPr>
        <w:t xml:space="preserve"> Beyond the Algorithm: Pretrial Reform, Risk Assessment, and Racial Fairness</w:t>
      </w:r>
      <w:r>
        <w:t xml:space="preserve"> </w:t>
      </w:r>
      <w:r w:rsidRPr="009B2CEB">
        <w:t>(2019), online</w:t>
      </w:r>
      <w:r>
        <w:t>:</w:t>
      </w:r>
    </w:p>
    <w:p w14:paraId="5BD14FC5" w14:textId="77777777" w:rsidR="00B549D7" w:rsidRPr="009B2CEB" w:rsidRDefault="00B549D7" w:rsidP="00305C53">
      <w:pPr>
        <w:pStyle w:val="Footnote"/>
      </w:pPr>
      <w:hyperlink r:id="rId16" w:history="1">
        <w:r w:rsidRPr="009B2CEB">
          <w:rPr>
            <w:rStyle w:val="Hyperlink"/>
          </w:rPr>
          <w:t>https://www.courtinnovation.org/sites/default/files/media/document/2019/Beyond_The_Algorithm.pdf</w:t>
        </w:r>
      </w:hyperlink>
      <w:r w:rsidRPr="009B2CEB">
        <w:t xml:space="preserve"> at 3. </w:t>
      </w:r>
    </w:p>
  </w:endnote>
  <w:endnote w:id="16">
    <w:p w14:paraId="74FFB788" w14:textId="38D10C5C" w:rsidR="00B549D7" w:rsidRPr="00265662" w:rsidRDefault="00B549D7" w:rsidP="00A14F63">
      <w:pPr>
        <w:pStyle w:val="EndnoteText"/>
        <w:rPr>
          <w:highlight w:val="yellow"/>
        </w:rPr>
      </w:pPr>
      <w:r w:rsidRPr="000D649D">
        <w:rPr>
          <w:rStyle w:val="EndnoteReference"/>
        </w:rPr>
        <w:endnoteRef/>
      </w:r>
      <w:r w:rsidRPr="000D649D">
        <w:t xml:space="preserve"> </w:t>
      </w:r>
      <w:r w:rsidR="000D649D" w:rsidRPr="000D649D">
        <w:t xml:space="preserve">These systems are described in several LCO Criminal AI project papers, including </w:t>
      </w:r>
      <w:r w:rsidR="006E3821">
        <w:t xml:space="preserve">Paper 1, </w:t>
      </w:r>
      <w:r w:rsidR="006E3821">
        <w:rPr>
          <w:i/>
          <w:iCs/>
        </w:rPr>
        <w:t>Introduction to the LCO Criminal AI Project</w:t>
      </w:r>
      <w:r w:rsidR="006E3821">
        <w:t xml:space="preserve"> [LCO Criminal AI Introduction]</w:t>
      </w:r>
      <w:r w:rsidR="006E3821" w:rsidRPr="00881D50">
        <w:t xml:space="preserve"> by LCO Executive Director Nye Thomas</w:t>
      </w:r>
      <w:r w:rsidR="006E3821">
        <w:t xml:space="preserve">; </w:t>
      </w:r>
      <w:r w:rsidR="00D3103E">
        <w:t>Paper 2</w:t>
      </w:r>
      <w:r w:rsidR="006E3821">
        <w:t xml:space="preserve"> </w:t>
      </w:r>
      <w:r w:rsidR="00EA5092">
        <w:t xml:space="preserve">LCO </w:t>
      </w:r>
      <w:r w:rsidR="006E3821">
        <w:t>Police AI Issue Paper</w:t>
      </w:r>
      <w:r w:rsidR="00AD6D57">
        <w:t xml:space="preserve">; </w:t>
      </w:r>
      <w:r w:rsidR="000D649D">
        <w:t>and</w:t>
      </w:r>
      <w:r w:rsidR="00D3103E">
        <w:t xml:space="preserve"> Paper 4,</w:t>
      </w:r>
      <w:r w:rsidR="000D649D">
        <w:t xml:space="preserve"> </w:t>
      </w:r>
      <w:r w:rsidR="000D649D">
        <w:rPr>
          <w:i/>
          <w:iCs/>
        </w:rPr>
        <w:t>AI at Trial and Appeal</w:t>
      </w:r>
      <w:r w:rsidR="006E3821" w:rsidRPr="006E3821">
        <w:rPr>
          <w:i/>
          <w:iCs/>
        </w:rPr>
        <w:t>,</w:t>
      </w:r>
      <w:r w:rsidR="000D649D">
        <w:rPr>
          <w:i/>
          <w:iCs/>
        </w:rPr>
        <w:t xml:space="preserve"> </w:t>
      </w:r>
      <w:r w:rsidR="000D649D">
        <w:rPr>
          <w:rFonts w:eastAsia="Times New Roman" w:cstheme="minorHAnsi"/>
          <w:kern w:val="0"/>
          <w:lang w:eastAsia="en-CA"/>
          <w14:ligatures w14:val="none"/>
        </w:rPr>
        <w:t xml:space="preserve">by </w:t>
      </w:r>
      <w:r w:rsidR="000D649D" w:rsidRPr="003D63EF">
        <w:rPr>
          <w:rFonts w:eastAsia="Times New Roman" w:cstheme="minorHAnsi"/>
          <w:kern w:val="0"/>
          <w:lang w:eastAsia="en-CA"/>
          <w14:ligatures w14:val="none"/>
        </w:rPr>
        <w:t>Paula Thompson, Strategic Initiatives, Ministry of the Attorney General</w:t>
      </w:r>
      <w:r w:rsidR="000D649D">
        <w:rPr>
          <w:rFonts w:eastAsia="Times New Roman" w:cstheme="minorHAnsi"/>
          <w:kern w:val="0"/>
          <w:lang w:eastAsia="en-CA"/>
          <w14:ligatures w14:val="none"/>
        </w:rPr>
        <w:t xml:space="preserve"> </w:t>
      </w:r>
      <w:r w:rsidR="000D649D" w:rsidRPr="003D63EF">
        <w:rPr>
          <w:rFonts w:eastAsia="Times New Roman" w:cstheme="minorHAnsi"/>
          <w:kern w:val="0"/>
          <w:lang w:eastAsia="en-CA"/>
          <w14:ligatures w14:val="none"/>
        </w:rPr>
        <w:t>and</w:t>
      </w:r>
      <w:r w:rsidR="000D649D" w:rsidRPr="0053578E">
        <w:rPr>
          <w:rFonts w:eastAsia="Times New Roman" w:cstheme="minorHAnsi"/>
          <w:kern w:val="0"/>
          <w:lang w:eastAsia="en-CA"/>
          <w14:ligatures w14:val="none"/>
        </w:rPr>
        <w:t xml:space="preserve"> Eric Neubauer, Defense Counsel, Neubauer Law, and Co-Chair, Criminal Lawyers Association Technology Committee.</w:t>
      </w:r>
      <w:r w:rsidR="000D649D">
        <w:rPr>
          <w:rFonts w:eastAsia="Times New Roman" w:cstheme="minorHAnsi"/>
          <w:kern w:val="0"/>
          <w:lang w:eastAsia="en-CA"/>
          <w14:ligatures w14:val="none"/>
        </w:rPr>
        <w:t xml:space="preserve"> </w:t>
      </w:r>
      <w:r w:rsidR="000D649D" w:rsidRPr="00881D50">
        <w:t>Th</w:t>
      </w:r>
      <w:r w:rsidR="000D649D">
        <w:t xml:space="preserve">ese </w:t>
      </w:r>
      <w:r w:rsidR="000D649D" w:rsidRPr="00881D50">
        <w:t>paper</w:t>
      </w:r>
      <w:r w:rsidR="000D649D">
        <w:t>s</w:t>
      </w:r>
      <w:r w:rsidR="000D649D" w:rsidRPr="00881D50">
        <w:t xml:space="preserve"> </w:t>
      </w:r>
      <w:r w:rsidR="000D649D">
        <w:t>are</w:t>
      </w:r>
      <w:r w:rsidR="000D649D" w:rsidRPr="00881D50">
        <w:t xml:space="preserve"> available online at </w:t>
      </w:r>
      <w:hyperlink r:id="rId17" w:history="1">
        <w:r w:rsidR="000D649D" w:rsidRPr="00881D50">
          <w:rPr>
            <w:rStyle w:val="Hyperlink"/>
          </w:rPr>
          <w:t>https://www.lco-cdo.org/en/our-current-projects/crimai/</w:t>
        </w:r>
      </w:hyperlink>
      <w:r w:rsidR="000D649D" w:rsidRPr="00881D50">
        <w:t>.</w:t>
      </w:r>
    </w:p>
  </w:endnote>
  <w:endnote w:id="17">
    <w:p w14:paraId="5DF7803E" w14:textId="4441A49E" w:rsidR="00B549D7" w:rsidRPr="00B54C76" w:rsidRDefault="00B549D7" w:rsidP="00B54C76">
      <w:pPr>
        <w:spacing w:after="0"/>
        <w:rPr>
          <w:sz w:val="20"/>
          <w:szCs w:val="20"/>
        </w:rPr>
      </w:pPr>
      <w:r w:rsidRPr="00B54C76">
        <w:rPr>
          <w:rStyle w:val="EndnoteReference"/>
          <w:sz w:val="20"/>
          <w:szCs w:val="20"/>
        </w:rPr>
        <w:endnoteRef/>
      </w:r>
      <w:r w:rsidRPr="00B54C76">
        <w:rPr>
          <w:sz w:val="20"/>
          <w:szCs w:val="20"/>
        </w:rPr>
        <w:t xml:space="preserve"> For an extensive discussion of the AI data bias, see LCO American Lessons at 20-26.</w:t>
      </w:r>
      <w:r w:rsidR="00B54C76" w:rsidRPr="00B54C76">
        <w:rPr>
          <w:sz w:val="20"/>
          <w:szCs w:val="20"/>
        </w:rPr>
        <w:t xml:space="preserve"> For a detailed discussion of AI and human rights generally, see Law Commission of Ontario, </w:t>
      </w:r>
      <w:r w:rsidR="00B54C76" w:rsidRPr="00B54C76">
        <w:rPr>
          <w:i/>
          <w:iCs/>
          <w:sz w:val="20"/>
          <w:szCs w:val="20"/>
        </w:rPr>
        <w:t>Accountable AI</w:t>
      </w:r>
      <w:r w:rsidR="00B54C76" w:rsidRPr="00B54C76">
        <w:rPr>
          <w:sz w:val="20"/>
          <w:szCs w:val="20"/>
        </w:rPr>
        <w:t xml:space="preserve">, (2022) [Accountable AI], online: </w:t>
      </w:r>
      <w:hyperlink r:id="rId18" w:history="1">
        <w:r w:rsidR="00B54C76" w:rsidRPr="00B54C76">
          <w:rPr>
            <w:rStyle w:val="Hyperlink"/>
            <w:sz w:val="20"/>
            <w:szCs w:val="20"/>
          </w:rPr>
          <w:t>https://www.lco-cdo.org/en/our-current-projects/ai-adm-and-the-justice-system/regulating-ai-critical-issues-and-choices/</w:t>
        </w:r>
      </w:hyperlink>
      <w:r w:rsidR="00B54C76" w:rsidRPr="00B54C76">
        <w:rPr>
          <w:sz w:val="20"/>
          <w:szCs w:val="20"/>
        </w:rPr>
        <w:t xml:space="preserve"> at 40-55. The LCO and Ontario Human Rights Commission have also recently developed the first AI human rights impact assessment (HRIA) based on Canadian law. The LCO/OHRC HRIA and an accompanying background paper is online at </w:t>
      </w:r>
      <w:hyperlink r:id="rId19" w:history="1">
        <w:r w:rsidR="00B54C76" w:rsidRPr="00B54C76">
          <w:rPr>
            <w:rStyle w:val="Hyperlink"/>
            <w:sz w:val="20"/>
            <w:szCs w:val="20"/>
          </w:rPr>
          <w:t>https://www.lco-cdo.org/en/our-current-projects/ai-adm-and-the-justice-system/human-rights-ai-impact-assessment/</w:t>
        </w:r>
      </w:hyperlink>
      <w:r w:rsidR="00B54C76" w:rsidRPr="00B54C76">
        <w:rPr>
          <w:sz w:val="20"/>
          <w:szCs w:val="20"/>
        </w:rPr>
        <w:t xml:space="preserve">.   </w:t>
      </w:r>
    </w:p>
  </w:endnote>
  <w:endnote w:id="18">
    <w:p w14:paraId="33C364AF" w14:textId="7CDF3B75" w:rsidR="00B549D7" w:rsidRPr="00DD00EB" w:rsidRDefault="00B549D7" w:rsidP="00B54C76">
      <w:pPr>
        <w:pStyle w:val="EndnoteText"/>
      </w:pPr>
      <w:r>
        <w:rPr>
          <w:rStyle w:val="EndnoteReference"/>
        </w:rPr>
        <w:endnoteRef/>
      </w:r>
      <w:r>
        <w:t xml:space="preserve"> INCLO Challenging FRT at 25.</w:t>
      </w:r>
      <w:r w:rsidRPr="00EF3F58">
        <w:t xml:space="preserve"> </w:t>
      </w:r>
      <w:r>
        <w:t xml:space="preserve">The best-known FRT bias study is a 2019 report by the </w:t>
      </w:r>
      <w:r w:rsidRPr="009B2CEB">
        <w:t>National Institute of Standards and Technology</w:t>
      </w:r>
      <w:r>
        <w:t xml:space="preserve"> study which found </w:t>
      </w:r>
      <w:r w:rsidRPr="00202A36">
        <w:rPr>
          <w:rFonts w:cstheme="minorHAnsi"/>
        </w:rPr>
        <w:t>that “[t]he majority of commercial facial-recognition systems exhibit bias” and “falsely identified African-American and Asian faces 10 to 100 times more than Caucasian faces.”</w:t>
      </w:r>
      <w:r>
        <w:rPr>
          <w:rFonts w:cstheme="minorHAnsi"/>
        </w:rPr>
        <w:t xml:space="preserve"> </w:t>
      </w:r>
      <w:r w:rsidRPr="009B2CEB">
        <w:t>National Institute of Standards and Technology</w:t>
      </w:r>
      <w:r>
        <w:rPr>
          <w:rFonts w:cstheme="minorHAnsi"/>
        </w:rPr>
        <w:t xml:space="preserve"> </w:t>
      </w:r>
      <w:r>
        <w:t xml:space="preserve">(NIST), </w:t>
      </w:r>
      <w:r w:rsidRPr="009B2CEB">
        <w:rPr>
          <w:i/>
          <w:iCs/>
        </w:rPr>
        <w:t>Face Recognition Vendor Test (FRVT) Part 3: Demographic Effects</w:t>
      </w:r>
      <w:r w:rsidR="00EF5F8A">
        <w:t xml:space="preserve"> </w:t>
      </w:r>
      <w:r w:rsidRPr="009B2CEB">
        <w:t xml:space="preserve">(2019), online: </w:t>
      </w:r>
      <w:hyperlink r:id="rId20" w:history="1">
        <w:r w:rsidRPr="009B2CEB">
          <w:rPr>
            <w:rStyle w:val="Hyperlink"/>
          </w:rPr>
          <w:t>https://nvlpubs.nist.gov/nistpubs/ir/2019/NIST.IR.8280.pdf</w:t>
        </w:r>
      </w:hyperlink>
      <w:r w:rsidRPr="009B2CEB">
        <w:t xml:space="preserve"> at 3.</w:t>
      </w:r>
      <w:r w:rsidR="00BE6D0C">
        <w:t xml:space="preserve"> </w:t>
      </w:r>
      <w:r w:rsidRPr="00202A36">
        <w:rPr>
          <w:rFonts w:cstheme="minorHAnsi"/>
        </w:rPr>
        <w:t xml:space="preserve">NIST </w:t>
      </w:r>
      <w:r>
        <w:rPr>
          <w:rFonts w:cstheme="minorHAnsi"/>
        </w:rPr>
        <w:t xml:space="preserve">also </w:t>
      </w:r>
      <w:r w:rsidRPr="00202A36">
        <w:rPr>
          <w:rFonts w:cstheme="minorHAnsi"/>
        </w:rPr>
        <w:t>identified concerns regarding false negatives false positives, gender, and age</w:t>
      </w:r>
      <w:r>
        <w:rPr>
          <w:rFonts w:cstheme="minorHAnsi"/>
        </w:rPr>
        <w:t>.</w:t>
      </w:r>
      <w:r w:rsidR="00BE6D0C">
        <w:rPr>
          <w:rFonts w:cstheme="minorHAnsi"/>
        </w:rPr>
        <w:t xml:space="preserve"> </w:t>
      </w:r>
    </w:p>
  </w:endnote>
  <w:endnote w:id="19">
    <w:p w14:paraId="123772D4" w14:textId="596F4D17" w:rsidR="00B549D7" w:rsidRDefault="00B549D7" w:rsidP="004E013A">
      <w:pPr>
        <w:pStyle w:val="EndnoteText"/>
      </w:pPr>
      <w:r>
        <w:rPr>
          <w:rStyle w:val="EndnoteReference"/>
        </w:rPr>
        <w:endnoteRef/>
      </w:r>
      <w:r>
        <w:t xml:space="preserve"> </w:t>
      </w:r>
      <w:r w:rsidRPr="009B2CEB">
        <w:t xml:space="preserve">NAS Predictive Policing </w:t>
      </w:r>
      <w:r>
        <w:t>at 2: “…in practice, predictive algorithms have fueled hot spots policing that too often results in the over-policing of communities and residents, imposing biases that have detrimental impacts on people of color.”</w:t>
      </w:r>
      <w:r w:rsidR="005D18AF">
        <w:t xml:space="preserve"> See also, </w:t>
      </w:r>
      <w:r w:rsidR="005D18AF" w:rsidRPr="00091BEC">
        <w:t xml:space="preserve">Partnership on </w:t>
      </w:r>
      <w:r w:rsidR="005D18AF">
        <w:t>AI (PAI)</w:t>
      </w:r>
      <w:r w:rsidR="005D18AF" w:rsidRPr="00091BEC">
        <w:t xml:space="preserve">, </w:t>
      </w:r>
      <w:r w:rsidR="005D18AF" w:rsidRPr="00091BEC">
        <w:rPr>
          <w:i/>
          <w:iCs/>
        </w:rPr>
        <w:t>Report on Algorithmic Risk Assessment Tools in the U.S. Criminal Justice System</w:t>
      </w:r>
      <w:r w:rsidR="005D18AF">
        <w:t xml:space="preserve">, </w:t>
      </w:r>
      <w:r w:rsidR="005D18AF" w:rsidRPr="00091BEC">
        <w:t>(</w:t>
      </w:r>
      <w:r w:rsidR="005D18AF">
        <w:t xml:space="preserve">April </w:t>
      </w:r>
      <w:r w:rsidR="005D18AF" w:rsidRPr="00091BEC">
        <w:t>2019)</w:t>
      </w:r>
      <w:r w:rsidR="005D18AF">
        <w:t xml:space="preserve">, online: </w:t>
      </w:r>
      <w:hyperlink r:id="rId21" w:history="1">
        <w:r w:rsidR="005D18AF" w:rsidRPr="00AD01FA">
          <w:rPr>
            <w:rStyle w:val="Hyperlink"/>
          </w:rPr>
          <w:t>https://www.partnershiponai.org/report-on-machine-learning-in-risk-assessment-tools-in-the-u-s-criminal-justice-system/</w:t>
        </w:r>
      </w:hyperlink>
      <w:r w:rsidR="005D18AF" w:rsidRPr="00091BEC">
        <w:t>.</w:t>
      </w:r>
      <w:r w:rsidR="00BE6D0C">
        <w:t xml:space="preserve"> </w:t>
      </w:r>
    </w:p>
  </w:endnote>
  <w:endnote w:id="20">
    <w:p w14:paraId="4EA962CA" w14:textId="5945B7A2" w:rsidR="00B549D7" w:rsidRPr="002F79A6" w:rsidRDefault="00B549D7">
      <w:pPr>
        <w:pStyle w:val="EndnoteText"/>
        <w:rPr>
          <w:i/>
          <w:iCs/>
        </w:rPr>
      </w:pPr>
      <w:r>
        <w:rPr>
          <w:rStyle w:val="EndnoteReference"/>
        </w:rPr>
        <w:endnoteRef/>
      </w:r>
      <w:r>
        <w:t xml:space="preserve"> See, for example, Policing Project, New York University School of Law, </w:t>
      </w:r>
      <w:r>
        <w:rPr>
          <w:i/>
          <w:iCs/>
        </w:rPr>
        <w:t xml:space="preserve">Law Enforcement Use of Facial Recognition Technology Must Be Regulated Now. Here’s How </w:t>
      </w:r>
      <w:r>
        <w:t>[Policing Project FRT Regulation] (accessed March 2025), online:</w:t>
      </w:r>
      <w:r w:rsidRPr="009B2CEB">
        <w:t xml:space="preserve"> </w:t>
      </w:r>
      <w:hyperlink r:id="rId22" w:history="1">
        <w:r w:rsidRPr="00012E88">
          <w:rPr>
            <w:rStyle w:val="Hyperlink"/>
          </w:rPr>
          <w:t>https://www.policingproject.org/regulating-police-use-of-face-recognition-technology</w:t>
        </w:r>
        <w:r w:rsidRPr="00BB48AD">
          <w:rPr>
            <w:rStyle w:val="Hyperlink"/>
          </w:rPr>
          <w:t xml:space="preserve"> at 1-2</w:t>
        </w:r>
      </w:hyperlink>
      <w:r>
        <w:t xml:space="preserve">; Surveillance Technology Oversight Project (STOP), </w:t>
      </w:r>
      <w:r>
        <w:rPr>
          <w:i/>
          <w:iCs/>
        </w:rPr>
        <w:t xml:space="preserve">Seeing Is Misbelieving: How Surveillance Technology Distorts Crime Statistics </w:t>
      </w:r>
      <w:r w:rsidRPr="002F79A6">
        <w:t>(June 2024</w:t>
      </w:r>
      <w:r>
        <w:t xml:space="preserve">), online: </w:t>
      </w:r>
      <w:hyperlink r:id="rId23" w:history="1">
        <w:r w:rsidRPr="00BB48AD">
          <w:rPr>
            <w:rStyle w:val="Hyperlink"/>
          </w:rPr>
          <w:t>https://www.stopspying.org/seeing-is-misbelieving</w:t>
        </w:r>
      </w:hyperlink>
      <w:r>
        <w:t xml:space="preserve">; INTERPOL Policy </w:t>
      </w:r>
      <w:r w:rsidR="00671283">
        <w:t>Framework</w:t>
      </w:r>
      <w:r>
        <w:t>; and INCLO Challenging FRT.</w:t>
      </w:r>
    </w:p>
  </w:endnote>
  <w:endnote w:id="21">
    <w:p w14:paraId="0A81AEBB" w14:textId="4A908E0F" w:rsidR="00B549D7" w:rsidRDefault="00B549D7">
      <w:pPr>
        <w:pStyle w:val="EndnoteText"/>
      </w:pPr>
      <w:r>
        <w:rPr>
          <w:rStyle w:val="EndnoteReference"/>
        </w:rPr>
        <w:endnoteRef/>
      </w:r>
      <w:r>
        <w:t xml:space="preserve"> </w:t>
      </w:r>
      <w:r w:rsidR="008F65D7">
        <w:t xml:space="preserve">See generally, INTERPOL Policy </w:t>
      </w:r>
      <w:r w:rsidR="00671283">
        <w:t>Framework</w:t>
      </w:r>
      <w:r w:rsidR="008F65D7">
        <w:t xml:space="preserve"> and INCLO Challenging FRT as illustrative examples.</w:t>
      </w:r>
    </w:p>
  </w:endnote>
  <w:endnote w:id="22">
    <w:p w14:paraId="40E88A4B" w14:textId="357CB797" w:rsidR="00B549D7" w:rsidRDefault="00B549D7">
      <w:pPr>
        <w:pStyle w:val="EndnoteText"/>
      </w:pPr>
      <w:r>
        <w:rPr>
          <w:rStyle w:val="EndnoteReference"/>
        </w:rPr>
        <w:endnoteRef/>
      </w:r>
      <w:r>
        <w:t xml:space="preserve"> </w:t>
      </w:r>
      <w:r w:rsidR="008F65D7">
        <w:t xml:space="preserve">Brennan Center for Justice, New York University School of Law, </w:t>
      </w:r>
      <w:r w:rsidR="008F65D7">
        <w:rPr>
          <w:i/>
          <w:iCs/>
        </w:rPr>
        <w:t xml:space="preserve">New York City Police Department Surveillance Technology </w:t>
      </w:r>
      <w:r w:rsidR="008F65D7">
        <w:t xml:space="preserve">(2019), online: </w:t>
      </w:r>
      <w:hyperlink r:id="rId24" w:history="1">
        <w:r w:rsidR="008F65D7" w:rsidRPr="00BB48AD">
          <w:rPr>
            <w:rStyle w:val="Hyperlink"/>
          </w:rPr>
          <w:t>https://www.brennancenter.org/our-work/research-reports/new-york-city-police-department-surveillance-technology</w:t>
        </w:r>
      </w:hyperlink>
      <w:r w:rsidR="008F65D7">
        <w:t>.</w:t>
      </w:r>
    </w:p>
  </w:endnote>
  <w:endnote w:id="23">
    <w:p w14:paraId="61B73F8F" w14:textId="5D20AF09" w:rsidR="00B549D7" w:rsidRDefault="00B549D7" w:rsidP="0027636A">
      <w:pPr>
        <w:pStyle w:val="EndnoteText"/>
      </w:pPr>
      <w:r>
        <w:rPr>
          <w:rStyle w:val="EndnoteReference"/>
        </w:rPr>
        <w:endnoteRef/>
      </w:r>
      <w:r>
        <w:t xml:space="preserve"> </w:t>
      </w:r>
      <w:r w:rsidR="008F65D7">
        <w:t xml:space="preserve">For example, see </w:t>
      </w:r>
      <w:r>
        <w:t xml:space="preserve">INTERPOL Policy </w:t>
      </w:r>
      <w:r w:rsidR="00671283">
        <w:t>Framework</w:t>
      </w:r>
      <w:r>
        <w:t xml:space="preserve"> at 15-16</w:t>
      </w:r>
      <w:r w:rsidR="008F65D7">
        <w:t xml:space="preserve">. </w:t>
      </w:r>
      <w:r w:rsidR="0027636A">
        <w:t xml:space="preserve">See also </w:t>
      </w:r>
      <w:r w:rsidR="0027636A" w:rsidRPr="009B2CEB">
        <w:rPr>
          <w:rFonts w:eastAsia="Quattrocento Sans"/>
        </w:rPr>
        <w:t xml:space="preserve">Information and Privacy Commissioner of Ontario, </w:t>
      </w:r>
      <w:r w:rsidR="0027636A" w:rsidRPr="009B2CEB">
        <w:rPr>
          <w:rFonts w:eastAsia="Quattrocento Sans"/>
          <w:i/>
          <w:iCs/>
        </w:rPr>
        <w:t>Facial Recognition and Mugshot Databases: Guidance for Police in Ontario</w:t>
      </w:r>
      <w:r w:rsidR="0027636A" w:rsidRPr="009B2CEB">
        <w:rPr>
          <w:rFonts w:eastAsia="Quattrocento Sans"/>
        </w:rPr>
        <w:t xml:space="preserve"> </w:t>
      </w:r>
      <w:r w:rsidR="0027636A">
        <w:rPr>
          <w:rFonts w:eastAsia="Quattrocento Sans"/>
        </w:rPr>
        <w:t xml:space="preserve">[IPC Mugshot Guidance] </w:t>
      </w:r>
      <w:r w:rsidR="0027636A" w:rsidRPr="009B2CEB">
        <w:rPr>
          <w:rFonts w:eastAsia="Quattrocento Sans"/>
        </w:rPr>
        <w:t xml:space="preserve">(January 2024), online: </w:t>
      </w:r>
      <w:hyperlink r:id="rId25" w:history="1">
        <w:r w:rsidR="0027636A" w:rsidRPr="009B2CEB">
          <w:rPr>
            <w:color w:val="0563C1"/>
            <w:u w:val="single"/>
          </w:rPr>
          <w:t>https://www.ipc.on.ca/wp-content/uploads/2024/01/2024-01-19-facial-recognition-and-mugshot-databases-guidance-for-police-in-ontario-e.pdf</w:t>
        </w:r>
      </w:hyperlink>
      <w:r w:rsidR="0027636A" w:rsidRPr="009B2CEB">
        <w:t xml:space="preserve">. </w:t>
      </w:r>
      <w:r w:rsidR="0027636A">
        <w:t xml:space="preserve">This </w:t>
      </w:r>
      <w:r w:rsidR="008F65D7">
        <w:rPr>
          <w:rFonts w:eastAsia="Quattrocento Sans"/>
        </w:rPr>
        <w:t>report sets out detailed guidance addressi</w:t>
      </w:r>
      <w:r w:rsidR="00671283">
        <w:rPr>
          <w:rFonts w:eastAsia="Quattrocento Sans"/>
        </w:rPr>
        <w:t xml:space="preserve">ng FRT </w:t>
      </w:r>
      <w:r w:rsidR="008F65D7">
        <w:rPr>
          <w:rFonts w:eastAsia="Quattrocento Sans"/>
        </w:rPr>
        <w:t>implementation issues, operational considerations, and program review and evaluation</w:t>
      </w:r>
      <w:r w:rsidR="0027636A">
        <w:rPr>
          <w:rFonts w:eastAsia="Quattrocento Sans"/>
        </w:rPr>
        <w:t xml:space="preserve"> at </w:t>
      </w:r>
      <w:r w:rsidR="008F65D7">
        <w:rPr>
          <w:rFonts w:eastAsia="Quattrocento Sans"/>
        </w:rPr>
        <w:t>4-33.</w:t>
      </w:r>
    </w:p>
  </w:endnote>
  <w:endnote w:id="24">
    <w:p w14:paraId="3037F093" w14:textId="77777777" w:rsidR="00B549D7" w:rsidRDefault="00B549D7" w:rsidP="00542CA7">
      <w:pPr>
        <w:pStyle w:val="EndnoteText"/>
      </w:pPr>
      <w:r>
        <w:rPr>
          <w:rStyle w:val="EndnoteReference"/>
        </w:rPr>
        <w:endnoteRef/>
      </w:r>
      <w:r>
        <w:t xml:space="preserve"> See the LCO’s American Lessons report for a good summary of these issues. </w:t>
      </w:r>
    </w:p>
  </w:endnote>
  <w:endnote w:id="25">
    <w:p w14:paraId="430757A9" w14:textId="62A2A834" w:rsidR="00B549D7" w:rsidRDefault="00B549D7" w:rsidP="00ED126A">
      <w:pPr>
        <w:pStyle w:val="EndnoteText"/>
      </w:pPr>
      <w:r>
        <w:rPr>
          <w:rStyle w:val="EndnoteReference"/>
        </w:rPr>
        <w:endnoteRef/>
      </w:r>
      <w:r>
        <w:t xml:space="preserve"> Joint Clearview AI Investigation.</w:t>
      </w:r>
    </w:p>
  </w:endnote>
  <w:endnote w:id="26">
    <w:p w14:paraId="36D17D8A" w14:textId="0BEF2F7E" w:rsidR="00B549D7" w:rsidRPr="00ED126A" w:rsidRDefault="00B549D7" w:rsidP="00ED126A">
      <w:pPr>
        <w:widowControl w:val="0"/>
        <w:tabs>
          <w:tab w:val="left" w:pos="1411"/>
          <w:tab w:val="left" w:pos="1412"/>
        </w:tabs>
        <w:autoSpaceDE w:val="0"/>
        <w:autoSpaceDN w:val="0"/>
        <w:spacing w:after="0" w:line="218" w:lineRule="auto"/>
        <w:ind w:right="1154"/>
        <w:rPr>
          <w:color w:val="262526"/>
          <w:sz w:val="20"/>
        </w:rPr>
      </w:pPr>
      <w:r w:rsidRPr="00ED126A">
        <w:rPr>
          <w:rStyle w:val="EndnoteReference"/>
        </w:rPr>
        <w:endnoteRef/>
      </w:r>
      <w:r w:rsidRPr="00ED126A">
        <w:t xml:space="preserve"> </w:t>
      </w:r>
      <w:r w:rsidR="00ED126A" w:rsidRPr="00ED126A">
        <w:rPr>
          <w:color w:val="262526"/>
          <w:sz w:val="20"/>
        </w:rPr>
        <w:t>David Freeman Engstrom &amp; Daniel E. Ho,</w:t>
      </w:r>
      <w:r w:rsidR="00ED126A" w:rsidRPr="00ED126A">
        <w:rPr>
          <w:color w:val="262526"/>
          <w:spacing w:val="1"/>
          <w:sz w:val="20"/>
        </w:rPr>
        <w:t xml:space="preserve"> </w:t>
      </w:r>
      <w:r w:rsidR="006E3821">
        <w:rPr>
          <w:color w:val="262526"/>
          <w:spacing w:val="1"/>
          <w:sz w:val="20"/>
        </w:rPr>
        <w:t>“</w:t>
      </w:r>
      <w:r w:rsidR="00ED126A" w:rsidRPr="006E3821">
        <w:rPr>
          <w:iCs/>
          <w:color w:val="262526"/>
          <w:sz w:val="20"/>
        </w:rPr>
        <w:t>Algorithmic Accountability in the Administrative</w:t>
      </w:r>
      <w:r w:rsidR="00ED126A" w:rsidRPr="006E3821">
        <w:rPr>
          <w:iCs/>
          <w:color w:val="262526"/>
          <w:spacing w:val="1"/>
          <w:sz w:val="20"/>
        </w:rPr>
        <w:t xml:space="preserve"> </w:t>
      </w:r>
      <w:r w:rsidR="00ED126A" w:rsidRPr="006E3821">
        <w:rPr>
          <w:iCs/>
          <w:color w:val="262526"/>
          <w:sz w:val="20"/>
        </w:rPr>
        <w:t>State</w:t>
      </w:r>
      <w:r w:rsidR="006E3821">
        <w:rPr>
          <w:iCs/>
          <w:color w:val="262526"/>
          <w:sz w:val="20"/>
        </w:rPr>
        <w:t>” in</w:t>
      </w:r>
      <w:r w:rsidR="00ED126A" w:rsidRPr="00ED126A">
        <w:rPr>
          <w:i/>
          <w:color w:val="262526"/>
          <w:sz w:val="20"/>
        </w:rPr>
        <w:t xml:space="preserve"> </w:t>
      </w:r>
      <w:r w:rsidR="00ED126A" w:rsidRPr="00ED126A">
        <w:rPr>
          <w:color w:val="262526"/>
          <w:sz w:val="20"/>
        </w:rPr>
        <w:t xml:space="preserve">(2020) </w:t>
      </w:r>
      <w:r w:rsidR="00ED126A" w:rsidRPr="006E3821">
        <w:rPr>
          <w:i/>
          <w:iCs/>
          <w:color w:val="262526"/>
          <w:sz w:val="20"/>
        </w:rPr>
        <w:t>Yale J</w:t>
      </w:r>
      <w:r w:rsidR="006E3821" w:rsidRPr="006E3821">
        <w:rPr>
          <w:i/>
          <w:iCs/>
          <w:color w:val="262526"/>
          <w:sz w:val="20"/>
        </w:rPr>
        <w:t>ournal</w:t>
      </w:r>
      <w:r w:rsidR="00ED126A" w:rsidRPr="006E3821">
        <w:rPr>
          <w:i/>
          <w:iCs/>
          <w:color w:val="262526"/>
          <w:sz w:val="20"/>
        </w:rPr>
        <w:t xml:space="preserve"> on Reg</w:t>
      </w:r>
      <w:r w:rsidR="006E3821" w:rsidRPr="006E3821">
        <w:rPr>
          <w:i/>
          <w:iCs/>
          <w:color w:val="262526"/>
          <w:sz w:val="20"/>
        </w:rPr>
        <w:t>ulation</w:t>
      </w:r>
      <w:r w:rsidR="00ED126A" w:rsidRPr="00ED126A">
        <w:rPr>
          <w:color w:val="262526"/>
          <w:sz w:val="20"/>
        </w:rPr>
        <w:t xml:space="preserve"> 800, online:</w:t>
      </w:r>
      <w:r w:rsidR="00ED126A" w:rsidRPr="00ED126A">
        <w:rPr>
          <w:color w:val="262526"/>
          <w:spacing w:val="1"/>
          <w:sz w:val="20"/>
        </w:rPr>
        <w:t xml:space="preserve"> </w:t>
      </w:r>
      <w:r w:rsidR="00ED126A" w:rsidRPr="00ED126A">
        <w:rPr>
          <w:color w:val="262526"/>
          <w:spacing w:val="-1"/>
          <w:sz w:val="20"/>
        </w:rPr>
        <w:t>papers.ssrn.com/sol3/papers.cfm?abstract_id=</w:t>
      </w:r>
      <w:r w:rsidR="00ED126A" w:rsidRPr="00ED126A">
        <w:rPr>
          <w:color w:val="262526"/>
          <w:sz w:val="20"/>
        </w:rPr>
        <w:t xml:space="preserve"> 3965041</w:t>
      </w:r>
      <w:r w:rsidR="00ED126A" w:rsidRPr="00ED126A">
        <w:rPr>
          <w:color w:val="262526"/>
          <w:spacing w:val="-2"/>
          <w:sz w:val="20"/>
        </w:rPr>
        <w:t xml:space="preserve"> at</w:t>
      </w:r>
      <w:r w:rsidR="00ED126A" w:rsidRPr="00ED126A">
        <w:rPr>
          <w:color w:val="262526"/>
          <w:sz w:val="20"/>
        </w:rPr>
        <w:t xml:space="preserve"> 821.</w:t>
      </w:r>
    </w:p>
  </w:endnote>
  <w:endnote w:id="27">
    <w:p w14:paraId="6A4EB8E2" w14:textId="40BCF9E5" w:rsidR="00B549D7" w:rsidRPr="000D649D" w:rsidRDefault="00B549D7" w:rsidP="00ED126A">
      <w:pPr>
        <w:pStyle w:val="EndnoteText"/>
      </w:pPr>
      <w:r w:rsidRPr="000D649D">
        <w:rPr>
          <w:rStyle w:val="EndnoteReference"/>
        </w:rPr>
        <w:endnoteRef/>
      </w:r>
      <w:r w:rsidRPr="000D649D">
        <w:t xml:space="preserve"> </w:t>
      </w:r>
      <w:r w:rsidR="000D649D" w:rsidRPr="000D649D">
        <w:t>See</w:t>
      </w:r>
      <w:r w:rsidR="000D649D">
        <w:t xml:space="preserve"> </w:t>
      </w:r>
      <w:r w:rsidR="000D649D" w:rsidRPr="000D649D">
        <w:t xml:space="preserve">INCLO Challenging FRT, </w:t>
      </w:r>
      <w:r w:rsidR="000D649D" w:rsidRPr="000D649D">
        <w:rPr>
          <w:lang w:val="en-US"/>
        </w:rPr>
        <w:t>Ferguson 2019, and LCO American Lessons</w:t>
      </w:r>
      <w:r w:rsidR="000D649D">
        <w:rPr>
          <w:lang w:val="en-US"/>
        </w:rPr>
        <w:t xml:space="preserve"> for representative examples of this analysis. </w:t>
      </w:r>
    </w:p>
  </w:endnote>
  <w:endnote w:id="28">
    <w:p w14:paraId="6ECF6D8A" w14:textId="62EBAAAF" w:rsidR="00B549D7" w:rsidRPr="00B54C76" w:rsidRDefault="00B549D7" w:rsidP="00784133">
      <w:pPr>
        <w:pStyle w:val="EndnoteText"/>
      </w:pPr>
      <w:r w:rsidRPr="00B54C76">
        <w:rPr>
          <w:rStyle w:val="EndnoteReference"/>
        </w:rPr>
        <w:endnoteRef/>
      </w:r>
      <w:r w:rsidRPr="00B54C76">
        <w:t xml:space="preserve"> </w:t>
      </w:r>
      <w:r w:rsidR="00B54C76" w:rsidRPr="00B54C76">
        <w:rPr>
          <w:rFonts w:eastAsia="Times New Roman"/>
          <w:lang w:val="en-US" w:eastAsia="en-CA"/>
        </w:rPr>
        <w:t xml:space="preserve">The variations between and within criminal AI systems confirm the need for tools and criteria to evaluate AI benefits and risks systematically. For example, an </w:t>
      </w:r>
      <w:r w:rsidR="00B54C76" w:rsidRPr="00B54C76">
        <w:t xml:space="preserve">FRT system monitoring a public protest has more serious </w:t>
      </w:r>
      <w:r w:rsidR="00B54C76" w:rsidRPr="00B54C76">
        <w:rPr>
          <w:i/>
          <w:iCs/>
        </w:rPr>
        <w:t xml:space="preserve">Charter </w:t>
      </w:r>
      <w:r w:rsidR="00B54C76" w:rsidRPr="00B54C76">
        <w:t xml:space="preserve">and privacy risks than an FRT system monitoring a closed, secure facility. Predictive policing systems can also vary widely in scope and risk: Location-based systems have been used to manage police patrols, identify times and locations where specific crimes are likely to occur, and identify areas where community interventions could reduce crime. Person-based systems, on the other hand, have been used to predict individuals more likely to be involved with crime, to promote officer safety when responding to 911 calls, and to promote “focussed deterrence.” </w:t>
      </w:r>
    </w:p>
  </w:endnote>
  <w:endnote w:id="29">
    <w:p w14:paraId="6F9F9BB3" w14:textId="4C36BB2A" w:rsidR="00B549D7" w:rsidRPr="009B2CEB" w:rsidRDefault="00B549D7" w:rsidP="00412B4E">
      <w:pPr>
        <w:pStyle w:val="EndnoteText"/>
      </w:pPr>
      <w:r w:rsidRPr="009B2CEB">
        <w:rPr>
          <w:rStyle w:val="EndnoteReference"/>
        </w:rPr>
        <w:endnoteRef/>
      </w:r>
      <w:r w:rsidRPr="009B2CEB">
        <w:t xml:space="preserve"> NAS Predictive Policing at 1. </w:t>
      </w:r>
    </w:p>
  </w:endnote>
  <w:endnote w:id="30">
    <w:p w14:paraId="3E06316D" w14:textId="0977439C" w:rsidR="00B549D7" w:rsidRDefault="00B549D7">
      <w:pPr>
        <w:pStyle w:val="EndnoteText"/>
      </w:pPr>
      <w:r w:rsidRPr="000D649D">
        <w:rPr>
          <w:rStyle w:val="EndnoteReference"/>
        </w:rPr>
        <w:endnoteRef/>
      </w:r>
      <w:r w:rsidRPr="000D649D">
        <w:t xml:space="preserve"> </w:t>
      </w:r>
      <w:r w:rsidR="00E3285B">
        <w:t>These</w:t>
      </w:r>
      <w:r w:rsidR="000D649D" w:rsidRPr="000D649D">
        <w:t xml:space="preserve"> reports are documented comprehensively in each of the LCO Criminal AI Project Issue Papers.</w:t>
      </w:r>
      <w:r w:rsidR="000D649D">
        <w:t xml:space="preserve"> </w:t>
      </w:r>
    </w:p>
  </w:endnote>
  <w:endnote w:id="31">
    <w:p w14:paraId="7ADBFA52" w14:textId="33E5F0EE" w:rsidR="00B549D7" w:rsidRPr="00EF5F8A" w:rsidRDefault="00B549D7" w:rsidP="00EF5F8A">
      <w:pPr>
        <w:pStyle w:val="EndnoteText"/>
      </w:pPr>
      <w:r>
        <w:rPr>
          <w:rStyle w:val="EndnoteReference"/>
        </w:rPr>
        <w:endnoteRef/>
      </w:r>
      <w:r>
        <w:t xml:space="preserve"> </w:t>
      </w:r>
      <w:r w:rsidRPr="009B2CEB">
        <w:t xml:space="preserve">European Union, </w:t>
      </w:r>
      <w:r w:rsidRPr="009B2CEB">
        <w:rPr>
          <w:i/>
          <w:iCs/>
        </w:rPr>
        <w:t xml:space="preserve">AI Act (Regulation (EU) 2024/1689 of the European Parliament and of the Council of Europe laying down harmonized rules on Artificial Intelligence </w:t>
      </w:r>
      <w:r w:rsidRPr="009B2CEB">
        <w:t>[EU AI Act]</w:t>
      </w:r>
      <w:r>
        <w:t xml:space="preserve"> </w:t>
      </w:r>
      <w:r w:rsidRPr="00A0462E">
        <w:t>(2024)</w:t>
      </w:r>
      <w:r w:rsidRPr="009B2CEB">
        <w:t>, online</w:t>
      </w:r>
      <w:r>
        <w:t xml:space="preserve">: </w:t>
      </w:r>
      <w:hyperlink r:id="rId26" w:history="1">
        <w:r w:rsidRPr="009B2CEB">
          <w:rPr>
            <w:rStyle w:val="Hyperlink"/>
          </w:rPr>
          <w:t>https://eur-lex.europa.eu/legal-content/EN/TXT/?uri=CELEX%3A32024R1689</w:t>
        </w:r>
      </w:hyperlink>
      <w:r w:rsidRPr="009B2CEB">
        <w:t xml:space="preserve">. </w:t>
      </w:r>
      <w:r w:rsidRPr="008D1EE2">
        <w:rPr>
          <w:rFonts w:eastAsia="Aptos" w:cstheme="minorHAnsi"/>
        </w:rPr>
        <w:t xml:space="preserve">Chapter II, Article 5 of the EU </w:t>
      </w:r>
      <w:r w:rsidRPr="008D1EE2">
        <w:rPr>
          <w:rFonts w:eastAsia="Aptos" w:cstheme="minorHAnsi"/>
          <w:i/>
          <w:iCs/>
        </w:rPr>
        <w:t>AI Act</w:t>
      </w:r>
      <w:r w:rsidRPr="008D1EE2">
        <w:rPr>
          <w:rFonts w:eastAsia="Aptos" w:cstheme="minorHAnsi"/>
        </w:rPr>
        <w:t xml:space="preserve"> sets out several “unacceptable risks” and prohibitions on specified AI systems.</w:t>
      </w:r>
      <w:r w:rsidR="00BE6D0C">
        <w:rPr>
          <w:rFonts w:eastAsia="Aptos" w:cstheme="minorHAnsi"/>
        </w:rPr>
        <w:t xml:space="preserve"> </w:t>
      </w:r>
      <w:r w:rsidRPr="008D1EE2">
        <w:rPr>
          <w:rFonts w:eastAsia="Aptos" w:cstheme="minorHAnsi"/>
        </w:rPr>
        <w:t>These systems are deemed “unacceptable” because they are a clear threat to European values and fundamental rights. Article 5 prohibits two AI systems that are directly relevant to criminal justice:</w:t>
      </w:r>
    </w:p>
    <w:p w14:paraId="78B96390" w14:textId="77C7DAE3" w:rsidR="00B549D7" w:rsidRPr="008D1EE2" w:rsidRDefault="00B549D7" w:rsidP="00965500">
      <w:pPr>
        <w:pStyle w:val="ListParagraph"/>
        <w:numPr>
          <w:ilvl w:val="0"/>
          <w:numId w:val="7"/>
        </w:numPr>
        <w:spacing w:after="0" w:line="256" w:lineRule="auto"/>
        <w:rPr>
          <w:rFonts w:eastAsia="Aptos" w:cstheme="minorHAnsi"/>
          <w:i/>
          <w:iCs/>
          <w:sz w:val="20"/>
          <w:szCs w:val="20"/>
        </w:rPr>
      </w:pPr>
      <w:r w:rsidRPr="008D1EE2">
        <w:rPr>
          <w:rFonts w:cstheme="minorHAnsi"/>
          <w:i/>
          <w:iCs/>
          <w:sz w:val="20"/>
          <w:szCs w:val="20"/>
        </w:rPr>
        <w:t>Real-time remote biometric identification in publicly accessible spaces for law enforcement.</w:t>
      </w:r>
    </w:p>
    <w:p w14:paraId="7B2D72C9" w14:textId="77777777" w:rsidR="00B549D7" w:rsidRPr="008D1EE2" w:rsidRDefault="00B549D7" w:rsidP="00965500">
      <w:pPr>
        <w:pStyle w:val="ListParagraph"/>
        <w:numPr>
          <w:ilvl w:val="0"/>
          <w:numId w:val="7"/>
        </w:numPr>
        <w:spacing w:after="0" w:line="256" w:lineRule="auto"/>
        <w:rPr>
          <w:rFonts w:cstheme="minorHAnsi"/>
          <w:i/>
          <w:iCs/>
          <w:sz w:val="20"/>
          <w:szCs w:val="20"/>
          <w:lang w:val="en-US"/>
        </w:rPr>
      </w:pPr>
      <w:r w:rsidRPr="008D1EE2">
        <w:rPr>
          <w:rFonts w:cstheme="minorHAnsi"/>
          <w:i/>
          <w:iCs/>
          <w:sz w:val="20"/>
          <w:szCs w:val="20"/>
        </w:rPr>
        <w:t>Assessing the risk of an individual committing criminal offenses solely based on profiling or personality traits</w:t>
      </w:r>
      <w:r w:rsidRPr="008D1EE2">
        <w:rPr>
          <w:rFonts w:cstheme="minorHAnsi"/>
          <w:i/>
          <w:iCs/>
          <w:sz w:val="20"/>
          <w:szCs w:val="20"/>
          <w:lang w:val="en-US"/>
        </w:rPr>
        <w:t xml:space="preserve">. </w:t>
      </w:r>
    </w:p>
    <w:p w14:paraId="1964F721" w14:textId="57E3C92B" w:rsidR="00B549D7" w:rsidRPr="008D1EE2" w:rsidRDefault="00B549D7" w:rsidP="008D1EE2">
      <w:pPr>
        <w:pStyle w:val="EndnoteText"/>
      </w:pPr>
      <w:r w:rsidRPr="008D1EE2">
        <w:t>Both prohibitions are subject to important exceptions.</w:t>
      </w:r>
      <w:r>
        <w:t xml:space="preserve"> </w:t>
      </w:r>
    </w:p>
  </w:endnote>
  <w:endnote w:id="32">
    <w:p w14:paraId="57039946" w14:textId="098DB790" w:rsidR="00B549D7" w:rsidRPr="009B2CEB" w:rsidRDefault="00B549D7" w:rsidP="008D1EE2">
      <w:pPr>
        <w:spacing w:after="0"/>
        <w:rPr>
          <w:sz w:val="20"/>
          <w:szCs w:val="20"/>
        </w:rPr>
      </w:pPr>
      <w:r>
        <w:rPr>
          <w:rStyle w:val="EndnoteReference"/>
        </w:rPr>
        <w:endnoteRef/>
      </w:r>
      <w:r>
        <w:t xml:space="preserve"> </w:t>
      </w:r>
      <w:r w:rsidRPr="009B2CEB">
        <w:rPr>
          <w:sz w:val="20"/>
          <w:szCs w:val="20"/>
        </w:rPr>
        <w:t xml:space="preserve">The EU </w:t>
      </w:r>
      <w:r w:rsidRPr="008D1EE2">
        <w:rPr>
          <w:i/>
          <w:iCs/>
          <w:sz w:val="20"/>
          <w:szCs w:val="20"/>
        </w:rPr>
        <w:t>AI Act</w:t>
      </w:r>
      <w:r w:rsidRPr="009B2CEB">
        <w:rPr>
          <w:sz w:val="20"/>
          <w:szCs w:val="20"/>
        </w:rPr>
        <w:t>, Chapter III, Annex III</w:t>
      </w:r>
      <w:r>
        <w:rPr>
          <w:sz w:val="20"/>
          <w:szCs w:val="20"/>
        </w:rPr>
        <w:t xml:space="preserve"> list of </w:t>
      </w:r>
      <w:r w:rsidR="00087809">
        <w:rPr>
          <w:sz w:val="20"/>
          <w:szCs w:val="20"/>
        </w:rPr>
        <w:t>“</w:t>
      </w:r>
      <w:r>
        <w:rPr>
          <w:sz w:val="20"/>
          <w:szCs w:val="20"/>
        </w:rPr>
        <w:t>high risk” systems include:</w:t>
      </w:r>
    </w:p>
    <w:p w14:paraId="401BF077" w14:textId="77777777" w:rsidR="00B549D7" w:rsidRPr="009B2CEB" w:rsidRDefault="00B549D7" w:rsidP="008D1EE2">
      <w:pPr>
        <w:spacing w:after="0"/>
        <w:rPr>
          <w:i/>
          <w:iCs/>
          <w:sz w:val="20"/>
          <w:szCs w:val="20"/>
        </w:rPr>
      </w:pPr>
      <w:r w:rsidRPr="009B2CEB">
        <w:rPr>
          <w:rFonts w:eastAsia="Aptos" w:cstheme="minorHAnsi"/>
          <w:i/>
          <w:iCs/>
          <w:sz w:val="20"/>
          <w:szCs w:val="20"/>
        </w:rPr>
        <w:t>Law Enforcement</w:t>
      </w:r>
    </w:p>
    <w:p w14:paraId="0AE4DD80" w14:textId="77777777" w:rsidR="00B549D7" w:rsidRPr="009B2CEB" w:rsidRDefault="00B549D7" w:rsidP="00965500">
      <w:pPr>
        <w:pStyle w:val="ListParagraph"/>
        <w:numPr>
          <w:ilvl w:val="0"/>
          <w:numId w:val="8"/>
        </w:numPr>
        <w:spacing w:after="0"/>
        <w:rPr>
          <w:i/>
          <w:iCs/>
          <w:sz w:val="20"/>
          <w:szCs w:val="20"/>
          <w:lang w:val="en-US"/>
        </w:rPr>
      </w:pPr>
      <w:r w:rsidRPr="009B2CEB">
        <w:rPr>
          <w:i/>
          <w:iCs/>
          <w:sz w:val="20"/>
          <w:szCs w:val="20"/>
          <w:lang w:val="en-US"/>
        </w:rPr>
        <w:t xml:space="preserve">Used to assess an individual's risk of becoming a crime victim. </w:t>
      </w:r>
    </w:p>
    <w:p w14:paraId="091229EE" w14:textId="77777777" w:rsidR="00B549D7" w:rsidRPr="009B2CEB" w:rsidRDefault="00B549D7" w:rsidP="00965500">
      <w:pPr>
        <w:pStyle w:val="ListParagraph"/>
        <w:numPr>
          <w:ilvl w:val="0"/>
          <w:numId w:val="8"/>
        </w:numPr>
        <w:spacing w:after="0"/>
        <w:rPr>
          <w:i/>
          <w:iCs/>
          <w:sz w:val="20"/>
          <w:szCs w:val="20"/>
          <w:lang w:val="en-US"/>
        </w:rPr>
      </w:pPr>
      <w:r w:rsidRPr="009B2CEB">
        <w:rPr>
          <w:i/>
          <w:iCs/>
          <w:sz w:val="20"/>
          <w:szCs w:val="20"/>
          <w:lang w:val="en-US"/>
        </w:rPr>
        <w:t xml:space="preserve">Polygraphs. </w:t>
      </w:r>
    </w:p>
    <w:p w14:paraId="18DF4C4E" w14:textId="77777777" w:rsidR="00B549D7" w:rsidRPr="009B2CEB" w:rsidRDefault="00B549D7" w:rsidP="00965500">
      <w:pPr>
        <w:pStyle w:val="ListParagraph"/>
        <w:numPr>
          <w:ilvl w:val="0"/>
          <w:numId w:val="8"/>
        </w:numPr>
        <w:spacing w:after="0"/>
        <w:rPr>
          <w:i/>
          <w:iCs/>
          <w:sz w:val="20"/>
          <w:szCs w:val="20"/>
          <w:lang w:val="en-US"/>
        </w:rPr>
      </w:pPr>
      <w:r w:rsidRPr="009B2CEB">
        <w:rPr>
          <w:i/>
          <w:iCs/>
          <w:sz w:val="20"/>
          <w:szCs w:val="20"/>
          <w:lang w:val="en-US"/>
        </w:rPr>
        <w:t xml:space="preserve">Evaluating evidence reliability during criminal investigations or prosecutions. </w:t>
      </w:r>
    </w:p>
    <w:p w14:paraId="497F12B1" w14:textId="77777777" w:rsidR="00B549D7" w:rsidRPr="009B2CEB" w:rsidRDefault="00B549D7" w:rsidP="00965500">
      <w:pPr>
        <w:pStyle w:val="ListParagraph"/>
        <w:numPr>
          <w:ilvl w:val="0"/>
          <w:numId w:val="8"/>
        </w:numPr>
        <w:spacing w:after="0"/>
        <w:rPr>
          <w:i/>
          <w:iCs/>
          <w:sz w:val="20"/>
          <w:szCs w:val="20"/>
          <w:lang w:val="en-US"/>
        </w:rPr>
      </w:pPr>
      <w:r w:rsidRPr="009B2CEB">
        <w:rPr>
          <w:i/>
          <w:iCs/>
          <w:sz w:val="20"/>
          <w:szCs w:val="20"/>
          <w:lang w:val="en-US"/>
        </w:rPr>
        <w:t xml:space="preserve">Assessing risk of an individual offending or re-offending not solely based on profiling or assessing personality traits or past criminal behaviour. </w:t>
      </w:r>
    </w:p>
    <w:p w14:paraId="2AFCFFA5" w14:textId="77777777" w:rsidR="00B549D7" w:rsidRPr="009B2CEB" w:rsidRDefault="00B549D7" w:rsidP="008D1EE2">
      <w:pPr>
        <w:spacing w:after="0"/>
        <w:rPr>
          <w:i/>
          <w:iCs/>
          <w:sz w:val="20"/>
          <w:szCs w:val="20"/>
          <w:lang w:val="en-US"/>
        </w:rPr>
      </w:pPr>
      <w:r w:rsidRPr="009B2CEB">
        <w:rPr>
          <w:i/>
          <w:iCs/>
          <w:sz w:val="20"/>
          <w:szCs w:val="20"/>
          <w:lang w:val="en-US"/>
        </w:rPr>
        <w:t xml:space="preserve">Administration of Justice </w:t>
      </w:r>
    </w:p>
    <w:p w14:paraId="243EB9A6" w14:textId="718893C5" w:rsidR="00B549D7" w:rsidRPr="008D1EE2" w:rsidRDefault="00B549D7" w:rsidP="00965500">
      <w:pPr>
        <w:pStyle w:val="ListParagraph"/>
        <w:numPr>
          <w:ilvl w:val="0"/>
          <w:numId w:val="8"/>
        </w:numPr>
        <w:spacing w:after="0"/>
        <w:rPr>
          <w:i/>
          <w:iCs/>
          <w:sz w:val="20"/>
          <w:szCs w:val="20"/>
          <w:lang w:val="en-US"/>
        </w:rPr>
      </w:pPr>
      <w:r w:rsidRPr="009B2CEB">
        <w:rPr>
          <w:i/>
          <w:iCs/>
          <w:sz w:val="20"/>
          <w:szCs w:val="20"/>
          <w:lang w:val="en-US"/>
        </w:rPr>
        <w:t xml:space="preserve">AI systems used in researching and interpreting facts and applying the law to concrete facts or used in alternative dispute resolution. </w:t>
      </w:r>
    </w:p>
  </w:endnote>
  <w:endnote w:id="33">
    <w:p w14:paraId="377AE055" w14:textId="3FBF2E84" w:rsidR="00B549D7" w:rsidRPr="00CB1F2E" w:rsidRDefault="00B549D7" w:rsidP="00CB1F2E">
      <w:pPr>
        <w:spacing w:after="0"/>
        <w:rPr>
          <w:sz w:val="20"/>
          <w:szCs w:val="20"/>
        </w:rPr>
      </w:pPr>
      <w:r w:rsidRPr="00CB1F2E">
        <w:rPr>
          <w:rStyle w:val="EndnoteReference"/>
          <w:sz w:val="20"/>
          <w:szCs w:val="20"/>
        </w:rPr>
        <w:endnoteRef/>
      </w:r>
      <w:r w:rsidRPr="00CB1F2E">
        <w:rPr>
          <w:sz w:val="20"/>
          <w:szCs w:val="20"/>
        </w:rPr>
        <w:t xml:space="preserve"> </w:t>
      </w:r>
      <w:r w:rsidRPr="00881D50">
        <w:rPr>
          <w:sz w:val="20"/>
          <w:szCs w:val="20"/>
        </w:rPr>
        <w:t>American initiatives are discussed at length in the</w:t>
      </w:r>
      <w:r w:rsidR="000D649D">
        <w:rPr>
          <w:sz w:val="20"/>
          <w:szCs w:val="20"/>
        </w:rPr>
        <w:t xml:space="preserve"> </w:t>
      </w:r>
      <w:r w:rsidR="00EF5F8A">
        <w:rPr>
          <w:sz w:val="20"/>
          <w:szCs w:val="20"/>
        </w:rPr>
        <w:t>LCO Criminal AI Introduction</w:t>
      </w:r>
      <w:r w:rsidRPr="00881D50">
        <w:rPr>
          <w:sz w:val="20"/>
          <w:szCs w:val="20"/>
        </w:rPr>
        <w:t>.</w:t>
      </w:r>
      <w:r w:rsidRPr="00CB1F2E">
        <w:rPr>
          <w:sz w:val="21"/>
          <w:szCs w:val="21"/>
        </w:rPr>
        <w:t xml:space="preserve"> </w:t>
      </w:r>
      <w:r>
        <w:rPr>
          <w:sz w:val="21"/>
          <w:szCs w:val="21"/>
        </w:rPr>
        <w:t>See also</w:t>
      </w:r>
      <w:r w:rsidR="00124640">
        <w:rPr>
          <w:sz w:val="21"/>
          <w:szCs w:val="21"/>
        </w:rPr>
        <w:t xml:space="preserve"> </w:t>
      </w:r>
      <w:r>
        <w:rPr>
          <w:sz w:val="21"/>
          <w:szCs w:val="21"/>
        </w:rPr>
        <w:t>generally,</w:t>
      </w:r>
      <w:r w:rsidR="00087809">
        <w:rPr>
          <w:sz w:val="20"/>
          <w:szCs w:val="20"/>
        </w:rPr>
        <w:t xml:space="preserve"> </w:t>
      </w:r>
      <w:r w:rsidRPr="00CB1F2E">
        <w:rPr>
          <w:sz w:val="20"/>
          <w:szCs w:val="20"/>
        </w:rPr>
        <w:t xml:space="preserve">United States, Office of the President, </w:t>
      </w:r>
      <w:r w:rsidRPr="00CB1F2E">
        <w:rPr>
          <w:rFonts w:cstheme="minorHAnsi"/>
          <w:sz w:val="20"/>
          <w:szCs w:val="20"/>
        </w:rPr>
        <w:t xml:space="preserve">Executive Order 14110 “Safe, Secure, and Trustworthy Development and Use of Artificial Intelligence” (November 1 2023), online: </w:t>
      </w:r>
      <w:hyperlink r:id="rId27" w:history="1">
        <w:r w:rsidRPr="00CB1F2E">
          <w:rPr>
            <w:rStyle w:val="Hyperlink"/>
            <w:rFonts w:cstheme="minorHAnsi"/>
            <w:sz w:val="20"/>
            <w:szCs w:val="20"/>
          </w:rPr>
          <w:t>https://www.federalregister.gov/documents/2023/11/01/2023-24283/safe-secure-and-trustworthy-development-and-use-of-artificial-intelligence</w:t>
        </w:r>
      </w:hyperlink>
      <w:r w:rsidRPr="00CB1F2E">
        <w:rPr>
          <w:rFonts w:cstheme="minorHAnsi"/>
          <w:sz w:val="20"/>
          <w:szCs w:val="20"/>
        </w:rPr>
        <w:t xml:space="preserve">; </w:t>
      </w:r>
      <w:r w:rsidRPr="00CB1F2E">
        <w:rPr>
          <w:sz w:val="20"/>
          <w:szCs w:val="20"/>
        </w:rPr>
        <w:t xml:space="preserve">Office of Management and Budget, </w:t>
      </w:r>
      <w:r w:rsidRPr="00CB1F2E">
        <w:rPr>
          <w:rFonts w:cstheme="minorHAnsi"/>
          <w:sz w:val="20"/>
          <w:szCs w:val="20"/>
        </w:rPr>
        <w:t xml:space="preserve">Executive Order M-24-10 “Advancing Governance, Innovation, and Risk Management for Agency Use of Artificial Intelligence” (March 2023); </w:t>
      </w:r>
      <w:r w:rsidRPr="00CB1F2E">
        <w:rPr>
          <w:sz w:val="20"/>
          <w:szCs w:val="20"/>
        </w:rPr>
        <w:t xml:space="preserve">AINow Institute, “A Taxonomy of Legislative Approaches to Face Recognition in the United States” in </w:t>
      </w:r>
      <w:r w:rsidRPr="00CB1F2E">
        <w:rPr>
          <w:i/>
          <w:iCs/>
          <w:sz w:val="20"/>
          <w:szCs w:val="20"/>
        </w:rPr>
        <w:t>Regulating Biometrics: Global Approaches and Open Questions</w:t>
      </w:r>
      <w:r w:rsidRPr="00CB1F2E">
        <w:rPr>
          <w:sz w:val="20"/>
          <w:szCs w:val="20"/>
        </w:rPr>
        <w:t xml:space="preserve"> (Sept 2020), online:</w:t>
      </w:r>
      <w:r w:rsidRPr="00CB1F2E">
        <w:rPr>
          <w:i/>
          <w:iCs/>
          <w:sz w:val="20"/>
          <w:szCs w:val="20"/>
        </w:rPr>
        <w:t xml:space="preserve"> </w:t>
      </w:r>
      <w:hyperlink r:id="rId28" w:history="1">
        <w:r w:rsidRPr="007C6405">
          <w:rPr>
            <w:rStyle w:val="Hyperlink"/>
            <w:sz w:val="20"/>
            <w:szCs w:val="20"/>
          </w:rPr>
          <w:t>https://ainowinstitute.org/publication/regulating-biometrics-global-approaches-and-open-questions</w:t>
        </w:r>
      </w:hyperlink>
      <w:r w:rsidRPr="00CB1F2E">
        <w:rPr>
          <w:sz w:val="20"/>
          <w:szCs w:val="20"/>
        </w:rPr>
        <w:t xml:space="preserve">; New York Police Department, Facial Recognition Technology Policy, P.G. 212-129, (2020), online: </w:t>
      </w:r>
      <w:hyperlink r:id="rId29" w:history="1">
        <w:r w:rsidRPr="00CB1F2E">
          <w:rPr>
            <w:rStyle w:val="Hyperlink"/>
            <w:sz w:val="20"/>
            <w:szCs w:val="20"/>
          </w:rPr>
          <w:t>https://www.nyc.gov/site/nypd/about/about-nypd/equipment-tech/facial-recognition.page</w:t>
        </w:r>
      </w:hyperlink>
      <w:r w:rsidRPr="00CB1F2E">
        <w:rPr>
          <w:sz w:val="20"/>
          <w:szCs w:val="20"/>
        </w:rPr>
        <w:t xml:space="preserve">; and Policing Project, New York University School of Law, </w:t>
      </w:r>
      <w:r w:rsidRPr="00CB1F2E">
        <w:rPr>
          <w:i/>
          <w:iCs/>
          <w:sz w:val="20"/>
          <w:szCs w:val="20"/>
        </w:rPr>
        <w:t>Regulating Police Use of Facial Recognition Technology – Resources for Legislators</w:t>
      </w:r>
      <w:r w:rsidRPr="00CB1F2E">
        <w:rPr>
          <w:sz w:val="20"/>
          <w:szCs w:val="20"/>
        </w:rPr>
        <w:t xml:space="preserve"> (accessed March 2025), online: </w:t>
      </w:r>
      <w:hyperlink r:id="rId30" w:history="1">
        <w:r w:rsidRPr="00CB1F2E">
          <w:rPr>
            <w:rStyle w:val="Hyperlink"/>
            <w:sz w:val="20"/>
            <w:szCs w:val="20"/>
          </w:rPr>
          <w:t>https://www.policingproject.org/regulating-police-use-of-face-recognition-technology</w:t>
        </w:r>
      </w:hyperlink>
      <w:r w:rsidRPr="00CB1F2E">
        <w:rPr>
          <w:sz w:val="20"/>
          <w:szCs w:val="20"/>
        </w:rPr>
        <w:t>.</w:t>
      </w:r>
      <w:r w:rsidR="00BE6D0C">
        <w:rPr>
          <w:sz w:val="20"/>
          <w:szCs w:val="20"/>
        </w:rPr>
        <w:t xml:space="preserve"> </w:t>
      </w:r>
    </w:p>
  </w:endnote>
  <w:endnote w:id="34">
    <w:p w14:paraId="67985CB5" w14:textId="77777777" w:rsidR="00B549D7" w:rsidRPr="009B2CEB" w:rsidRDefault="00B549D7" w:rsidP="009F0A62">
      <w:pPr>
        <w:pStyle w:val="EndnoteText"/>
      </w:pPr>
      <w:r w:rsidRPr="009B2CEB">
        <w:rPr>
          <w:rStyle w:val="EndnoteReference"/>
        </w:rPr>
        <w:endnoteRef/>
      </w:r>
      <w:r>
        <w:t xml:space="preserve"> </w:t>
      </w:r>
      <w:r w:rsidRPr="00FB1262">
        <w:rPr>
          <w:i/>
          <w:iCs/>
        </w:rPr>
        <w:t>Digital Charter Implementation Act</w:t>
      </w:r>
      <w:r w:rsidRPr="00FB1262">
        <w:t>;</w:t>
      </w:r>
      <w:r w:rsidRPr="00FB1262">
        <w:rPr>
          <w:i/>
          <w:iCs/>
        </w:rPr>
        <w:t xml:space="preserve"> 1</w:t>
      </w:r>
      <w:r w:rsidRPr="00FB1262">
        <w:rPr>
          <w:i/>
          <w:iCs/>
          <w:vertAlign w:val="superscript"/>
        </w:rPr>
        <w:t>st</w:t>
      </w:r>
      <w:r w:rsidRPr="00FB1262">
        <w:rPr>
          <w:i/>
          <w:iCs/>
        </w:rPr>
        <w:t xml:space="preserve"> Sess. 44</w:t>
      </w:r>
      <w:r w:rsidRPr="00FB1262">
        <w:rPr>
          <w:i/>
          <w:iCs/>
          <w:vertAlign w:val="superscript"/>
        </w:rPr>
        <w:t>th</w:t>
      </w:r>
      <w:r w:rsidRPr="00FB1262">
        <w:rPr>
          <w:i/>
          <w:iCs/>
        </w:rPr>
        <w:t xml:space="preserve"> Parliament, 2022, Part 3 “Artificial Intelligence and Data Act”, </w:t>
      </w:r>
      <w:r w:rsidRPr="00FB1262">
        <w:t>[</w:t>
      </w:r>
      <w:r w:rsidRPr="00FB1262">
        <w:rPr>
          <w:i/>
          <w:iCs/>
        </w:rPr>
        <w:t>AIDA</w:t>
      </w:r>
      <w:r w:rsidRPr="00FB1262">
        <w:t>],</w:t>
      </w:r>
      <w:r w:rsidRPr="00FB1262">
        <w:rPr>
          <w:i/>
          <w:iCs/>
        </w:rPr>
        <w:t xml:space="preserve"> </w:t>
      </w:r>
      <w:r w:rsidRPr="00FB1262">
        <w:t>online:</w:t>
      </w:r>
      <w:r w:rsidRPr="00FB1262">
        <w:rPr>
          <w:i/>
          <w:iCs/>
        </w:rPr>
        <w:t xml:space="preserve"> </w:t>
      </w:r>
      <w:hyperlink r:id="rId31" w:history="1">
        <w:r w:rsidRPr="00FB1262">
          <w:rPr>
            <w:rStyle w:val="Hyperlink"/>
            <w:i/>
            <w:iCs/>
          </w:rPr>
          <w:t>https://www.parl.ca/legisinfo/en/bill/44-1/c-27</w:t>
        </w:r>
      </w:hyperlink>
      <w:r>
        <w:t xml:space="preserve">. </w:t>
      </w:r>
    </w:p>
  </w:endnote>
  <w:endnote w:id="35">
    <w:p w14:paraId="5B296C7C" w14:textId="77777777" w:rsidR="00B549D7" w:rsidRPr="009B2CEB" w:rsidRDefault="00B549D7" w:rsidP="009F0A62">
      <w:pPr>
        <w:pStyle w:val="EndnoteText"/>
        <w:contextualSpacing/>
        <w:jc w:val="both"/>
        <w:rPr>
          <w:rFonts w:cstheme="minorHAnsi"/>
        </w:rPr>
      </w:pPr>
      <w:r w:rsidRPr="009B2CEB">
        <w:rPr>
          <w:rStyle w:val="EndnoteReference"/>
          <w:rFonts w:cstheme="minorHAnsi"/>
        </w:rPr>
        <w:endnoteRef/>
      </w:r>
      <w:r w:rsidRPr="009B2CEB">
        <w:rPr>
          <w:rFonts w:cstheme="minorHAnsi"/>
        </w:rPr>
        <w:t xml:space="preserve"> </w:t>
      </w:r>
      <w:r w:rsidRPr="009B2CEB">
        <w:rPr>
          <w:rFonts w:cstheme="minorHAnsi"/>
          <w:i/>
          <w:iCs/>
        </w:rPr>
        <w:t>AIDA</w:t>
      </w:r>
      <w:r w:rsidRPr="009B2CEB">
        <w:rPr>
          <w:rFonts w:cstheme="minorHAnsi"/>
        </w:rPr>
        <w:t xml:space="preserve">, s. 3. </w:t>
      </w:r>
    </w:p>
  </w:endnote>
  <w:endnote w:id="36">
    <w:p w14:paraId="35CC0BEF" w14:textId="604B4816" w:rsidR="004457E1" w:rsidRDefault="004457E1">
      <w:pPr>
        <w:pStyle w:val="EndnoteText"/>
      </w:pPr>
      <w:r>
        <w:rPr>
          <w:rStyle w:val="EndnoteReference"/>
        </w:rPr>
        <w:endnoteRef/>
      </w:r>
      <w:r>
        <w:t xml:space="preserve"> See</w:t>
      </w:r>
      <w:r w:rsidR="00EF5F8A">
        <w:t>,</w:t>
      </w:r>
      <w:r>
        <w:t xml:space="preserve"> for example</w:t>
      </w:r>
      <w:r w:rsidR="00EF5F8A">
        <w:t>,</w:t>
      </w:r>
      <w:r>
        <w:t xml:space="preserve"> a joint open letter from 45 civil society organizations, experts and academics criticizing </w:t>
      </w:r>
      <w:r>
        <w:rPr>
          <w:i/>
          <w:iCs/>
        </w:rPr>
        <w:t xml:space="preserve">AIDA </w:t>
      </w:r>
      <w:r>
        <w:t xml:space="preserve">on numerous grounds, online: </w:t>
      </w:r>
      <w:hyperlink r:id="rId32" w:history="1">
        <w:r w:rsidRPr="007C6405">
          <w:rPr>
            <w:rStyle w:val="Hyperlink"/>
          </w:rPr>
          <w:t>https://bccla.org/policy-submission/joint-letter-of-concern-regarding-the-artificial-intelligence-and-data-act-aida/</w:t>
        </w:r>
      </w:hyperlink>
      <w:r>
        <w:t>.</w:t>
      </w:r>
    </w:p>
  </w:endnote>
  <w:endnote w:id="37">
    <w:p w14:paraId="64F33174" w14:textId="0884D30A" w:rsidR="00B549D7" w:rsidRPr="009D3DF0" w:rsidRDefault="00B549D7" w:rsidP="009D3DF0">
      <w:pPr>
        <w:spacing w:after="0"/>
        <w:rPr>
          <w:rFonts w:cstheme="minorHAnsi"/>
          <w:sz w:val="20"/>
          <w:szCs w:val="20"/>
        </w:rPr>
      </w:pPr>
      <w:r w:rsidRPr="009D3DF0">
        <w:rPr>
          <w:rStyle w:val="EndnoteReference"/>
        </w:rPr>
        <w:endnoteRef/>
      </w:r>
      <w:r w:rsidRPr="009D3DF0">
        <w:t xml:space="preserve"> </w:t>
      </w:r>
      <w:r w:rsidR="009D3DF0" w:rsidRPr="009D3DF0">
        <w:rPr>
          <w:rFonts w:cstheme="minorHAnsi"/>
          <w:color w:val="333333"/>
          <w:sz w:val="20"/>
          <w:szCs w:val="20"/>
          <w:shd w:val="clear" w:color="auto" w:fill="FFFFFF"/>
        </w:rPr>
        <w:t>Canada. Innovation, Science and Economic Development Canada, </w:t>
      </w:r>
      <w:r w:rsidR="00EA5092">
        <w:rPr>
          <w:rFonts w:cstheme="minorHAnsi"/>
          <w:color w:val="333333"/>
          <w:sz w:val="20"/>
          <w:szCs w:val="20"/>
          <w:shd w:val="clear" w:color="auto" w:fill="FFFFFF"/>
        </w:rPr>
        <w:t>“</w:t>
      </w:r>
      <w:r w:rsidR="009D3DF0" w:rsidRPr="00EA5092">
        <w:rPr>
          <w:rFonts w:cstheme="minorHAnsi"/>
          <w:sz w:val="20"/>
          <w:szCs w:val="20"/>
          <w:shd w:val="clear" w:color="auto" w:fill="FFFFFF"/>
        </w:rPr>
        <w:t>Letter to the Chair of the Standing Committee on Industry and Technology on Bill C-27</w:t>
      </w:r>
      <w:r w:rsidR="00EA5092">
        <w:rPr>
          <w:rFonts w:cstheme="minorHAnsi"/>
          <w:sz w:val="20"/>
          <w:szCs w:val="20"/>
          <w:shd w:val="clear" w:color="auto" w:fill="FFFFFF"/>
        </w:rPr>
        <w:t>”</w:t>
      </w:r>
      <w:r w:rsidR="009D3DF0" w:rsidRPr="00CF4D96">
        <w:rPr>
          <w:rFonts w:cstheme="minorHAnsi"/>
          <w:color w:val="333333"/>
          <w:sz w:val="20"/>
          <w:szCs w:val="20"/>
          <w:shd w:val="clear" w:color="auto" w:fill="FFFFFF"/>
        </w:rPr>
        <w:t> (November 28, 2023)</w:t>
      </w:r>
      <w:r w:rsidR="00EA5092">
        <w:rPr>
          <w:rFonts w:cstheme="minorHAnsi"/>
          <w:color w:val="333333"/>
          <w:sz w:val="20"/>
          <w:szCs w:val="20"/>
          <w:shd w:val="clear" w:color="auto" w:fill="FFFFFF"/>
        </w:rPr>
        <w:t xml:space="preserve">, online: </w:t>
      </w:r>
      <w:hyperlink r:id="rId33" w:history="1">
        <w:r w:rsidR="00EA5092" w:rsidRPr="009D0EA3">
          <w:rPr>
            <w:rStyle w:val="Hyperlink"/>
            <w:rFonts w:cstheme="minorHAnsi"/>
            <w:sz w:val="20"/>
            <w:szCs w:val="20"/>
            <w:shd w:val="clear" w:color="auto" w:fill="FFFFFF"/>
          </w:rPr>
          <w:t>https://www.ourcommons.ca/content/Committee/441/INDU/WebDoc/WD12751351/12751351/MinisterOfInnovationScienceAndIndustry-2023-11-28-Combined-e.pdf</w:t>
        </w:r>
      </w:hyperlink>
      <w:r w:rsidR="00EA5092">
        <w:rPr>
          <w:rFonts w:cstheme="minorHAnsi"/>
          <w:color w:val="333333"/>
          <w:sz w:val="20"/>
          <w:szCs w:val="20"/>
          <w:shd w:val="clear" w:color="auto" w:fill="FFFFFF"/>
        </w:rPr>
        <w:t xml:space="preserve">. </w:t>
      </w:r>
      <w:r w:rsidR="009D3DF0">
        <w:rPr>
          <w:rFonts w:cstheme="minorHAnsi"/>
          <w:color w:val="333333"/>
          <w:sz w:val="20"/>
          <w:szCs w:val="20"/>
          <w:shd w:val="clear" w:color="auto" w:fill="FFFFFF"/>
        </w:rPr>
        <w:t>The relevant classes of prohibited systems include Class 3 (“The use of an artificial intelligence system to process biometric data...), Class 6 (“The use of an artificial intelligence system by a court or administrative body…) and Class 7 (“The use of an artificial intelligence to assist a police officer...).</w:t>
      </w:r>
      <w:r w:rsidR="00BE6D0C">
        <w:rPr>
          <w:rFonts w:cstheme="minorHAnsi"/>
          <w:color w:val="333333"/>
          <w:sz w:val="20"/>
          <w:szCs w:val="20"/>
          <w:shd w:val="clear" w:color="auto" w:fill="FFFFFF"/>
        </w:rPr>
        <w:t xml:space="preserve"> </w:t>
      </w:r>
    </w:p>
  </w:endnote>
  <w:endnote w:id="38">
    <w:p w14:paraId="010FCA3A" w14:textId="32495E0D" w:rsidR="00B549D7" w:rsidRPr="009B2CEB" w:rsidRDefault="00B549D7" w:rsidP="009F0A62">
      <w:pPr>
        <w:pStyle w:val="EndnoteText"/>
      </w:pPr>
      <w:r w:rsidRPr="009B2CEB">
        <w:rPr>
          <w:rStyle w:val="EndnoteReference"/>
        </w:rPr>
        <w:endnoteRef/>
      </w:r>
      <w:r w:rsidRPr="009B2CEB">
        <w:t xml:space="preserve"> See</w:t>
      </w:r>
      <w:r w:rsidR="00EF5F8A">
        <w:t xml:space="preserve">, </w:t>
      </w:r>
      <w:r w:rsidRPr="009B2CEB">
        <w:t xml:space="preserve">for example, Privacy and Access Council of Canada, “Key stakeholders call for withdrawal of controversial AI legislation,” April 24, 2024, online: </w:t>
      </w:r>
      <w:hyperlink r:id="rId34" w:history="1">
        <w:r w:rsidRPr="009B2CEB">
          <w:rPr>
            <w:rStyle w:val="Hyperlink"/>
          </w:rPr>
          <w:t>https://pacc-ccap.ca/aida-open-letter/</w:t>
        </w:r>
      </w:hyperlink>
      <w:r w:rsidRPr="009B2CEB">
        <w:t>.</w:t>
      </w:r>
      <w:r w:rsidR="00BE6D0C">
        <w:t xml:space="preserve"> </w:t>
      </w:r>
    </w:p>
  </w:endnote>
  <w:endnote w:id="39">
    <w:p w14:paraId="535AAE1E" w14:textId="67500C90" w:rsidR="00B549D7" w:rsidRPr="009B2CEB" w:rsidRDefault="00B549D7" w:rsidP="009F0A62">
      <w:pPr>
        <w:pStyle w:val="EndnoteText"/>
      </w:pPr>
      <w:r w:rsidRPr="009B2CEB">
        <w:rPr>
          <w:rStyle w:val="EndnoteReference"/>
        </w:rPr>
        <w:endnoteRef/>
      </w:r>
      <w:r w:rsidRPr="009B2CEB">
        <w:t xml:space="preserve"> </w:t>
      </w:r>
      <w:r w:rsidRPr="00FB1262">
        <w:t xml:space="preserve">Canada, </w:t>
      </w:r>
      <w:r w:rsidRPr="00BA69A2">
        <w:rPr>
          <w:i/>
          <w:iCs/>
        </w:rPr>
        <w:t>Directive on Automated Decision-Making</w:t>
      </w:r>
      <w:r w:rsidRPr="00FB1262">
        <w:t xml:space="preserve"> [Canada ADM Directive]</w:t>
      </w:r>
      <w:r>
        <w:t xml:space="preserve"> </w:t>
      </w:r>
      <w:r w:rsidRPr="00FB1262">
        <w:t xml:space="preserve">(2019), online: </w:t>
      </w:r>
      <w:hyperlink r:id="rId35" w:history="1">
        <w:r w:rsidRPr="00FB1262">
          <w:rPr>
            <w:rStyle w:val="Hyperlink"/>
          </w:rPr>
          <w:t>https://www.tbs-sct.canada.ca/pol/doc-eng.aspx?id=32592</w:t>
        </w:r>
      </w:hyperlink>
      <w:r w:rsidRPr="00FB1262">
        <w:t>; and Algorithmic Impact Assessment Tool [Canada AIA], online:</w:t>
      </w:r>
      <w:r w:rsidR="00BE6D0C">
        <w:t xml:space="preserve"> </w:t>
      </w:r>
      <w:hyperlink r:id="rId36" w:history="1">
        <w:r w:rsidRPr="002F79A6">
          <w:rPr>
            <w:rStyle w:val="Hyperlink"/>
          </w:rPr>
          <w:t>https://www.canada.ca/en/government/system/digital-government/digital-government-innovations/responsible-use-ai/algorithmic-impact-assessment.html</w:t>
        </w:r>
      </w:hyperlink>
      <w:r w:rsidRPr="002D5C18">
        <w:t xml:space="preserve">. </w:t>
      </w:r>
    </w:p>
  </w:endnote>
  <w:endnote w:id="40">
    <w:p w14:paraId="58D68DC3" w14:textId="0866A3BB" w:rsidR="00B549D7" w:rsidRPr="009B2CEB" w:rsidRDefault="00B549D7" w:rsidP="009F0A62">
      <w:pPr>
        <w:pStyle w:val="EndnoteText"/>
      </w:pPr>
      <w:r w:rsidRPr="008F65D7">
        <w:rPr>
          <w:rStyle w:val="None"/>
          <w:vertAlign w:val="superscript"/>
        </w:rPr>
        <w:endnoteRef/>
      </w:r>
      <w:r w:rsidRPr="008F65D7">
        <w:t xml:space="preserve"> </w:t>
      </w:r>
      <w:r w:rsidR="00B54C76">
        <w:t>Accountable AI.</w:t>
      </w:r>
    </w:p>
  </w:endnote>
  <w:endnote w:id="41">
    <w:p w14:paraId="3A095C04" w14:textId="5125F855" w:rsidR="00B549D7" w:rsidRPr="009B2CEB" w:rsidRDefault="00B549D7" w:rsidP="009F0A62">
      <w:pPr>
        <w:pStyle w:val="EndnoteText"/>
      </w:pPr>
      <w:r w:rsidRPr="00BA69A2">
        <w:rPr>
          <w:rStyle w:val="None"/>
          <w:vertAlign w:val="superscript"/>
        </w:rPr>
        <w:endnoteRef/>
      </w:r>
      <w:r>
        <w:t xml:space="preserve"> S</w:t>
      </w:r>
      <w:r w:rsidRPr="00BA69A2">
        <w:t>ee Accountable AI at 57-66.</w:t>
      </w:r>
    </w:p>
  </w:endnote>
  <w:endnote w:id="42">
    <w:p w14:paraId="141BC7B1" w14:textId="77777777" w:rsidR="00B549D7" w:rsidRPr="009B2CEB" w:rsidRDefault="00B549D7" w:rsidP="009F0A62">
      <w:pPr>
        <w:pStyle w:val="EndnoteText"/>
      </w:pPr>
      <w:r w:rsidRPr="00CC50CE">
        <w:rPr>
          <w:rStyle w:val="EndnoteReference"/>
        </w:rPr>
        <w:endnoteRef/>
      </w:r>
      <w:r w:rsidRPr="00CC50CE">
        <w:t xml:space="preserve"> </w:t>
      </w:r>
      <w:r w:rsidRPr="002F79A6">
        <w:t>Canada ADM Directive, s. 5.1. Note that the Directive applies only to federal departments subject to Treasury Board Secretariat.</w:t>
      </w:r>
    </w:p>
  </w:endnote>
  <w:endnote w:id="43">
    <w:p w14:paraId="08C89AA9" w14:textId="77777777" w:rsidR="00B549D7" w:rsidRPr="009B2CEB" w:rsidRDefault="00B549D7" w:rsidP="009F0A62">
      <w:pPr>
        <w:pStyle w:val="EndnoteText"/>
      </w:pPr>
      <w:r w:rsidRPr="009B2CEB">
        <w:rPr>
          <w:rStyle w:val="EndnoteReference"/>
        </w:rPr>
        <w:endnoteRef/>
      </w:r>
      <w:r w:rsidRPr="009B2CEB">
        <w:t xml:space="preserve"> </w:t>
      </w:r>
      <w:r>
        <w:t>This review is expected to be completed in 2025.</w:t>
      </w:r>
    </w:p>
  </w:endnote>
  <w:endnote w:id="44">
    <w:p w14:paraId="1F3CE849" w14:textId="5816101C" w:rsidR="00B549D7" w:rsidRDefault="00B549D7">
      <w:pPr>
        <w:pStyle w:val="EndnoteText"/>
      </w:pPr>
      <w:r>
        <w:rPr>
          <w:rStyle w:val="EndnoteReference"/>
        </w:rPr>
        <w:endnoteRef/>
      </w:r>
      <w:r>
        <w:t xml:space="preserve"> </w:t>
      </w:r>
      <w:r w:rsidR="00124640">
        <w:t xml:space="preserve">The creation of NTOP is discussed in </w:t>
      </w:r>
      <w:r w:rsidR="00124640" w:rsidRPr="009B2CEB">
        <w:t>R</w:t>
      </w:r>
      <w:r w:rsidR="00124640">
        <w:t xml:space="preserve">oyal Canadian Mounted Police, </w:t>
      </w:r>
      <w:r w:rsidR="00124640">
        <w:rPr>
          <w:i/>
          <w:iCs/>
        </w:rPr>
        <w:t xml:space="preserve">RCMP Publishes Transparency Blueprint: Snapshot of Operational Technologies </w:t>
      </w:r>
      <w:r w:rsidR="00124640" w:rsidRPr="002F79A6">
        <w:t>[RCMP</w:t>
      </w:r>
      <w:r w:rsidR="00124640">
        <w:rPr>
          <w:i/>
          <w:iCs/>
        </w:rPr>
        <w:t xml:space="preserve"> </w:t>
      </w:r>
      <w:r w:rsidR="00124640" w:rsidRPr="009B2CEB">
        <w:t>Transparency Blueprint</w:t>
      </w:r>
      <w:r w:rsidR="00124640">
        <w:t xml:space="preserve">] (September 2024), online: </w:t>
      </w:r>
      <w:hyperlink r:id="rId37" w:history="1">
        <w:r w:rsidR="00124640" w:rsidRPr="009B2CEB">
          <w:rPr>
            <w:rStyle w:val="Hyperlink"/>
          </w:rPr>
          <w:t>https://rcmp.ca/en/news/2024/09/rcmp-publishes-transparency-blueprint-snapshot-operational-technologies</w:t>
        </w:r>
      </w:hyperlink>
      <w:r w:rsidR="00124640" w:rsidRPr="009B2CEB">
        <w:t>.</w:t>
      </w:r>
    </w:p>
  </w:endnote>
  <w:endnote w:id="45">
    <w:p w14:paraId="12E1F234" w14:textId="043DA1C7" w:rsidR="00B549D7" w:rsidRPr="009B2CEB" w:rsidRDefault="00B549D7" w:rsidP="00B54C76">
      <w:pPr>
        <w:pStyle w:val="EndnoteText"/>
        <w:rPr>
          <w:lang w:val="en-US"/>
        </w:rPr>
      </w:pPr>
      <w:r w:rsidRPr="009B2CEB">
        <w:rPr>
          <w:rStyle w:val="EndnoteReference"/>
        </w:rPr>
        <w:endnoteRef/>
      </w:r>
      <w:r w:rsidRPr="009B2CEB">
        <w:t xml:space="preserve"> </w:t>
      </w:r>
      <w:r w:rsidRPr="009B2CEB">
        <w:rPr>
          <w:lang w:val="en-US"/>
        </w:rPr>
        <w:t xml:space="preserve">RCMP Communication with the </w:t>
      </w:r>
      <w:r w:rsidR="00EF5F8A">
        <w:rPr>
          <w:lang w:val="en-US"/>
        </w:rPr>
        <w:t>LCO</w:t>
      </w:r>
      <w:r w:rsidRPr="009B2CEB">
        <w:rPr>
          <w:lang w:val="en-US"/>
        </w:rPr>
        <w:t xml:space="preserve">. </w:t>
      </w:r>
    </w:p>
  </w:endnote>
  <w:endnote w:id="46">
    <w:p w14:paraId="01158033" w14:textId="02AFA8F6" w:rsidR="00B549D7" w:rsidRPr="00B54C76" w:rsidRDefault="00B549D7" w:rsidP="00B54C76">
      <w:pPr>
        <w:spacing w:after="0"/>
        <w:rPr>
          <w:sz w:val="20"/>
          <w:szCs w:val="20"/>
        </w:rPr>
      </w:pPr>
      <w:r w:rsidRPr="009B2CEB">
        <w:rPr>
          <w:rStyle w:val="EndnoteReference"/>
        </w:rPr>
        <w:endnoteRef/>
      </w:r>
      <w:r w:rsidRPr="009B2CEB">
        <w:t xml:space="preserve"> </w:t>
      </w:r>
      <w:r w:rsidR="00B54C76" w:rsidRPr="003A739A">
        <w:rPr>
          <w:sz w:val="20"/>
          <w:szCs w:val="20"/>
        </w:rPr>
        <w:t xml:space="preserve">Royal Canadian Mounted Police, National Technology Onboarding Program, </w:t>
      </w:r>
      <w:r w:rsidR="00B54C76" w:rsidRPr="003A739A">
        <w:rPr>
          <w:i/>
          <w:iCs/>
          <w:sz w:val="20"/>
          <w:szCs w:val="20"/>
        </w:rPr>
        <w:t>Transparency Blueprint: Snapshot of Operational Technologies</w:t>
      </w:r>
      <w:r w:rsidR="00B54C76" w:rsidRPr="003A739A">
        <w:rPr>
          <w:sz w:val="20"/>
          <w:szCs w:val="20"/>
        </w:rPr>
        <w:t xml:space="preserve">, [RCMP Transparency Blueprint] (2024), online at </w:t>
      </w:r>
      <w:hyperlink r:id="rId38" w:history="1">
        <w:r w:rsidR="00B54C76" w:rsidRPr="003A739A">
          <w:rPr>
            <w:rStyle w:val="Hyperlink"/>
            <w:sz w:val="20"/>
            <w:szCs w:val="20"/>
          </w:rPr>
          <w:t>https://rcmp.ca/en/corporate-information/publications-and-manuals/national-technology-onboarding-program-transparency-blueprint</w:t>
        </w:r>
      </w:hyperlink>
      <w:r w:rsidR="00B54C76">
        <w:rPr>
          <w:sz w:val="20"/>
          <w:szCs w:val="20"/>
        </w:rPr>
        <w:t>.</w:t>
      </w:r>
    </w:p>
  </w:endnote>
  <w:endnote w:id="47">
    <w:p w14:paraId="30E3C6B2" w14:textId="77777777" w:rsidR="00B549D7" w:rsidRPr="009B2CEB" w:rsidRDefault="00B549D7" w:rsidP="009F0A62">
      <w:pPr>
        <w:pStyle w:val="EndnoteText"/>
      </w:pPr>
      <w:r w:rsidRPr="009B2CEB">
        <w:rPr>
          <w:rStyle w:val="EndnoteReference"/>
        </w:rPr>
        <w:endnoteRef/>
      </w:r>
      <w:r w:rsidRPr="009B2CEB">
        <w:t xml:space="preserve"> RCMP Transparency Blueprint at 9.</w:t>
      </w:r>
    </w:p>
  </w:endnote>
  <w:endnote w:id="48">
    <w:p w14:paraId="2D4A6DE9" w14:textId="40620E0E" w:rsidR="00B549D7" w:rsidRPr="008F65D7" w:rsidRDefault="00B549D7" w:rsidP="009F0A62">
      <w:pPr>
        <w:pStyle w:val="EndnoteText"/>
      </w:pPr>
      <w:r w:rsidRPr="008F65D7">
        <w:rPr>
          <w:rStyle w:val="EndnoteReference"/>
        </w:rPr>
        <w:endnoteRef/>
      </w:r>
      <w:r w:rsidRPr="008F65D7">
        <w:t xml:space="preserve"> </w:t>
      </w:r>
      <w:r w:rsidR="008F65D7" w:rsidRPr="008F65D7">
        <w:rPr>
          <w:i/>
          <w:iCs/>
        </w:rPr>
        <w:t>Enhancing Digital Security and Trust Act</w:t>
      </w:r>
      <w:r w:rsidR="008F65D7" w:rsidRPr="008F65D7">
        <w:t>, S.O. 2024, c. 24, [</w:t>
      </w:r>
      <w:r w:rsidR="008F65D7" w:rsidRPr="008F65D7">
        <w:rPr>
          <w:i/>
          <w:iCs/>
        </w:rPr>
        <w:t>EDSTA</w:t>
      </w:r>
      <w:r w:rsidR="008F65D7" w:rsidRPr="008F65D7">
        <w:t>], online</w:t>
      </w:r>
      <w:r w:rsidR="006E3821">
        <w:t xml:space="preserve">: </w:t>
      </w:r>
      <w:hyperlink r:id="rId39" w:history="1">
        <w:r w:rsidR="006E3821" w:rsidRPr="00547D0D">
          <w:rPr>
            <w:rStyle w:val="Hyperlink"/>
          </w:rPr>
          <w:t>https://www.ontario.ca/laws/statute/24e24</w:t>
        </w:r>
      </w:hyperlink>
      <w:r w:rsidR="008F65D7" w:rsidRPr="008F65D7">
        <w:t>.</w:t>
      </w:r>
      <w:r w:rsidR="00BE6D0C">
        <w:t xml:space="preserve"> </w:t>
      </w:r>
      <w:r w:rsidR="008F65D7" w:rsidRPr="008F65D7">
        <w:t xml:space="preserve"> </w:t>
      </w:r>
    </w:p>
  </w:endnote>
  <w:endnote w:id="49">
    <w:p w14:paraId="6512ACA3" w14:textId="77777777" w:rsidR="00B549D7" w:rsidRPr="002F79A6" w:rsidRDefault="00B549D7" w:rsidP="002F5CDF">
      <w:pPr>
        <w:pStyle w:val="Heading3"/>
        <w:shd w:val="clear" w:color="auto" w:fill="FFFFFF"/>
        <w:spacing w:before="0"/>
        <w:ind w:right="120"/>
        <w:rPr>
          <w:rFonts w:cstheme="minorHAnsi"/>
          <w:color w:val="690707"/>
        </w:rPr>
      </w:pPr>
      <w:r w:rsidRPr="00EA02C9">
        <w:rPr>
          <w:rStyle w:val="EndnoteReference"/>
          <w:rFonts w:asciiTheme="minorHAnsi" w:hAnsiTheme="minorHAnsi" w:cstheme="minorHAnsi"/>
          <w:color w:val="auto"/>
          <w:sz w:val="20"/>
          <w:szCs w:val="20"/>
        </w:rPr>
        <w:endnoteRef/>
      </w:r>
      <w:r w:rsidRPr="00EA02C9">
        <w:rPr>
          <w:rFonts w:asciiTheme="minorHAnsi" w:hAnsiTheme="minorHAnsi" w:cstheme="minorHAnsi"/>
          <w:color w:val="auto"/>
          <w:sz w:val="20"/>
          <w:szCs w:val="20"/>
        </w:rPr>
        <w:t xml:space="preserve"> Government of Ontario, </w:t>
      </w:r>
      <w:r w:rsidRPr="00EA02C9">
        <w:rPr>
          <w:rFonts w:asciiTheme="minorHAnsi" w:hAnsiTheme="minorHAnsi" w:cstheme="minorHAnsi"/>
          <w:i/>
          <w:iCs/>
          <w:color w:val="auto"/>
          <w:sz w:val="20"/>
          <w:szCs w:val="20"/>
        </w:rPr>
        <w:t xml:space="preserve">Consultation on proposed legislation: Strengthening Cyber Security and Building Trust in the Public Sector Act, 2024 (2024), </w:t>
      </w:r>
      <w:r w:rsidRPr="00EA02C9">
        <w:rPr>
          <w:rFonts w:asciiTheme="minorHAnsi" w:hAnsiTheme="minorHAnsi" w:cstheme="minorHAnsi"/>
          <w:color w:val="auto"/>
          <w:sz w:val="20"/>
          <w:szCs w:val="20"/>
        </w:rPr>
        <w:t>online:</w:t>
      </w:r>
      <w:r w:rsidRPr="00EA02C9">
        <w:rPr>
          <w:rFonts w:asciiTheme="minorHAnsi" w:hAnsiTheme="minorHAnsi" w:cstheme="minorHAnsi"/>
          <w:i/>
          <w:iCs/>
          <w:color w:val="auto"/>
          <w:sz w:val="20"/>
          <w:szCs w:val="20"/>
        </w:rPr>
        <w:t xml:space="preserve"> </w:t>
      </w:r>
      <w:hyperlink r:id="rId40" w:history="1">
        <w:r w:rsidRPr="002F79A6">
          <w:rPr>
            <w:rStyle w:val="Hyperlink"/>
            <w:rFonts w:asciiTheme="minorHAnsi" w:hAnsiTheme="minorHAnsi" w:cstheme="minorHAnsi"/>
            <w:sz w:val="20"/>
            <w:szCs w:val="20"/>
          </w:rPr>
          <w:t>https://www.ontariocanada.com/registry/view.do?postingId=47433&amp;language=en</w:t>
        </w:r>
      </w:hyperlink>
      <w:r w:rsidRPr="002F79A6">
        <w:rPr>
          <w:rFonts w:asciiTheme="minorHAnsi" w:hAnsiTheme="minorHAnsi" w:cstheme="minorHAnsi"/>
          <w:sz w:val="20"/>
          <w:szCs w:val="20"/>
        </w:rPr>
        <w:t xml:space="preserve">. </w:t>
      </w:r>
    </w:p>
  </w:endnote>
  <w:endnote w:id="50">
    <w:p w14:paraId="38BC2033" w14:textId="4A60E2ED" w:rsidR="00B549D7" w:rsidRDefault="00B549D7">
      <w:pPr>
        <w:pStyle w:val="EndnoteText"/>
      </w:pPr>
      <w:r>
        <w:rPr>
          <w:rStyle w:val="EndnoteReference"/>
        </w:rPr>
        <w:endnoteRef/>
      </w:r>
      <w:r>
        <w:t xml:space="preserve"> Law Commission of Ontario, </w:t>
      </w:r>
      <w:r w:rsidRPr="00967953">
        <w:rPr>
          <w:i/>
          <w:iCs/>
        </w:rPr>
        <w:t>Bill 194, Law Commission of Ontario Submission</w:t>
      </w:r>
      <w:r>
        <w:t xml:space="preserve"> [LCO Bill 194 Submission] (2024), online: </w:t>
      </w:r>
      <w:hyperlink r:id="rId41" w:history="1">
        <w:r w:rsidRPr="005737F2">
          <w:rPr>
            <w:rStyle w:val="Hyperlink"/>
          </w:rPr>
          <w:t>https://www.lco-cdo.org/en/lco-releases-bill-194-submission/</w:t>
        </w:r>
      </w:hyperlink>
      <w:r>
        <w:t>.</w:t>
      </w:r>
    </w:p>
  </w:endnote>
  <w:endnote w:id="51">
    <w:p w14:paraId="7C61728B" w14:textId="77777777" w:rsidR="00B54C76" w:rsidRDefault="00B549D7" w:rsidP="009F0A62">
      <w:pPr>
        <w:spacing w:after="0"/>
        <w:rPr>
          <w:rFonts w:eastAsia="Times New Roman" w:cstheme="minorHAnsi"/>
          <w:color w:val="1A1A1A"/>
          <w:sz w:val="20"/>
          <w:szCs w:val="20"/>
        </w:rPr>
      </w:pPr>
      <w:r w:rsidRPr="009B2CEB">
        <w:rPr>
          <w:rStyle w:val="EndnoteReference"/>
          <w:sz w:val="20"/>
          <w:szCs w:val="20"/>
        </w:rPr>
        <w:endnoteRef/>
      </w:r>
      <w:r w:rsidRPr="009B2CEB">
        <w:rPr>
          <w:sz w:val="20"/>
          <w:szCs w:val="20"/>
        </w:rPr>
        <w:t xml:space="preserve"> </w:t>
      </w:r>
      <w:r>
        <w:rPr>
          <w:sz w:val="20"/>
          <w:szCs w:val="20"/>
        </w:rPr>
        <w:t xml:space="preserve">EDSTA </w:t>
      </w:r>
      <w:r w:rsidRPr="009B2CEB">
        <w:rPr>
          <w:rFonts w:eastAsia="Times New Roman" w:cstheme="minorHAnsi"/>
          <w:color w:val="1A1A1A"/>
          <w:sz w:val="20"/>
          <w:szCs w:val="20"/>
        </w:rPr>
        <w:t>s. 5(1) states that its provisions respecting AI systems “applies to such public sector entitles as may be prescribed if they use or intend to use an artificial intelligence system in prescribed circumstances.”</w:t>
      </w:r>
      <w:r w:rsidR="00BE6D0C">
        <w:rPr>
          <w:rFonts w:eastAsia="Times New Roman" w:cstheme="minorHAnsi"/>
          <w:color w:val="1A1A1A"/>
          <w:sz w:val="20"/>
          <w:szCs w:val="20"/>
        </w:rPr>
        <w:t xml:space="preserve"> </w:t>
      </w:r>
      <w:r w:rsidRPr="009B2CEB">
        <w:rPr>
          <w:rFonts w:eastAsia="Times New Roman" w:cstheme="minorHAnsi"/>
          <w:color w:val="1A1A1A"/>
          <w:sz w:val="20"/>
          <w:szCs w:val="20"/>
        </w:rPr>
        <w:t xml:space="preserve">This section includes two important limitations. </w:t>
      </w:r>
    </w:p>
    <w:p w14:paraId="72F6367E" w14:textId="27F1A55C" w:rsidR="00B549D7" w:rsidRPr="009B2CEB" w:rsidRDefault="00B549D7" w:rsidP="009F0A62">
      <w:pPr>
        <w:spacing w:after="0"/>
        <w:rPr>
          <w:rFonts w:eastAsia="Times New Roman" w:cstheme="minorHAnsi"/>
          <w:color w:val="1A1A1A"/>
          <w:sz w:val="20"/>
          <w:szCs w:val="20"/>
        </w:rPr>
      </w:pPr>
      <w:r w:rsidRPr="009B2CEB">
        <w:rPr>
          <w:rFonts w:eastAsia="Times New Roman" w:cstheme="minorHAnsi"/>
          <w:color w:val="1A1A1A"/>
          <w:sz w:val="20"/>
          <w:szCs w:val="20"/>
        </w:rPr>
        <w:t xml:space="preserve">First, s. 1(1) identifies which “public sector entities” will be subject to </w:t>
      </w:r>
      <w:r w:rsidRPr="00EF5F8A">
        <w:rPr>
          <w:rFonts w:eastAsia="Times New Roman" w:cstheme="minorHAnsi"/>
          <w:i/>
          <w:iCs/>
          <w:color w:val="1A1A1A"/>
          <w:sz w:val="20"/>
          <w:szCs w:val="20"/>
        </w:rPr>
        <w:t>EDSTA</w:t>
      </w:r>
      <w:r w:rsidRPr="009B2CEB">
        <w:rPr>
          <w:rFonts w:eastAsia="Times New Roman" w:cstheme="minorHAnsi"/>
          <w:color w:val="1A1A1A"/>
          <w:sz w:val="20"/>
          <w:szCs w:val="20"/>
        </w:rPr>
        <w:t>, including:</w:t>
      </w:r>
    </w:p>
    <w:p w14:paraId="6A9561B4" w14:textId="64333B36" w:rsidR="00B549D7" w:rsidRPr="00B54C76" w:rsidRDefault="00B549D7" w:rsidP="009F0A62">
      <w:pPr>
        <w:spacing w:after="0"/>
        <w:ind w:left="720"/>
        <w:rPr>
          <w:i/>
          <w:iCs/>
          <w:sz w:val="20"/>
          <w:szCs w:val="20"/>
        </w:rPr>
      </w:pPr>
      <w:r w:rsidRPr="009B2CEB">
        <w:rPr>
          <w:i/>
          <w:iCs/>
          <w:sz w:val="20"/>
          <w:szCs w:val="20"/>
        </w:rPr>
        <w:t>(a)</w:t>
      </w:r>
      <w:r w:rsidR="00BE6D0C">
        <w:rPr>
          <w:i/>
          <w:iCs/>
          <w:sz w:val="20"/>
          <w:szCs w:val="20"/>
        </w:rPr>
        <w:t xml:space="preserve"> </w:t>
      </w:r>
      <w:r w:rsidRPr="009B2CEB">
        <w:rPr>
          <w:i/>
          <w:iCs/>
          <w:sz w:val="20"/>
          <w:szCs w:val="20"/>
        </w:rPr>
        <w:t xml:space="preserve">an institution within the meaning </w:t>
      </w:r>
      <w:r w:rsidRPr="00B54C76">
        <w:rPr>
          <w:i/>
          <w:iCs/>
          <w:sz w:val="20"/>
          <w:szCs w:val="20"/>
        </w:rPr>
        <w:t>of subsection 2 (1) of the </w:t>
      </w:r>
      <w:r w:rsidRPr="00B54C76">
        <w:rPr>
          <w:rStyle w:val="Emphasis"/>
          <w:rFonts w:cstheme="minorHAnsi"/>
          <w:sz w:val="20"/>
          <w:szCs w:val="20"/>
        </w:rPr>
        <w:t>Freedom of Information and Protection of Privacy Act</w:t>
      </w:r>
      <w:r w:rsidRPr="00B54C76">
        <w:rPr>
          <w:i/>
          <w:iCs/>
          <w:sz w:val="20"/>
          <w:szCs w:val="20"/>
        </w:rPr>
        <w:t>,</w:t>
      </w:r>
    </w:p>
    <w:p w14:paraId="7FD21FD0" w14:textId="138FBFED" w:rsidR="00B549D7" w:rsidRPr="00B54C76" w:rsidRDefault="00B549D7" w:rsidP="009F0A62">
      <w:pPr>
        <w:spacing w:after="0"/>
        <w:ind w:left="720"/>
        <w:rPr>
          <w:rFonts w:cstheme="minorHAnsi"/>
          <w:sz w:val="20"/>
          <w:szCs w:val="20"/>
        </w:rPr>
      </w:pPr>
      <w:r w:rsidRPr="00B54C76">
        <w:rPr>
          <w:rFonts w:cstheme="minorHAnsi"/>
          <w:i/>
          <w:iCs/>
          <w:sz w:val="20"/>
          <w:szCs w:val="20"/>
        </w:rPr>
        <w:t>(b)</w:t>
      </w:r>
      <w:r w:rsidR="00BE6D0C" w:rsidRPr="00B54C76">
        <w:rPr>
          <w:rFonts w:cstheme="minorHAnsi"/>
          <w:i/>
          <w:iCs/>
          <w:sz w:val="20"/>
          <w:szCs w:val="20"/>
        </w:rPr>
        <w:t xml:space="preserve"> </w:t>
      </w:r>
      <w:r w:rsidRPr="00B54C76">
        <w:rPr>
          <w:rFonts w:cstheme="minorHAnsi"/>
          <w:i/>
          <w:iCs/>
          <w:sz w:val="20"/>
          <w:szCs w:val="20"/>
        </w:rPr>
        <w:t>an institution within the meaning of subsection 2 (1) of the </w:t>
      </w:r>
      <w:r w:rsidRPr="00B54C76">
        <w:rPr>
          <w:rStyle w:val="Emphasis"/>
          <w:rFonts w:cstheme="minorHAnsi"/>
          <w:sz w:val="20"/>
          <w:szCs w:val="20"/>
        </w:rPr>
        <w:t>Municipal Freedom of Information and Protection of Privacy Act</w:t>
      </w:r>
      <w:r w:rsidRPr="00B54C76">
        <w:rPr>
          <w:rFonts w:cstheme="minorHAnsi"/>
          <w:i/>
          <w:iCs/>
          <w:sz w:val="20"/>
          <w:szCs w:val="20"/>
        </w:rPr>
        <w:t>,</w:t>
      </w:r>
      <w:r w:rsidRPr="00B54C76">
        <w:rPr>
          <w:rFonts w:cstheme="minorHAnsi"/>
          <w:sz w:val="20"/>
          <w:szCs w:val="20"/>
        </w:rPr>
        <w:t xml:space="preserve"> </w:t>
      </w:r>
    </w:p>
    <w:p w14:paraId="3B1B5E35" w14:textId="21BC1F0D" w:rsidR="00B549D7" w:rsidRPr="009B2CEB" w:rsidRDefault="00B549D7" w:rsidP="009F0A62">
      <w:pPr>
        <w:spacing w:after="0"/>
        <w:ind w:left="720"/>
        <w:rPr>
          <w:rFonts w:cstheme="minorHAnsi"/>
          <w:i/>
          <w:iCs/>
          <w:sz w:val="20"/>
          <w:szCs w:val="20"/>
        </w:rPr>
      </w:pPr>
      <w:r w:rsidRPr="009B2CEB">
        <w:rPr>
          <w:rFonts w:cstheme="minorHAnsi"/>
          <w:i/>
          <w:iCs/>
          <w:sz w:val="20"/>
          <w:szCs w:val="20"/>
        </w:rPr>
        <w:t>(c)</w:t>
      </w:r>
      <w:r w:rsidR="00BE6D0C">
        <w:rPr>
          <w:rFonts w:cstheme="minorHAnsi"/>
          <w:i/>
          <w:iCs/>
          <w:sz w:val="20"/>
          <w:szCs w:val="20"/>
        </w:rPr>
        <w:t xml:space="preserve"> </w:t>
      </w:r>
      <w:r w:rsidRPr="009B2CEB">
        <w:rPr>
          <w:rFonts w:cstheme="minorHAnsi"/>
          <w:i/>
          <w:iCs/>
          <w:sz w:val="20"/>
          <w:szCs w:val="20"/>
        </w:rPr>
        <w:t>a children’s aid society,</w:t>
      </w:r>
    </w:p>
    <w:p w14:paraId="23F9E375" w14:textId="1C9F3B55" w:rsidR="00B549D7" w:rsidRPr="009B2CEB" w:rsidRDefault="00B549D7" w:rsidP="009F0A62">
      <w:pPr>
        <w:spacing w:after="0"/>
        <w:ind w:left="720"/>
        <w:rPr>
          <w:rFonts w:cstheme="minorHAnsi"/>
          <w:sz w:val="20"/>
          <w:szCs w:val="20"/>
        </w:rPr>
      </w:pPr>
      <w:r w:rsidRPr="009B2CEB">
        <w:rPr>
          <w:rFonts w:cstheme="minorHAnsi"/>
          <w:i/>
          <w:iCs/>
          <w:sz w:val="20"/>
          <w:szCs w:val="20"/>
        </w:rPr>
        <w:t>(d)</w:t>
      </w:r>
      <w:r w:rsidR="00BE6D0C">
        <w:rPr>
          <w:rFonts w:cstheme="minorHAnsi"/>
          <w:i/>
          <w:iCs/>
          <w:sz w:val="20"/>
          <w:szCs w:val="20"/>
        </w:rPr>
        <w:t xml:space="preserve"> </w:t>
      </w:r>
      <w:r w:rsidRPr="009B2CEB">
        <w:rPr>
          <w:rFonts w:cstheme="minorHAnsi"/>
          <w:i/>
          <w:iCs/>
          <w:sz w:val="20"/>
          <w:szCs w:val="20"/>
        </w:rPr>
        <w:t>a school board; (“entité du secteur public”).</w:t>
      </w:r>
    </w:p>
    <w:p w14:paraId="2190C20E" w14:textId="77777777" w:rsidR="00B54C76" w:rsidRDefault="00B549D7" w:rsidP="009F0A62">
      <w:pPr>
        <w:spacing w:after="0"/>
        <w:rPr>
          <w:rStyle w:val="Emphasis"/>
          <w:rFonts w:cstheme="minorHAnsi"/>
          <w:i w:val="0"/>
          <w:iCs w:val="0"/>
          <w:sz w:val="20"/>
          <w:szCs w:val="20"/>
        </w:rPr>
      </w:pPr>
      <w:r w:rsidRPr="009B2CEB">
        <w:rPr>
          <w:rFonts w:eastAsia="Times New Roman" w:cstheme="minorHAnsi"/>
          <w:color w:val="1A1A1A"/>
          <w:sz w:val="20"/>
          <w:szCs w:val="20"/>
        </w:rPr>
        <w:t xml:space="preserve">[Emphasis added.] </w:t>
      </w:r>
      <w:r w:rsidR="006E3821" w:rsidRPr="009B2CEB">
        <w:rPr>
          <w:rFonts w:eastAsia="Times New Roman" w:cstheme="minorHAnsi"/>
          <w:color w:val="1A1A1A"/>
          <w:sz w:val="20"/>
          <w:szCs w:val="20"/>
        </w:rPr>
        <w:t xml:space="preserve">Notably, neither s. 2(1) of </w:t>
      </w:r>
      <w:r w:rsidR="006E3821" w:rsidRPr="009B2CEB">
        <w:rPr>
          <w:rStyle w:val="Emphasis"/>
          <w:rFonts w:cstheme="minorHAnsi"/>
          <w:sz w:val="20"/>
          <w:szCs w:val="20"/>
        </w:rPr>
        <w:t xml:space="preserve">Freedom of Information and Protection of Privacy Act nor s. </w:t>
      </w:r>
      <w:r w:rsidR="006E3821" w:rsidRPr="009B2CEB">
        <w:rPr>
          <w:rFonts w:cstheme="minorHAnsi"/>
          <w:sz w:val="20"/>
          <w:szCs w:val="20"/>
        </w:rPr>
        <w:t>2(1) of the </w:t>
      </w:r>
      <w:r w:rsidR="006E3821" w:rsidRPr="009B2CEB">
        <w:rPr>
          <w:rStyle w:val="Emphasis"/>
          <w:rFonts w:cstheme="minorHAnsi"/>
          <w:sz w:val="20"/>
          <w:szCs w:val="20"/>
        </w:rPr>
        <w:t xml:space="preserve">Municipal Freedom of Information and Protection of Privacy Act </w:t>
      </w:r>
      <w:r w:rsidR="006E3821" w:rsidRPr="00A02CAC">
        <w:rPr>
          <w:rStyle w:val="Emphasis"/>
          <w:rFonts w:cstheme="minorHAnsi"/>
          <w:i w:val="0"/>
          <w:iCs w:val="0"/>
          <w:sz w:val="20"/>
          <w:szCs w:val="20"/>
        </w:rPr>
        <w:t>include police services, courts, or tribunals.</w:t>
      </w:r>
      <w:r w:rsidR="006E3821">
        <w:rPr>
          <w:rStyle w:val="Emphasis"/>
          <w:rFonts w:cstheme="minorHAnsi"/>
          <w:i w:val="0"/>
          <w:iCs w:val="0"/>
          <w:sz w:val="20"/>
          <w:szCs w:val="20"/>
        </w:rPr>
        <w:t xml:space="preserve"> </w:t>
      </w:r>
      <w:r w:rsidR="006E3821" w:rsidRPr="00A02CAC">
        <w:rPr>
          <w:rStyle w:val="Emphasis"/>
          <w:rFonts w:cstheme="minorHAnsi"/>
          <w:i w:val="0"/>
          <w:iCs w:val="0"/>
          <w:sz w:val="20"/>
          <w:szCs w:val="20"/>
        </w:rPr>
        <w:t>As a result, these institutions are not subject to</w:t>
      </w:r>
      <w:r w:rsidR="006E3821">
        <w:rPr>
          <w:rStyle w:val="Emphasis"/>
          <w:rFonts w:cstheme="minorHAnsi"/>
          <w:i w:val="0"/>
          <w:iCs w:val="0"/>
          <w:sz w:val="20"/>
          <w:szCs w:val="20"/>
        </w:rPr>
        <w:t xml:space="preserve"> </w:t>
      </w:r>
      <w:r w:rsidR="006E3821" w:rsidRPr="00EF5F8A">
        <w:rPr>
          <w:rFonts w:eastAsia="Times New Roman" w:cstheme="minorHAnsi"/>
          <w:i/>
          <w:iCs/>
          <w:color w:val="1A1A1A"/>
          <w:sz w:val="20"/>
          <w:szCs w:val="20"/>
        </w:rPr>
        <w:t>EDSTA</w:t>
      </w:r>
      <w:r w:rsidR="006E3821">
        <w:rPr>
          <w:rStyle w:val="Emphasis"/>
          <w:rFonts w:cstheme="minorHAnsi"/>
          <w:i w:val="0"/>
          <w:iCs w:val="0"/>
          <w:sz w:val="20"/>
          <w:szCs w:val="20"/>
        </w:rPr>
        <w:t xml:space="preserve"> </w:t>
      </w:r>
      <w:r w:rsidR="006E3821" w:rsidRPr="00A02CAC">
        <w:rPr>
          <w:rStyle w:val="Emphasis"/>
          <w:rFonts w:cstheme="minorHAnsi"/>
          <w:i w:val="0"/>
          <w:iCs w:val="0"/>
          <w:sz w:val="20"/>
          <w:szCs w:val="20"/>
        </w:rPr>
        <w:t xml:space="preserve">governance or requirements. </w:t>
      </w:r>
    </w:p>
    <w:p w14:paraId="4497CEEE" w14:textId="41743136" w:rsidR="00B549D7" w:rsidRPr="00A02CAC" w:rsidRDefault="00B549D7" w:rsidP="009F0A62">
      <w:pPr>
        <w:spacing w:after="0"/>
        <w:rPr>
          <w:rFonts w:eastAsia="Times New Roman" w:cstheme="minorHAnsi"/>
          <w:i/>
          <w:iCs/>
          <w:color w:val="1A1A1A"/>
          <w:sz w:val="20"/>
          <w:szCs w:val="20"/>
        </w:rPr>
      </w:pPr>
      <w:r w:rsidRPr="009B2CEB">
        <w:rPr>
          <w:rFonts w:eastAsia="Times New Roman" w:cstheme="minorHAnsi"/>
          <w:color w:val="1A1A1A"/>
          <w:sz w:val="20"/>
          <w:szCs w:val="20"/>
        </w:rPr>
        <w:t xml:space="preserve">Second, s. 5(1) allows the province to prescribe AI “uses” or “circumstances” that are subject to </w:t>
      </w:r>
      <w:r w:rsidR="00A02CAC">
        <w:rPr>
          <w:rFonts w:eastAsia="Times New Roman" w:cstheme="minorHAnsi"/>
          <w:color w:val="1A1A1A"/>
          <w:sz w:val="20"/>
          <w:szCs w:val="20"/>
        </w:rPr>
        <w:t>the legislation</w:t>
      </w:r>
      <w:r w:rsidRPr="009B2CEB">
        <w:rPr>
          <w:rFonts w:eastAsia="Times New Roman" w:cstheme="minorHAnsi"/>
          <w:color w:val="1A1A1A"/>
          <w:sz w:val="20"/>
          <w:szCs w:val="20"/>
        </w:rPr>
        <w:t>.</w:t>
      </w:r>
      <w:r w:rsidR="006E3821">
        <w:rPr>
          <w:rFonts w:eastAsia="Times New Roman" w:cstheme="minorHAnsi"/>
          <w:color w:val="1A1A1A"/>
          <w:sz w:val="20"/>
          <w:szCs w:val="20"/>
        </w:rPr>
        <w:t xml:space="preserve"> </w:t>
      </w:r>
      <w:r w:rsidRPr="009B2CEB">
        <w:rPr>
          <w:rFonts w:eastAsia="Times New Roman" w:cstheme="minorHAnsi"/>
          <w:color w:val="1A1A1A"/>
          <w:sz w:val="20"/>
          <w:szCs w:val="20"/>
        </w:rPr>
        <w:t xml:space="preserve">Neither “use” nor “circumstances” is defined in the Act. </w:t>
      </w:r>
    </w:p>
  </w:endnote>
  <w:endnote w:id="52">
    <w:p w14:paraId="0EEA489F" w14:textId="77777777" w:rsidR="00B549D7" w:rsidRPr="009B2CEB" w:rsidRDefault="00B549D7" w:rsidP="009F0A62">
      <w:pPr>
        <w:pStyle w:val="EndnoteText"/>
      </w:pPr>
      <w:r w:rsidRPr="009B2CEB">
        <w:rPr>
          <w:rStyle w:val="EndnoteReference"/>
        </w:rPr>
        <w:endnoteRef/>
      </w:r>
      <w:r w:rsidRPr="009B2CEB">
        <w:t xml:space="preserve"> Government of Ontario, Ministry of Public and Business Service Delivery and Procurement, </w:t>
      </w:r>
      <w:r w:rsidRPr="009B2CEB">
        <w:rPr>
          <w:i/>
          <w:iCs/>
        </w:rPr>
        <w:t>Responsible Use of AI Directive</w:t>
      </w:r>
      <w:r w:rsidRPr="009B2CEB">
        <w:t xml:space="preserve">, December 1, 2024 [Ontario AI Directive]. </w:t>
      </w:r>
    </w:p>
  </w:endnote>
  <w:endnote w:id="53">
    <w:p w14:paraId="0D5E49BE" w14:textId="649AB51E" w:rsidR="00881D50" w:rsidRPr="00CB1F2E" w:rsidRDefault="00881D50" w:rsidP="00881D50">
      <w:pPr>
        <w:pStyle w:val="EndnoteText"/>
      </w:pPr>
      <w:r w:rsidRPr="00CB1F2E">
        <w:rPr>
          <w:rStyle w:val="EndnoteReference"/>
        </w:rPr>
        <w:endnoteRef/>
      </w:r>
      <w:r w:rsidRPr="00CB1F2E">
        <w:t xml:space="preserve"> </w:t>
      </w:r>
      <w:r>
        <w:t xml:space="preserve">The Ontario AI Directive is </w:t>
      </w:r>
      <w:r w:rsidRPr="00881D50">
        <w:t xml:space="preserve">discussed at length in </w:t>
      </w:r>
      <w:r w:rsidR="00EF5F8A">
        <w:t>t</w:t>
      </w:r>
      <w:r w:rsidRPr="00881D50">
        <w:t xml:space="preserve">he LCO Criminal </w:t>
      </w:r>
      <w:r w:rsidR="00EF5F8A">
        <w:t xml:space="preserve">AI Project Introduction. </w:t>
      </w:r>
    </w:p>
  </w:endnote>
  <w:endnote w:id="54">
    <w:p w14:paraId="18D4CC32" w14:textId="77777777" w:rsidR="00B549D7" w:rsidRPr="00CD75D3" w:rsidRDefault="00B549D7" w:rsidP="00CB1F2E">
      <w:pPr>
        <w:pStyle w:val="EndnoteText"/>
        <w:rPr>
          <w:lang w:val="en-US"/>
        </w:rPr>
      </w:pPr>
      <w:r w:rsidRPr="00CB1F2E">
        <w:rPr>
          <w:rStyle w:val="EndnoteReference"/>
        </w:rPr>
        <w:endnoteRef/>
      </w:r>
      <w:r w:rsidRPr="00CB1F2E">
        <w:t xml:space="preserve"> </w:t>
      </w:r>
      <w:r w:rsidRPr="00CB1F2E">
        <w:rPr>
          <w:rFonts w:cstheme="minorHAnsi"/>
        </w:rPr>
        <w:t xml:space="preserve">Toronto Police Services Board, </w:t>
      </w:r>
      <w:r w:rsidRPr="00CB1F2E">
        <w:rPr>
          <w:rFonts w:cstheme="minorHAnsi"/>
          <w:i/>
          <w:iCs/>
        </w:rPr>
        <w:t>Use of Artificial Intelligence Technology</w:t>
      </w:r>
      <w:r w:rsidRPr="00CB1F2E">
        <w:rPr>
          <w:rFonts w:cstheme="minorHAnsi"/>
        </w:rPr>
        <w:t xml:space="preserve"> [TPS AI Policy] (February 28, 2022;</w:t>
      </w:r>
      <w:r w:rsidRPr="00CD75D3">
        <w:rPr>
          <w:rFonts w:cstheme="minorHAnsi"/>
        </w:rPr>
        <w:t xml:space="preserve"> updated January 11, 2024)</w:t>
      </w:r>
      <w:r>
        <w:rPr>
          <w:rFonts w:cstheme="minorHAnsi"/>
        </w:rPr>
        <w:t xml:space="preserve">, </w:t>
      </w:r>
      <w:r w:rsidRPr="00CD75D3">
        <w:rPr>
          <w:rFonts w:cstheme="minorHAnsi"/>
        </w:rPr>
        <w:t>online</w:t>
      </w:r>
      <w:r>
        <w:rPr>
          <w:rFonts w:cstheme="minorHAnsi"/>
        </w:rPr>
        <w:t>:</w:t>
      </w:r>
      <w:r w:rsidRPr="00CD75D3">
        <w:rPr>
          <w:rFonts w:cstheme="minorHAnsi"/>
        </w:rPr>
        <w:t xml:space="preserve"> </w:t>
      </w:r>
      <w:hyperlink r:id="rId42" w:history="1">
        <w:r w:rsidRPr="00CD75D3">
          <w:rPr>
            <w:rStyle w:val="Hyperlink"/>
            <w:rFonts w:cstheme="minorHAnsi"/>
          </w:rPr>
          <w:t>https://tpsb.ca/policies-by-laws/board-policies/195-use-of-artificial-intelligence-technology</w:t>
        </w:r>
      </w:hyperlink>
      <w:r w:rsidRPr="00CD75D3">
        <w:rPr>
          <w:rFonts w:cstheme="minorHAnsi"/>
        </w:rPr>
        <w:t>.</w:t>
      </w:r>
    </w:p>
  </w:endnote>
  <w:endnote w:id="55">
    <w:p w14:paraId="36AA6505" w14:textId="77777777" w:rsidR="00B549D7" w:rsidRPr="00CD75D3" w:rsidRDefault="00B549D7" w:rsidP="009F0A62">
      <w:pPr>
        <w:pStyle w:val="EndnoteText"/>
      </w:pPr>
      <w:r w:rsidRPr="00CD75D3">
        <w:rPr>
          <w:rStyle w:val="EndnoteReference"/>
        </w:rPr>
        <w:endnoteRef/>
      </w:r>
      <w:r w:rsidRPr="00CD75D3">
        <w:t xml:space="preserve"> TPS AI Policy, “Guiding Principles.”</w:t>
      </w:r>
    </w:p>
  </w:endnote>
  <w:endnote w:id="56">
    <w:p w14:paraId="41F235E7" w14:textId="77777777" w:rsidR="00B549D7" w:rsidRPr="00CD75D3" w:rsidRDefault="00B549D7" w:rsidP="009F0A62">
      <w:pPr>
        <w:pStyle w:val="EndnoteText"/>
      </w:pPr>
      <w:r w:rsidRPr="00CD75D3">
        <w:rPr>
          <w:rStyle w:val="EndnoteReference"/>
        </w:rPr>
        <w:endnoteRef/>
      </w:r>
      <w:r w:rsidRPr="00CD75D3">
        <w:t xml:space="preserve"> TPS AI Policy, “Guiding Principles.”</w:t>
      </w:r>
    </w:p>
  </w:endnote>
  <w:endnote w:id="57">
    <w:p w14:paraId="5B5E9FE9" w14:textId="77777777" w:rsidR="00B549D7" w:rsidRPr="00CD75D3" w:rsidRDefault="00B549D7" w:rsidP="000607D4">
      <w:pPr>
        <w:pStyle w:val="EndnoteText"/>
      </w:pPr>
      <w:r w:rsidRPr="00CD75D3">
        <w:rPr>
          <w:rStyle w:val="EndnoteReference"/>
        </w:rPr>
        <w:endnoteRef/>
      </w:r>
      <w:r w:rsidRPr="00CD75D3">
        <w:t xml:space="preserve"> TPS AI Policy, “Policy of the Board.”</w:t>
      </w:r>
    </w:p>
  </w:endnote>
  <w:endnote w:id="58">
    <w:p w14:paraId="27569F11" w14:textId="77777777" w:rsidR="00B549D7" w:rsidRPr="00CD75D3" w:rsidRDefault="00B549D7" w:rsidP="009F0A62">
      <w:pPr>
        <w:pStyle w:val="EndnoteText"/>
        <w:rPr>
          <w:rFonts w:cstheme="minorHAnsi"/>
        </w:rPr>
      </w:pPr>
      <w:r w:rsidRPr="00CD75D3">
        <w:rPr>
          <w:rStyle w:val="EndnoteReference"/>
          <w:rFonts w:cstheme="minorHAnsi"/>
        </w:rPr>
        <w:endnoteRef/>
      </w:r>
      <w:r w:rsidRPr="00CD75D3">
        <w:rPr>
          <w:rFonts w:cstheme="minorHAnsi"/>
        </w:rPr>
        <w:t xml:space="preserve"> Toronto Police Services, </w:t>
      </w:r>
      <w:r w:rsidRPr="00695356">
        <w:rPr>
          <w:rFonts w:cstheme="minorHAnsi"/>
          <w:i/>
          <w:iCs/>
        </w:rPr>
        <w:t>Update on the Implementation of the Board’s Policy on the Use of AI Technology</w:t>
      </w:r>
      <w:r w:rsidRPr="00CD75D3">
        <w:rPr>
          <w:rFonts w:cstheme="minorHAnsi"/>
        </w:rPr>
        <w:t xml:space="preserve"> (January 11 2024), online</w:t>
      </w:r>
      <w:r>
        <w:rPr>
          <w:rFonts w:cstheme="minorHAnsi"/>
        </w:rPr>
        <w:t xml:space="preserve">: </w:t>
      </w:r>
      <w:hyperlink r:id="rId43" w:history="1">
        <w:r w:rsidRPr="00CD75D3">
          <w:rPr>
            <w:rStyle w:val="Hyperlink"/>
            <w:rFonts w:cstheme="minorHAnsi"/>
          </w:rPr>
          <w:t>https://tpsb.ca/jdownloads-categories?task=download.send&amp;id=813:january-11-2024-public-agenda&amp;catid=32</w:t>
        </w:r>
      </w:hyperlink>
      <w:r w:rsidRPr="00CD75D3">
        <w:t>.</w:t>
      </w:r>
    </w:p>
  </w:endnote>
  <w:endnote w:id="59">
    <w:p w14:paraId="412128B7" w14:textId="39FABEDD" w:rsidR="00B549D7" w:rsidRPr="00CD75D3" w:rsidRDefault="00B549D7" w:rsidP="009F0A62">
      <w:pPr>
        <w:pStyle w:val="EndnoteText"/>
      </w:pPr>
      <w:r w:rsidRPr="00CD75D3">
        <w:rPr>
          <w:rStyle w:val="EndnoteReference"/>
        </w:rPr>
        <w:endnoteRef/>
      </w:r>
      <w:r w:rsidRPr="00CD75D3">
        <w:t xml:space="preserve"> Durham Regional Police Services Bo</w:t>
      </w:r>
      <w:r>
        <w:t>a</w:t>
      </w:r>
      <w:r w:rsidRPr="00CD75D3">
        <w:t xml:space="preserve">rd, </w:t>
      </w:r>
      <w:r w:rsidRPr="00CD75D3">
        <w:rPr>
          <w:i/>
          <w:iCs/>
        </w:rPr>
        <w:t xml:space="preserve">Use of Artificial Intelligence Policy, </w:t>
      </w:r>
      <w:r w:rsidRPr="00CD75D3">
        <w:t xml:space="preserve">October 2024, online at </w:t>
      </w:r>
      <w:hyperlink r:id="rId44" w:history="1">
        <w:r w:rsidRPr="00CD75D3">
          <w:rPr>
            <w:rStyle w:val="Hyperlink"/>
          </w:rPr>
          <w:t>https://durhampoliceboard.ca/policies-and-bylaws/</w:t>
        </w:r>
      </w:hyperlink>
      <w:r w:rsidRPr="00CD75D3">
        <w:t xml:space="preserve">. </w:t>
      </w:r>
    </w:p>
  </w:endnote>
  <w:endnote w:id="60">
    <w:p w14:paraId="3023D0A5" w14:textId="32245BAD" w:rsidR="00B549D7" w:rsidRPr="00087EB0" w:rsidRDefault="00B549D7" w:rsidP="009F0A62">
      <w:pPr>
        <w:pStyle w:val="EndnoteText"/>
        <w:rPr>
          <w:lang w:val="en-US"/>
        </w:rPr>
      </w:pPr>
      <w:r w:rsidRPr="007902C8">
        <w:rPr>
          <w:rStyle w:val="EndnoteReference"/>
        </w:rPr>
        <w:endnoteRef/>
      </w:r>
      <w:r w:rsidRPr="007902C8">
        <w:t xml:space="preserve"> </w:t>
      </w:r>
      <w:r>
        <w:rPr>
          <w:rFonts w:cstheme="minorHAnsi"/>
        </w:rPr>
        <w:t xml:space="preserve">The </w:t>
      </w:r>
      <w:r w:rsidRPr="006E227B">
        <w:rPr>
          <w:rFonts w:cstheme="minorHAnsi"/>
        </w:rPr>
        <w:t xml:space="preserve">Ontario Human Rights Commission and the Information and Privacy Commissioner of Ontario </w:t>
      </w:r>
      <w:r w:rsidR="00A02CAC">
        <w:rPr>
          <w:rFonts w:cstheme="minorHAnsi"/>
        </w:rPr>
        <w:t xml:space="preserve">recently criticized the TPS </w:t>
      </w:r>
      <w:r w:rsidRPr="006E227B">
        <w:rPr>
          <w:rFonts w:cstheme="minorHAnsi"/>
        </w:rPr>
        <w:t xml:space="preserve">for categorizing their use of </w:t>
      </w:r>
      <w:r>
        <w:rPr>
          <w:rFonts w:cstheme="minorHAnsi"/>
        </w:rPr>
        <w:t xml:space="preserve">certain </w:t>
      </w:r>
      <w:r w:rsidRPr="006E227B">
        <w:rPr>
          <w:rFonts w:cstheme="minorHAnsi"/>
        </w:rPr>
        <w:t xml:space="preserve">AI technologies – including automated license plate readers and fingerprint identification – as “low risk technologies” with fewer assessment and oversight requirements. </w:t>
      </w:r>
      <w:r w:rsidRPr="007902C8">
        <w:rPr>
          <w:rFonts w:cstheme="minorHAnsi"/>
        </w:rPr>
        <w:t>Information and Privacy Commissioner of Ontario, “Letter to the Toronto Police Services re AI Policy and Risk Classification Report” (January 10, 2024), online</w:t>
      </w:r>
      <w:r>
        <w:rPr>
          <w:rFonts w:cstheme="minorHAnsi"/>
        </w:rPr>
        <w:t>:</w:t>
      </w:r>
      <w:r w:rsidRPr="007902C8">
        <w:rPr>
          <w:rFonts w:cstheme="minorHAnsi"/>
        </w:rPr>
        <w:t xml:space="preserve"> </w:t>
      </w:r>
      <w:hyperlink r:id="rId45" w:history="1">
        <w:r w:rsidRPr="007902C8">
          <w:rPr>
            <w:rStyle w:val="Hyperlink"/>
            <w:rFonts w:cstheme="minorHAnsi"/>
          </w:rPr>
          <w:t>https://www.ipc.on.ca/resource/letter-to-the-toronto-police-services-board-about-facial-recognition-mugshot-database-program/</w:t>
        </w:r>
      </w:hyperlink>
      <w:r w:rsidRPr="007902C8">
        <w:rPr>
          <w:rFonts w:cstheme="minorHAnsi"/>
        </w:rPr>
        <w:t>; and Ontario Human Rights Commission, “Approval of high-risk technologies under the Toronto Police Services Board's Policy on the use of artificial intelligence technology” (January 10 2024), online</w:t>
      </w:r>
      <w:r>
        <w:rPr>
          <w:rFonts w:cstheme="minorHAnsi"/>
        </w:rPr>
        <w:t>:</w:t>
      </w:r>
      <w:r w:rsidRPr="007902C8">
        <w:rPr>
          <w:rFonts w:cstheme="minorHAnsi"/>
        </w:rPr>
        <w:t xml:space="preserve"> </w:t>
      </w:r>
      <w:hyperlink r:id="rId46" w:history="1">
        <w:r w:rsidRPr="007902C8">
          <w:rPr>
            <w:rStyle w:val="Hyperlink"/>
            <w:rFonts w:cstheme="minorHAnsi"/>
          </w:rPr>
          <w:t>https://www.ohrc.on.ca/en/news_centre/approval-high-risk-technologies-under-toronto-police-services-boards-policy-use-artificial</w:t>
        </w:r>
      </w:hyperlink>
      <w:r>
        <w:rPr>
          <w:rFonts w:cstheme="minorHAnsi"/>
        </w:rPr>
        <w:t xml:space="preserve">. </w:t>
      </w:r>
    </w:p>
  </w:endnote>
  <w:endnote w:id="61">
    <w:p w14:paraId="130133C7" w14:textId="435EED3C" w:rsidR="00EC0C2B" w:rsidRPr="004548AC" w:rsidRDefault="00EC0C2B" w:rsidP="004548AC">
      <w:pPr>
        <w:rPr>
          <w:rFonts w:cs="Times New Roman"/>
          <w:sz w:val="20"/>
          <w:szCs w:val="20"/>
        </w:rPr>
      </w:pPr>
      <w:r w:rsidRPr="004548AC">
        <w:rPr>
          <w:rStyle w:val="EndnoteReference"/>
          <w:sz w:val="20"/>
          <w:szCs w:val="20"/>
        </w:rPr>
        <w:endnoteRef/>
      </w:r>
      <w:r w:rsidRPr="004548AC">
        <w:rPr>
          <w:sz w:val="20"/>
          <w:szCs w:val="20"/>
        </w:rPr>
        <w:t xml:space="preserve"> These reports include: </w:t>
      </w:r>
      <w:r w:rsidRPr="004548AC">
        <w:rPr>
          <w:sz w:val="20"/>
          <w:szCs w:val="20"/>
          <w:lang w:val="en-US"/>
        </w:rPr>
        <w:t xml:space="preserve">Office of the Privacy Commissioner of Canada, </w:t>
      </w:r>
      <w:r w:rsidRPr="004548AC">
        <w:rPr>
          <w:i/>
          <w:iCs/>
          <w:sz w:val="20"/>
          <w:szCs w:val="20"/>
          <w:lang w:val="en-US"/>
        </w:rPr>
        <w:t>Police use of Facial Recognition Technology in Canada and the Way Forward</w:t>
      </w:r>
      <w:r w:rsidRPr="004548AC">
        <w:rPr>
          <w:sz w:val="20"/>
          <w:szCs w:val="20"/>
          <w:lang w:val="en-US"/>
        </w:rPr>
        <w:t xml:space="preserve"> (June 10 2021), online: </w:t>
      </w:r>
      <w:hyperlink r:id="rId47" w:history="1">
        <w:r w:rsidRPr="004548AC">
          <w:rPr>
            <w:rStyle w:val="Hyperlink"/>
            <w:sz w:val="20"/>
            <w:szCs w:val="20"/>
            <w:lang w:val="en-US"/>
          </w:rPr>
          <w:t>https://www.priv.gc.ca/en/opc-actions-and-decisions/ar_index/202021/sr_rcmp/</w:t>
        </w:r>
      </w:hyperlink>
      <w:r w:rsidRPr="004548AC">
        <w:rPr>
          <w:sz w:val="20"/>
          <w:szCs w:val="20"/>
          <w:lang w:val="en-US"/>
        </w:rPr>
        <w:t xml:space="preserve">; </w:t>
      </w:r>
      <w:r w:rsidRPr="004548AC">
        <w:rPr>
          <w:sz w:val="20"/>
          <w:szCs w:val="20"/>
        </w:rPr>
        <w:t>Privacy Commissioners Joint Clearview AI Investigation</w:t>
      </w:r>
      <w:r w:rsidR="004548AC" w:rsidRPr="004548AC">
        <w:rPr>
          <w:sz w:val="20"/>
          <w:szCs w:val="20"/>
        </w:rPr>
        <w:t xml:space="preserve">; Privacy Commissioners of Canada, Joint Statement, </w:t>
      </w:r>
      <w:r w:rsidR="004548AC" w:rsidRPr="004548AC">
        <w:rPr>
          <w:i/>
          <w:iCs/>
          <w:sz w:val="20"/>
          <w:szCs w:val="20"/>
        </w:rPr>
        <w:t xml:space="preserve">Privacy guidance on facial recognition for police agencies </w:t>
      </w:r>
      <w:r w:rsidR="004548AC" w:rsidRPr="004548AC">
        <w:rPr>
          <w:sz w:val="20"/>
          <w:szCs w:val="20"/>
        </w:rPr>
        <w:t xml:space="preserve">(May 2022), online: </w:t>
      </w:r>
      <w:hyperlink r:id="rId48" w:history="1">
        <w:r w:rsidR="004548AC" w:rsidRPr="004548AC">
          <w:rPr>
            <w:rStyle w:val="Hyperlink"/>
            <w:sz w:val="20"/>
            <w:szCs w:val="20"/>
          </w:rPr>
          <w:t>https://www.priv.gc.ca/en/privacy-topics/surveillance/police-and-public-safety/gd_fr_202205/</w:t>
        </w:r>
      </w:hyperlink>
      <w:r w:rsidR="004548AC" w:rsidRPr="004548AC">
        <w:rPr>
          <w:sz w:val="20"/>
          <w:szCs w:val="20"/>
        </w:rPr>
        <w:t xml:space="preserve">; </w:t>
      </w:r>
      <w:r w:rsidRPr="004548AC">
        <w:rPr>
          <w:sz w:val="20"/>
          <w:szCs w:val="20"/>
        </w:rPr>
        <w:t xml:space="preserve">OPC Police FRT Guidance (2022); IPC Mugshot Guidance (2024); and Information and Privacy Commissioner of Ontario, </w:t>
      </w:r>
      <w:r w:rsidRPr="004548AC">
        <w:rPr>
          <w:i/>
          <w:iCs/>
          <w:sz w:val="20"/>
          <w:szCs w:val="20"/>
        </w:rPr>
        <w:t xml:space="preserve">Guidance on the Use of Automated Licence Plate Recognition Systems by Police Services </w:t>
      </w:r>
      <w:r w:rsidRPr="004548AC">
        <w:rPr>
          <w:sz w:val="20"/>
          <w:szCs w:val="20"/>
        </w:rPr>
        <w:t xml:space="preserve">[IPC ALPR Guidance] (Updated December 2024), online: </w:t>
      </w:r>
      <w:hyperlink r:id="rId49" w:history="1">
        <w:r w:rsidRPr="004548AC">
          <w:rPr>
            <w:rStyle w:val="Hyperlink"/>
            <w:sz w:val="20"/>
            <w:szCs w:val="20"/>
          </w:rPr>
          <w:t>https://www.ipc.on.ca/en/resources-and-decisions/guidance-use-automated-licence-plate-recognition-systems-police-services</w:t>
        </w:r>
      </w:hyperlink>
      <w:r w:rsidRPr="004548AC">
        <w:rPr>
          <w:sz w:val="20"/>
          <w:szCs w:val="20"/>
        </w:rPr>
        <w:t xml:space="preserve">. </w:t>
      </w:r>
    </w:p>
  </w:endnote>
  <w:endnote w:id="62">
    <w:p w14:paraId="0C2728E4" w14:textId="77777777" w:rsidR="00B549D7" w:rsidRPr="009B2CEB" w:rsidRDefault="00B549D7" w:rsidP="009F0A62">
      <w:pPr>
        <w:pStyle w:val="EndnoteText"/>
        <w:rPr>
          <w:lang w:val="en-US"/>
        </w:rPr>
      </w:pPr>
      <w:r w:rsidRPr="009B2CEB">
        <w:rPr>
          <w:rStyle w:val="EndnoteReference"/>
        </w:rPr>
        <w:endnoteRef/>
      </w:r>
      <w:r w:rsidRPr="009B2CEB">
        <w:t xml:space="preserve"> </w:t>
      </w:r>
      <w:r w:rsidRPr="009B2CEB">
        <w:rPr>
          <w:rFonts w:cstheme="minorHAnsi"/>
        </w:rPr>
        <w:t xml:space="preserve">Federal Court of Canada, “Interim Principles and Guidelines on the Court’s Use of Artificial Intelligence” (December 20, 2023) </w:t>
      </w:r>
      <w:r w:rsidRPr="009B2CEB">
        <w:rPr>
          <w:lang w:val="en-US"/>
        </w:rPr>
        <w:t>[Federal Court Practice Direction],</w:t>
      </w:r>
      <w:r w:rsidRPr="009B2CEB">
        <w:rPr>
          <w:rFonts w:cstheme="minorHAnsi"/>
        </w:rPr>
        <w:t xml:space="preserve"> online: </w:t>
      </w:r>
      <w:hyperlink r:id="rId50" w:history="1">
        <w:r w:rsidRPr="009B2CEB">
          <w:rPr>
            <w:rStyle w:val="Hyperlink"/>
            <w:rFonts w:cstheme="minorHAnsi"/>
          </w:rPr>
          <w:t>https://www.fct-cf.gc.ca/en/pages/law-and-practice/artificial-intelligence</w:t>
        </w:r>
      </w:hyperlink>
      <w:r w:rsidRPr="009B2CEB">
        <w:rPr>
          <w:rFonts w:cstheme="minorHAnsi"/>
        </w:rPr>
        <w:t xml:space="preserve">; and Federal Court of Canada, “Notice to the Parties and the Profession: The Use of Artificial Intelligence in Court Proceedings” (December 20, 2023), online: </w:t>
      </w:r>
      <w:hyperlink r:id="rId51" w:history="1">
        <w:r w:rsidRPr="009B2CEB">
          <w:rPr>
            <w:rStyle w:val="Hyperlink"/>
            <w:rFonts w:cstheme="minorHAnsi"/>
          </w:rPr>
          <w:t>https://www.fct-cf.gc.ca/Content/assets/pdf/base/2023-12-20-notice-use-of-ai-in-court-proceedings.pdf</w:t>
        </w:r>
      </w:hyperlink>
      <w:r w:rsidRPr="009B2CEB">
        <w:rPr>
          <w:rFonts w:cstheme="minorHAnsi"/>
        </w:rPr>
        <w:t>.</w:t>
      </w:r>
    </w:p>
  </w:endnote>
  <w:endnote w:id="63">
    <w:p w14:paraId="55587CEE" w14:textId="77777777" w:rsidR="00B549D7" w:rsidRPr="009B2CEB" w:rsidRDefault="00B549D7" w:rsidP="009F0A62">
      <w:pPr>
        <w:pStyle w:val="EndnoteText"/>
        <w:rPr>
          <w:lang w:val="en-US"/>
        </w:rPr>
      </w:pPr>
      <w:r w:rsidRPr="009B2CEB">
        <w:rPr>
          <w:rStyle w:val="EndnoteReference"/>
        </w:rPr>
        <w:endnoteRef/>
      </w:r>
      <w:r w:rsidRPr="009B2CEB">
        <w:t xml:space="preserve"> </w:t>
      </w:r>
      <w:r w:rsidRPr="009B2CEB">
        <w:rPr>
          <w:lang w:val="en-US"/>
        </w:rPr>
        <w:t xml:space="preserve">Alberta, “Notice to the Profession &amp; Public - Ensuring the integrity of court submissions when using Large Language Models” (October 2023), online: </w:t>
      </w:r>
      <w:hyperlink r:id="rId52" w:history="1">
        <w:r w:rsidRPr="009B2CEB">
          <w:rPr>
            <w:rStyle w:val="Hyperlink"/>
            <w:lang w:val="en-US"/>
          </w:rPr>
          <w:t>https://www.albertacourts.ca/kb/resources/announcements/notice-to-the-profession-public---use-of-ai-in-citations-submissions</w:t>
        </w:r>
      </w:hyperlink>
      <w:r w:rsidRPr="009B2CEB">
        <w:rPr>
          <w:lang w:val="en-US"/>
        </w:rPr>
        <w:t>; Manitoba, “Re: Use Of Artificial Intelligence In Court</w:t>
      </w:r>
    </w:p>
    <w:p w14:paraId="3EBDA8F4" w14:textId="77777777" w:rsidR="00B549D7" w:rsidRPr="009B2CEB" w:rsidRDefault="00B549D7" w:rsidP="009F0A62">
      <w:pPr>
        <w:pStyle w:val="EndnoteText"/>
        <w:rPr>
          <w:lang w:val="en-US"/>
        </w:rPr>
      </w:pPr>
      <w:r w:rsidRPr="009B2CEB">
        <w:rPr>
          <w:lang w:val="en-US"/>
        </w:rPr>
        <w:t xml:space="preserve">Submissions (June 2023), online: </w:t>
      </w:r>
      <w:hyperlink r:id="rId53" w:history="1">
        <w:r w:rsidRPr="009B2CEB">
          <w:rPr>
            <w:rStyle w:val="Hyperlink"/>
            <w:lang w:val="en-US"/>
          </w:rPr>
          <w:t>https://www.manitobacourts.mb.ca/site/assets/files/2045/practice_direction_-_use_of_artificial_intelligence_in_court_submissions.pdf</w:t>
        </w:r>
      </w:hyperlink>
      <w:r w:rsidRPr="009B2CEB">
        <w:rPr>
          <w:lang w:val="en-US"/>
        </w:rPr>
        <w:t>; Québec, “Integrity of Court Submissions</w:t>
      </w:r>
    </w:p>
    <w:p w14:paraId="0D07611A" w14:textId="77777777" w:rsidR="00B549D7" w:rsidRPr="009B2CEB" w:rsidRDefault="00B549D7" w:rsidP="009F0A62">
      <w:pPr>
        <w:pStyle w:val="EndnoteText"/>
        <w:rPr>
          <w:lang w:val="en-US"/>
        </w:rPr>
      </w:pPr>
      <w:r w:rsidRPr="009B2CEB">
        <w:rPr>
          <w:lang w:val="en-US"/>
        </w:rPr>
        <w:t xml:space="preserve">When Using Large Language Models” (October 2023) online: </w:t>
      </w:r>
      <w:hyperlink r:id="rId54" w:history="1">
        <w:r w:rsidRPr="009B2CEB">
          <w:rPr>
            <w:rStyle w:val="Hyperlink"/>
            <w:lang w:val="en-US"/>
          </w:rPr>
          <w:t>https://coursuperieureduquebec.ca/fileadmin/cour-superieure/Communiques_and_Directives/Montreal/Avis_a_la_Communite_juridique-Utilisation_intelligence_artificielle_EN.pdf</w:t>
        </w:r>
      </w:hyperlink>
      <w:r w:rsidRPr="009B2CEB">
        <w:rPr>
          <w:lang w:val="en-US"/>
        </w:rPr>
        <w:t>.</w:t>
      </w:r>
    </w:p>
  </w:endnote>
  <w:endnote w:id="64">
    <w:p w14:paraId="6F24C85B" w14:textId="77777777" w:rsidR="00B549D7" w:rsidRPr="009B2CEB" w:rsidRDefault="00B549D7" w:rsidP="009F0A62">
      <w:pPr>
        <w:pStyle w:val="EndnoteText"/>
      </w:pPr>
      <w:r w:rsidRPr="009B2CEB">
        <w:rPr>
          <w:rStyle w:val="EndnoteReference"/>
        </w:rPr>
        <w:endnoteRef/>
      </w:r>
      <w:r w:rsidRPr="009B2CEB">
        <w:t xml:space="preserve"> Canadian Judicial Council, </w:t>
      </w:r>
      <w:r w:rsidRPr="009B2CEB">
        <w:rPr>
          <w:i/>
          <w:iCs/>
        </w:rPr>
        <w:t xml:space="preserve">Guidelines for the Use of Artificial Intelligence in Canadian Courts </w:t>
      </w:r>
      <w:r w:rsidRPr="009B2CEB">
        <w:t xml:space="preserve">(Sept. 2024) [CJC Guidelines], online at </w:t>
      </w:r>
      <w:hyperlink r:id="rId55" w:history="1">
        <w:r w:rsidRPr="009B2CEB">
          <w:rPr>
            <w:rStyle w:val="Hyperlink"/>
          </w:rPr>
          <w:t>https://cjc-ccm.ca/en/news/canadian-judicial-council-issues-guidelines-use-artificial-intelligence-canadian-courts</w:t>
        </w:r>
      </w:hyperlink>
      <w:r w:rsidRPr="009B2CEB">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393357"/>
      <w:docPartObj>
        <w:docPartGallery w:val="Page Numbers (Bottom of Page)"/>
        <w:docPartUnique/>
      </w:docPartObj>
    </w:sdtPr>
    <w:sdtEndPr>
      <w:rPr>
        <w:noProof/>
      </w:rPr>
    </w:sdtEndPr>
    <w:sdtContent>
      <w:p w14:paraId="17BF6070" w14:textId="74692781" w:rsidR="00706A5B" w:rsidRDefault="00706A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527056" w14:textId="77777777" w:rsidR="00706A5B" w:rsidRDefault="00706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2C56B" w14:textId="77777777" w:rsidR="000D0A37" w:rsidRDefault="000D0A37" w:rsidP="0060645D">
      <w:pPr>
        <w:spacing w:after="0" w:line="240" w:lineRule="auto"/>
      </w:pPr>
      <w:r>
        <w:separator/>
      </w:r>
    </w:p>
  </w:footnote>
  <w:footnote w:type="continuationSeparator" w:id="0">
    <w:p w14:paraId="2D1D393C" w14:textId="77777777" w:rsidR="000D0A37" w:rsidRDefault="000D0A37" w:rsidP="00606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D918" w14:textId="31A8D6C6" w:rsidR="00A04329" w:rsidRPr="00D11D44" w:rsidRDefault="00A04329" w:rsidP="00477AC8">
    <w:pPr>
      <w:pStyle w:val="Heading1"/>
      <w:spacing w:before="0"/>
      <w:rPr>
        <w:rFonts w:asciiTheme="minorHAnsi" w:eastAsia="Calibri" w:hAnsiTheme="minorHAnsi" w:cstheme="minorHAnsi"/>
        <w:sz w:val="24"/>
        <w:szCs w:val="24"/>
        <w:lang w:eastAsia="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DC6"/>
    <w:multiLevelType w:val="hybridMultilevel"/>
    <w:tmpl w:val="3DBC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3828"/>
    <w:multiLevelType w:val="hybridMultilevel"/>
    <w:tmpl w:val="475A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71EC7"/>
    <w:multiLevelType w:val="multilevel"/>
    <w:tmpl w:val="7BB41B1A"/>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3D1292F"/>
    <w:multiLevelType w:val="hybridMultilevel"/>
    <w:tmpl w:val="A346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74699"/>
    <w:multiLevelType w:val="hybridMultilevel"/>
    <w:tmpl w:val="FC2A82BC"/>
    <w:lvl w:ilvl="0" w:tplc="0409000F">
      <w:start w:val="1"/>
      <w:numFmt w:val="decimal"/>
      <w:lvlText w:val="%1."/>
      <w:lvlJc w:val="left"/>
      <w:pPr>
        <w:ind w:left="720" w:hanging="360"/>
      </w:pPr>
      <w:rPr>
        <w:rFonts w:hint="default"/>
        <w:b w:val="0"/>
        <w:bCs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982B32"/>
    <w:multiLevelType w:val="hybridMultilevel"/>
    <w:tmpl w:val="977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E3573"/>
    <w:multiLevelType w:val="hybridMultilevel"/>
    <w:tmpl w:val="F098AB38"/>
    <w:lvl w:ilvl="0" w:tplc="FFFFFFFF">
      <w:start w:val="1"/>
      <w:numFmt w:val="decimal"/>
      <w:lvlText w:val="%1."/>
      <w:lvlJc w:val="left"/>
      <w:pPr>
        <w:ind w:left="397" w:hanging="397"/>
      </w:pPr>
      <w:rPr>
        <w:rFonts w:hint="default"/>
        <w:b w:val="0"/>
        <w:bCs w:val="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 w15:restartNumberingAfterBreak="0">
    <w:nsid w:val="12C4121F"/>
    <w:multiLevelType w:val="hybridMultilevel"/>
    <w:tmpl w:val="367CA3CE"/>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E6A0EEA"/>
    <w:multiLevelType w:val="multilevel"/>
    <w:tmpl w:val="99B4F4B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EE01F11"/>
    <w:multiLevelType w:val="hybridMultilevel"/>
    <w:tmpl w:val="ED4864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F4374CD"/>
    <w:multiLevelType w:val="hybridMultilevel"/>
    <w:tmpl w:val="57D60106"/>
    <w:lvl w:ilvl="0" w:tplc="FFFFFFF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A050F"/>
    <w:multiLevelType w:val="hybridMultilevel"/>
    <w:tmpl w:val="0B9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35410"/>
    <w:multiLevelType w:val="hybridMultilevel"/>
    <w:tmpl w:val="F5426E00"/>
    <w:lvl w:ilvl="0" w:tplc="FFFFFFFF">
      <w:start w:val="1"/>
      <w:numFmt w:val="decimal"/>
      <w:lvlText w:val="%1."/>
      <w:lvlJc w:val="left"/>
      <w:pPr>
        <w:ind w:left="737" w:hanging="397"/>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54177CF"/>
    <w:multiLevelType w:val="hybridMultilevel"/>
    <w:tmpl w:val="49EC34C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15:restartNumberingAfterBreak="0">
    <w:nsid w:val="27B4580B"/>
    <w:multiLevelType w:val="hybridMultilevel"/>
    <w:tmpl w:val="A7C0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A52B8"/>
    <w:multiLevelType w:val="hybridMultilevel"/>
    <w:tmpl w:val="2E2A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0058C"/>
    <w:multiLevelType w:val="hybridMultilevel"/>
    <w:tmpl w:val="E304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D66F9"/>
    <w:multiLevelType w:val="hybridMultilevel"/>
    <w:tmpl w:val="5DF6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6265AD"/>
    <w:multiLevelType w:val="hybridMultilevel"/>
    <w:tmpl w:val="9B94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820"/>
    <w:multiLevelType w:val="hybridMultilevel"/>
    <w:tmpl w:val="A282055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328D779C"/>
    <w:multiLevelType w:val="hybridMultilevel"/>
    <w:tmpl w:val="C0EA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E6D6E"/>
    <w:multiLevelType w:val="hybridMultilevel"/>
    <w:tmpl w:val="DABA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17931"/>
    <w:multiLevelType w:val="hybridMultilevel"/>
    <w:tmpl w:val="4136407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317478"/>
    <w:multiLevelType w:val="hybridMultilevel"/>
    <w:tmpl w:val="C234F484"/>
    <w:lvl w:ilvl="0" w:tplc="76062D82">
      <w:start w:val="1"/>
      <w:numFmt w:val="decimal"/>
      <w:lvlText w:val="%1."/>
      <w:lvlJc w:val="left"/>
      <w:pPr>
        <w:ind w:left="737" w:hanging="737"/>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84608A1"/>
    <w:multiLevelType w:val="hybridMultilevel"/>
    <w:tmpl w:val="7124E696"/>
    <w:lvl w:ilvl="0" w:tplc="FFFFFFFF">
      <w:start w:val="1"/>
      <w:numFmt w:val="decimal"/>
      <w:lvlText w:val="%1."/>
      <w:lvlJc w:val="left"/>
      <w:pPr>
        <w:ind w:left="1077" w:hanging="397"/>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5" w15:restartNumberingAfterBreak="0">
    <w:nsid w:val="3C070941"/>
    <w:multiLevelType w:val="multilevel"/>
    <w:tmpl w:val="40C8AAD4"/>
    <w:styleLink w:val="CurrentList2"/>
    <w:lvl w:ilvl="0">
      <w:start w:val="1"/>
      <w:numFmt w:val="decimal"/>
      <w:lvlText w:val="%1."/>
      <w:lvlJc w:val="left"/>
      <w:pPr>
        <w:ind w:left="737" w:hanging="397"/>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C780690"/>
    <w:multiLevelType w:val="hybridMultilevel"/>
    <w:tmpl w:val="E246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5941A0"/>
    <w:multiLevelType w:val="hybridMultilevel"/>
    <w:tmpl w:val="D5B05C74"/>
    <w:lvl w:ilvl="0" w:tplc="FFFFFFFF">
      <w:start w:val="1"/>
      <w:numFmt w:val="decimal"/>
      <w:lvlText w:val="%1."/>
      <w:lvlJc w:val="left"/>
      <w:pPr>
        <w:ind w:left="720" w:hanging="360"/>
      </w:pPr>
      <w:rPr>
        <w:rFonts w:hint="default"/>
        <w:b w:val="0"/>
        <w:bCs w:val="0"/>
      </w:rPr>
    </w:lvl>
    <w:lvl w:ilvl="1" w:tplc="FFFFFFFF">
      <w:start w:val="1"/>
      <w:numFmt w:val="decimal"/>
      <w:lvlText w:val="%2."/>
      <w:lvlJc w:val="left"/>
      <w:pPr>
        <w:ind w:left="1477" w:hanging="397"/>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7F3265"/>
    <w:multiLevelType w:val="hybridMultilevel"/>
    <w:tmpl w:val="371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2F13CC"/>
    <w:multiLevelType w:val="hybridMultilevel"/>
    <w:tmpl w:val="6846D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F554839"/>
    <w:multiLevelType w:val="hybridMultilevel"/>
    <w:tmpl w:val="3294E5FA"/>
    <w:lvl w:ilvl="0" w:tplc="FFFFFFFF">
      <w:start w:val="1"/>
      <w:numFmt w:val="decimal"/>
      <w:lvlText w:val="%1."/>
      <w:lvlJc w:val="left"/>
      <w:pPr>
        <w:ind w:left="1117" w:hanging="397"/>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509A5C64"/>
    <w:multiLevelType w:val="hybridMultilevel"/>
    <w:tmpl w:val="77F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F4ABF"/>
    <w:multiLevelType w:val="multilevel"/>
    <w:tmpl w:val="324C117C"/>
    <w:styleLink w:val="CurrentList3"/>
    <w:lvl w:ilvl="0">
      <w:start w:val="1"/>
      <w:numFmt w:val="decimal"/>
      <w:lvlText w:val="%1."/>
      <w:lvlJc w:val="left"/>
      <w:pPr>
        <w:ind w:left="737" w:hanging="397"/>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22470A3"/>
    <w:multiLevelType w:val="hybridMultilevel"/>
    <w:tmpl w:val="3EDE1C56"/>
    <w:lvl w:ilvl="0" w:tplc="0409000F">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A05CFC"/>
    <w:multiLevelType w:val="hybridMultilevel"/>
    <w:tmpl w:val="AACCD1FC"/>
    <w:lvl w:ilvl="0" w:tplc="04090001">
      <w:start w:val="1"/>
      <w:numFmt w:val="bullet"/>
      <w:lvlText w:val=""/>
      <w:lvlJc w:val="left"/>
      <w:pPr>
        <w:ind w:left="360" w:hanging="360"/>
      </w:pPr>
      <w:rPr>
        <w:rFonts w:ascii="Symbol" w:hAnsi="Symbol"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9526509"/>
    <w:multiLevelType w:val="hybridMultilevel"/>
    <w:tmpl w:val="C22C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566A5"/>
    <w:multiLevelType w:val="hybridMultilevel"/>
    <w:tmpl w:val="FC2A82BC"/>
    <w:lvl w:ilvl="0" w:tplc="FFFFFFFF">
      <w:start w:val="1"/>
      <w:numFmt w:val="decimal"/>
      <w:lvlText w:val="%1."/>
      <w:lvlJc w:val="left"/>
      <w:pPr>
        <w:ind w:left="720" w:hanging="360"/>
      </w:pPr>
      <w:rPr>
        <w:rFonts w:hint="default"/>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FE41B0"/>
    <w:multiLevelType w:val="hybridMultilevel"/>
    <w:tmpl w:val="312AA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AC5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080522"/>
    <w:multiLevelType w:val="hybridMultilevel"/>
    <w:tmpl w:val="52C4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B7F50"/>
    <w:multiLevelType w:val="hybridMultilevel"/>
    <w:tmpl w:val="3EDE1C56"/>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DF45A24"/>
    <w:multiLevelType w:val="hybridMultilevel"/>
    <w:tmpl w:val="E264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A6A94"/>
    <w:multiLevelType w:val="hybridMultilevel"/>
    <w:tmpl w:val="028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001091">
    <w:abstractNumId w:val="29"/>
  </w:num>
  <w:num w:numId="2" w16cid:durableId="792674062">
    <w:abstractNumId w:val="3"/>
  </w:num>
  <w:num w:numId="3" w16cid:durableId="1271007222">
    <w:abstractNumId w:val="15"/>
  </w:num>
  <w:num w:numId="4" w16cid:durableId="1917981380">
    <w:abstractNumId w:val="17"/>
  </w:num>
  <w:num w:numId="5" w16cid:durableId="58944189">
    <w:abstractNumId w:val="21"/>
  </w:num>
  <w:num w:numId="6" w16cid:durableId="423571251">
    <w:abstractNumId w:val="22"/>
  </w:num>
  <w:num w:numId="7" w16cid:durableId="1068383091">
    <w:abstractNumId w:val="38"/>
  </w:num>
  <w:num w:numId="8" w16cid:durableId="1323436976">
    <w:abstractNumId w:val="42"/>
  </w:num>
  <w:num w:numId="9" w16cid:durableId="1461993163">
    <w:abstractNumId w:val="20"/>
  </w:num>
  <w:num w:numId="10" w16cid:durableId="1085959598">
    <w:abstractNumId w:val="4"/>
  </w:num>
  <w:num w:numId="11" w16cid:durableId="64567884">
    <w:abstractNumId w:val="19"/>
  </w:num>
  <w:num w:numId="12" w16cid:durableId="220136656">
    <w:abstractNumId w:val="28"/>
  </w:num>
  <w:num w:numId="13" w16cid:durableId="44526769">
    <w:abstractNumId w:val="11"/>
  </w:num>
  <w:num w:numId="14" w16cid:durableId="2031713841">
    <w:abstractNumId w:val="0"/>
  </w:num>
  <w:num w:numId="15" w16cid:durableId="523982059">
    <w:abstractNumId w:val="1"/>
  </w:num>
  <w:num w:numId="16" w16cid:durableId="1020010864">
    <w:abstractNumId w:val="41"/>
  </w:num>
  <w:num w:numId="17" w16cid:durableId="600768720">
    <w:abstractNumId w:val="33"/>
  </w:num>
  <w:num w:numId="18" w16cid:durableId="1686634721">
    <w:abstractNumId w:val="39"/>
  </w:num>
  <w:num w:numId="19" w16cid:durableId="1329408128">
    <w:abstractNumId w:val="37"/>
  </w:num>
  <w:num w:numId="20" w16cid:durableId="35011148">
    <w:abstractNumId w:val="14"/>
  </w:num>
  <w:num w:numId="21" w16cid:durableId="48262438">
    <w:abstractNumId w:val="8"/>
  </w:num>
  <w:num w:numId="22" w16cid:durableId="1155101134">
    <w:abstractNumId w:val="18"/>
  </w:num>
  <w:num w:numId="23" w16cid:durableId="954167391">
    <w:abstractNumId w:val="16"/>
  </w:num>
  <w:num w:numId="24" w16cid:durableId="1713993246">
    <w:abstractNumId w:val="30"/>
  </w:num>
  <w:num w:numId="25" w16cid:durableId="2103261968">
    <w:abstractNumId w:val="23"/>
  </w:num>
  <w:num w:numId="26" w16cid:durableId="1593664413">
    <w:abstractNumId w:val="2"/>
  </w:num>
  <w:num w:numId="27" w16cid:durableId="1068069442">
    <w:abstractNumId w:val="9"/>
  </w:num>
  <w:num w:numId="28" w16cid:durableId="1714768844">
    <w:abstractNumId w:val="27"/>
  </w:num>
  <w:num w:numId="29" w16cid:durableId="30613251">
    <w:abstractNumId w:val="36"/>
  </w:num>
  <w:num w:numId="30" w16cid:durableId="926230477">
    <w:abstractNumId w:val="12"/>
  </w:num>
  <w:num w:numId="31" w16cid:durableId="1396732543">
    <w:abstractNumId w:val="24"/>
  </w:num>
  <w:num w:numId="32" w16cid:durableId="1806308716">
    <w:abstractNumId w:val="5"/>
  </w:num>
  <w:num w:numId="33" w16cid:durableId="1812750259">
    <w:abstractNumId w:val="6"/>
  </w:num>
  <w:num w:numId="34" w16cid:durableId="403374568">
    <w:abstractNumId w:val="35"/>
  </w:num>
  <w:num w:numId="35" w16cid:durableId="1506937385">
    <w:abstractNumId w:val="7"/>
  </w:num>
  <w:num w:numId="36" w16cid:durableId="105584144">
    <w:abstractNumId w:val="40"/>
  </w:num>
  <w:num w:numId="37" w16cid:durableId="161243824">
    <w:abstractNumId w:val="34"/>
  </w:num>
  <w:num w:numId="38" w16cid:durableId="1288271033">
    <w:abstractNumId w:val="13"/>
  </w:num>
  <w:num w:numId="39" w16cid:durableId="856623129">
    <w:abstractNumId w:val="25"/>
  </w:num>
  <w:num w:numId="40" w16cid:durableId="2075810953">
    <w:abstractNumId w:val="26"/>
  </w:num>
  <w:num w:numId="41" w16cid:durableId="1316033646">
    <w:abstractNumId w:val="32"/>
  </w:num>
  <w:num w:numId="42" w16cid:durableId="2050106634">
    <w:abstractNumId w:val="10"/>
  </w:num>
  <w:num w:numId="43" w16cid:durableId="610743294">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9C7"/>
    <w:rsid w:val="00000FC8"/>
    <w:rsid w:val="000011DB"/>
    <w:rsid w:val="00001339"/>
    <w:rsid w:val="00001483"/>
    <w:rsid w:val="000030BB"/>
    <w:rsid w:val="00003257"/>
    <w:rsid w:val="00003CC9"/>
    <w:rsid w:val="00004D05"/>
    <w:rsid w:val="00004E5E"/>
    <w:rsid w:val="00005671"/>
    <w:rsid w:val="00005ECF"/>
    <w:rsid w:val="0000612A"/>
    <w:rsid w:val="00006E38"/>
    <w:rsid w:val="00010D80"/>
    <w:rsid w:val="00010E5A"/>
    <w:rsid w:val="00012E88"/>
    <w:rsid w:val="00020073"/>
    <w:rsid w:val="0002225D"/>
    <w:rsid w:val="000225F7"/>
    <w:rsid w:val="00023781"/>
    <w:rsid w:val="0002442D"/>
    <w:rsid w:val="000246B0"/>
    <w:rsid w:val="00024AFF"/>
    <w:rsid w:val="00025550"/>
    <w:rsid w:val="00025868"/>
    <w:rsid w:val="00025B74"/>
    <w:rsid w:val="0002605E"/>
    <w:rsid w:val="000268ED"/>
    <w:rsid w:val="00026DD7"/>
    <w:rsid w:val="00027787"/>
    <w:rsid w:val="0003041E"/>
    <w:rsid w:val="000305B2"/>
    <w:rsid w:val="00031666"/>
    <w:rsid w:val="00031B83"/>
    <w:rsid w:val="00032E57"/>
    <w:rsid w:val="000331C7"/>
    <w:rsid w:val="00033349"/>
    <w:rsid w:val="00033475"/>
    <w:rsid w:val="00034118"/>
    <w:rsid w:val="00035371"/>
    <w:rsid w:val="000358BE"/>
    <w:rsid w:val="000365AD"/>
    <w:rsid w:val="00036AAE"/>
    <w:rsid w:val="000371C5"/>
    <w:rsid w:val="00040070"/>
    <w:rsid w:val="00040ABF"/>
    <w:rsid w:val="00040DE9"/>
    <w:rsid w:val="00041C96"/>
    <w:rsid w:val="00041F87"/>
    <w:rsid w:val="000420A7"/>
    <w:rsid w:val="00042FF0"/>
    <w:rsid w:val="00045136"/>
    <w:rsid w:val="00045733"/>
    <w:rsid w:val="00045A45"/>
    <w:rsid w:val="000464A6"/>
    <w:rsid w:val="00046F1E"/>
    <w:rsid w:val="000473A8"/>
    <w:rsid w:val="00047DC2"/>
    <w:rsid w:val="00050C6A"/>
    <w:rsid w:val="00051D13"/>
    <w:rsid w:val="000524F4"/>
    <w:rsid w:val="00052790"/>
    <w:rsid w:val="00052974"/>
    <w:rsid w:val="00052D21"/>
    <w:rsid w:val="00052D6E"/>
    <w:rsid w:val="00053647"/>
    <w:rsid w:val="000540CB"/>
    <w:rsid w:val="000548A3"/>
    <w:rsid w:val="0005530A"/>
    <w:rsid w:val="00056061"/>
    <w:rsid w:val="00056570"/>
    <w:rsid w:val="00056FF5"/>
    <w:rsid w:val="00057408"/>
    <w:rsid w:val="0006058F"/>
    <w:rsid w:val="0006072E"/>
    <w:rsid w:val="000607D4"/>
    <w:rsid w:val="000607FB"/>
    <w:rsid w:val="00060C67"/>
    <w:rsid w:val="00060E64"/>
    <w:rsid w:val="0006207B"/>
    <w:rsid w:val="000624A2"/>
    <w:rsid w:val="00062883"/>
    <w:rsid w:val="000629BD"/>
    <w:rsid w:val="00062F38"/>
    <w:rsid w:val="00064588"/>
    <w:rsid w:val="000666F1"/>
    <w:rsid w:val="00067E64"/>
    <w:rsid w:val="00067F51"/>
    <w:rsid w:val="00070169"/>
    <w:rsid w:val="000708E1"/>
    <w:rsid w:val="00070C9E"/>
    <w:rsid w:val="00070E45"/>
    <w:rsid w:val="000745D5"/>
    <w:rsid w:val="00075F17"/>
    <w:rsid w:val="00076117"/>
    <w:rsid w:val="0007695D"/>
    <w:rsid w:val="00076D39"/>
    <w:rsid w:val="00076FE0"/>
    <w:rsid w:val="00077000"/>
    <w:rsid w:val="00077C68"/>
    <w:rsid w:val="00080382"/>
    <w:rsid w:val="00080907"/>
    <w:rsid w:val="00080A7F"/>
    <w:rsid w:val="000824BE"/>
    <w:rsid w:val="00082B0A"/>
    <w:rsid w:val="00082DF9"/>
    <w:rsid w:val="000831C0"/>
    <w:rsid w:val="00083979"/>
    <w:rsid w:val="000852FA"/>
    <w:rsid w:val="00087227"/>
    <w:rsid w:val="00087809"/>
    <w:rsid w:val="00087878"/>
    <w:rsid w:val="00087AC5"/>
    <w:rsid w:val="00087E7A"/>
    <w:rsid w:val="000900CE"/>
    <w:rsid w:val="0009028B"/>
    <w:rsid w:val="000906F8"/>
    <w:rsid w:val="00090A46"/>
    <w:rsid w:val="0009111A"/>
    <w:rsid w:val="00091856"/>
    <w:rsid w:val="000918CE"/>
    <w:rsid w:val="0009236F"/>
    <w:rsid w:val="000933B4"/>
    <w:rsid w:val="00094253"/>
    <w:rsid w:val="00094BC1"/>
    <w:rsid w:val="00094CB0"/>
    <w:rsid w:val="000952D2"/>
    <w:rsid w:val="000959DF"/>
    <w:rsid w:val="00095D38"/>
    <w:rsid w:val="00095E40"/>
    <w:rsid w:val="0009680A"/>
    <w:rsid w:val="0009781E"/>
    <w:rsid w:val="000A115E"/>
    <w:rsid w:val="000A1996"/>
    <w:rsid w:val="000A28D8"/>
    <w:rsid w:val="000A3063"/>
    <w:rsid w:val="000A3BB7"/>
    <w:rsid w:val="000A40DC"/>
    <w:rsid w:val="000A49AF"/>
    <w:rsid w:val="000A5202"/>
    <w:rsid w:val="000A56AF"/>
    <w:rsid w:val="000A5825"/>
    <w:rsid w:val="000A76CD"/>
    <w:rsid w:val="000B18A3"/>
    <w:rsid w:val="000B1AA4"/>
    <w:rsid w:val="000B1AB7"/>
    <w:rsid w:val="000B200F"/>
    <w:rsid w:val="000B2910"/>
    <w:rsid w:val="000B2B15"/>
    <w:rsid w:val="000B405F"/>
    <w:rsid w:val="000B40D0"/>
    <w:rsid w:val="000B4C58"/>
    <w:rsid w:val="000C0811"/>
    <w:rsid w:val="000C12FF"/>
    <w:rsid w:val="000C2EA1"/>
    <w:rsid w:val="000C33FE"/>
    <w:rsid w:val="000C39A3"/>
    <w:rsid w:val="000C3F81"/>
    <w:rsid w:val="000C3F89"/>
    <w:rsid w:val="000C479A"/>
    <w:rsid w:val="000C47FD"/>
    <w:rsid w:val="000C541D"/>
    <w:rsid w:val="000C5438"/>
    <w:rsid w:val="000C6CB7"/>
    <w:rsid w:val="000C6D4E"/>
    <w:rsid w:val="000D08AB"/>
    <w:rsid w:val="000D0A37"/>
    <w:rsid w:val="000D15C4"/>
    <w:rsid w:val="000D1683"/>
    <w:rsid w:val="000D1C26"/>
    <w:rsid w:val="000D225A"/>
    <w:rsid w:val="000D299B"/>
    <w:rsid w:val="000D2D2E"/>
    <w:rsid w:val="000D3070"/>
    <w:rsid w:val="000D3EFE"/>
    <w:rsid w:val="000D3F8A"/>
    <w:rsid w:val="000D4385"/>
    <w:rsid w:val="000D44A3"/>
    <w:rsid w:val="000D4B21"/>
    <w:rsid w:val="000D578C"/>
    <w:rsid w:val="000D5B30"/>
    <w:rsid w:val="000D649D"/>
    <w:rsid w:val="000D664D"/>
    <w:rsid w:val="000D66BE"/>
    <w:rsid w:val="000D6BB4"/>
    <w:rsid w:val="000D771A"/>
    <w:rsid w:val="000D77A3"/>
    <w:rsid w:val="000D77B0"/>
    <w:rsid w:val="000D7B65"/>
    <w:rsid w:val="000D7D71"/>
    <w:rsid w:val="000E025D"/>
    <w:rsid w:val="000E0B3D"/>
    <w:rsid w:val="000E195D"/>
    <w:rsid w:val="000E19F3"/>
    <w:rsid w:val="000E31E2"/>
    <w:rsid w:val="000E4240"/>
    <w:rsid w:val="000E4346"/>
    <w:rsid w:val="000E46F0"/>
    <w:rsid w:val="000E475F"/>
    <w:rsid w:val="000E4CC9"/>
    <w:rsid w:val="000E58C2"/>
    <w:rsid w:val="000E6D1B"/>
    <w:rsid w:val="000E777B"/>
    <w:rsid w:val="000F2CC6"/>
    <w:rsid w:val="000F3E6B"/>
    <w:rsid w:val="000F442F"/>
    <w:rsid w:val="000F4691"/>
    <w:rsid w:val="000F46DB"/>
    <w:rsid w:val="000F49BD"/>
    <w:rsid w:val="000F4C40"/>
    <w:rsid w:val="000F4F43"/>
    <w:rsid w:val="00100C0C"/>
    <w:rsid w:val="00101577"/>
    <w:rsid w:val="00101BC2"/>
    <w:rsid w:val="00102612"/>
    <w:rsid w:val="001033AC"/>
    <w:rsid w:val="001045CD"/>
    <w:rsid w:val="0010472C"/>
    <w:rsid w:val="00105482"/>
    <w:rsid w:val="00105722"/>
    <w:rsid w:val="0010606E"/>
    <w:rsid w:val="00106275"/>
    <w:rsid w:val="0010665E"/>
    <w:rsid w:val="00106894"/>
    <w:rsid w:val="00106E56"/>
    <w:rsid w:val="001072CA"/>
    <w:rsid w:val="00110198"/>
    <w:rsid w:val="00110393"/>
    <w:rsid w:val="00111401"/>
    <w:rsid w:val="00112579"/>
    <w:rsid w:val="001128A4"/>
    <w:rsid w:val="00112E1D"/>
    <w:rsid w:val="00113042"/>
    <w:rsid w:val="0011435D"/>
    <w:rsid w:val="00114920"/>
    <w:rsid w:val="00114C91"/>
    <w:rsid w:val="00114CC4"/>
    <w:rsid w:val="00114D58"/>
    <w:rsid w:val="0011547F"/>
    <w:rsid w:val="00115529"/>
    <w:rsid w:val="00117055"/>
    <w:rsid w:val="001176A0"/>
    <w:rsid w:val="00117993"/>
    <w:rsid w:val="00117F74"/>
    <w:rsid w:val="00120171"/>
    <w:rsid w:val="00120885"/>
    <w:rsid w:val="00122884"/>
    <w:rsid w:val="001228B7"/>
    <w:rsid w:val="00122FDA"/>
    <w:rsid w:val="001230D0"/>
    <w:rsid w:val="001233CC"/>
    <w:rsid w:val="001235A2"/>
    <w:rsid w:val="001239D0"/>
    <w:rsid w:val="00124058"/>
    <w:rsid w:val="0012443E"/>
    <w:rsid w:val="00124640"/>
    <w:rsid w:val="00124A54"/>
    <w:rsid w:val="001250D9"/>
    <w:rsid w:val="001253E8"/>
    <w:rsid w:val="0012570B"/>
    <w:rsid w:val="00125DB2"/>
    <w:rsid w:val="0012611D"/>
    <w:rsid w:val="0012630E"/>
    <w:rsid w:val="001279B0"/>
    <w:rsid w:val="00130312"/>
    <w:rsid w:val="00130D22"/>
    <w:rsid w:val="00131387"/>
    <w:rsid w:val="0013143B"/>
    <w:rsid w:val="00131BCE"/>
    <w:rsid w:val="001321AD"/>
    <w:rsid w:val="00132E84"/>
    <w:rsid w:val="001330B6"/>
    <w:rsid w:val="0013364B"/>
    <w:rsid w:val="00133F9F"/>
    <w:rsid w:val="001340AF"/>
    <w:rsid w:val="0013411C"/>
    <w:rsid w:val="001349ED"/>
    <w:rsid w:val="001350C3"/>
    <w:rsid w:val="00135E60"/>
    <w:rsid w:val="00137291"/>
    <w:rsid w:val="00140849"/>
    <w:rsid w:val="001409DA"/>
    <w:rsid w:val="001422DA"/>
    <w:rsid w:val="0014254E"/>
    <w:rsid w:val="001427F3"/>
    <w:rsid w:val="00143A3B"/>
    <w:rsid w:val="00144885"/>
    <w:rsid w:val="00144BF3"/>
    <w:rsid w:val="00145616"/>
    <w:rsid w:val="00145F39"/>
    <w:rsid w:val="001473D5"/>
    <w:rsid w:val="0014748D"/>
    <w:rsid w:val="0014794C"/>
    <w:rsid w:val="00147EB2"/>
    <w:rsid w:val="00150309"/>
    <w:rsid w:val="00152A6B"/>
    <w:rsid w:val="00153176"/>
    <w:rsid w:val="001558B4"/>
    <w:rsid w:val="00155F3A"/>
    <w:rsid w:val="001572B6"/>
    <w:rsid w:val="001579AD"/>
    <w:rsid w:val="00157AFB"/>
    <w:rsid w:val="00157F50"/>
    <w:rsid w:val="00160D73"/>
    <w:rsid w:val="001629C0"/>
    <w:rsid w:val="00163816"/>
    <w:rsid w:val="00163AB4"/>
    <w:rsid w:val="00163B67"/>
    <w:rsid w:val="00164CB8"/>
    <w:rsid w:val="00165338"/>
    <w:rsid w:val="00165A39"/>
    <w:rsid w:val="0016610F"/>
    <w:rsid w:val="00166845"/>
    <w:rsid w:val="001670EE"/>
    <w:rsid w:val="001676F8"/>
    <w:rsid w:val="001678B8"/>
    <w:rsid w:val="001679FF"/>
    <w:rsid w:val="00167DE7"/>
    <w:rsid w:val="0017040B"/>
    <w:rsid w:val="00170AAD"/>
    <w:rsid w:val="00171280"/>
    <w:rsid w:val="00171423"/>
    <w:rsid w:val="001714DD"/>
    <w:rsid w:val="0017156F"/>
    <w:rsid w:val="00171D30"/>
    <w:rsid w:val="00171DAA"/>
    <w:rsid w:val="001724EB"/>
    <w:rsid w:val="00172D58"/>
    <w:rsid w:val="0017582C"/>
    <w:rsid w:val="00175F05"/>
    <w:rsid w:val="00176236"/>
    <w:rsid w:val="001772E5"/>
    <w:rsid w:val="00180387"/>
    <w:rsid w:val="00180817"/>
    <w:rsid w:val="001811E8"/>
    <w:rsid w:val="00181321"/>
    <w:rsid w:val="00182144"/>
    <w:rsid w:val="00182FE0"/>
    <w:rsid w:val="00183ACC"/>
    <w:rsid w:val="001842CB"/>
    <w:rsid w:val="00184933"/>
    <w:rsid w:val="0018508E"/>
    <w:rsid w:val="0018541D"/>
    <w:rsid w:val="00185F0D"/>
    <w:rsid w:val="001866BE"/>
    <w:rsid w:val="00186A4B"/>
    <w:rsid w:val="00186B22"/>
    <w:rsid w:val="0018784A"/>
    <w:rsid w:val="001879E6"/>
    <w:rsid w:val="00187C0D"/>
    <w:rsid w:val="00190070"/>
    <w:rsid w:val="00190272"/>
    <w:rsid w:val="0019210F"/>
    <w:rsid w:val="00192A35"/>
    <w:rsid w:val="001934CA"/>
    <w:rsid w:val="00193A97"/>
    <w:rsid w:val="00194103"/>
    <w:rsid w:val="00194D76"/>
    <w:rsid w:val="00194D91"/>
    <w:rsid w:val="00194EBA"/>
    <w:rsid w:val="001952B8"/>
    <w:rsid w:val="00195365"/>
    <w:rsid w:val="00195BC8"/>
    <w:rsid w:val="0019678C"/>
    <w:rsid w:val="00196B2E"/>
    <w:rsid w:val="001974AD"/>
    <w:rsid w:val="00197955"/>
    <w:rsid w:val="00197962"/>
    <w:rsid w:val="001A000B"/>
    <w:rsid w:val="001A0EA4"/>
    <w:rsid w:val="001A1243"/>
    <w:rsid w:val="001A1B8D"/>
    <w:rsid w:val="001A368C"/>
    <w:rsid w:val="001A4AF7"/>
    <w:rsid w:val="001A4B34"/>
    <w:rsid w:val="001A4BB8"/>
    <w:rsid w:val="001A5985"/>
    <w:rsid w:val="001A6B31"/>
    <w:rsid w:val="001B0138"/>
    <w:rsid w:val="001B02BE"/>
    <w:rsid w:val="001B1027"/>
    <w:rsid w:val="001B172C"/>
    <w:rsid w:val="001B28F9"/>
    <w:rsid w:val="001B2B3C"/>
    <w:rsid w:val="001B2B6D"/>
    <w:rsid w:val="001B3B04"/>
    <w:rsid w:val="001B4683"/>
    <w:rsid w:val="001B4EA9"/>
    <w:rsid w:val="001B4EDF"/>
    <w:rsid w:val="001B6797"/>
    <w:rsid w:val="001B773E"/>
    <w:rsid w:val="001B779F"/>
    <w:rsid w:val="001B79A8"/>
    <w:rsid w:val="001B7AC2"/>
    <w:rsid w:val="001B7EFB"/>
    <w:rsid w:val="001C1AAC"/>
    <w:rsid w:val="001C28C2"/>
    <w:rsid w:val="001C2A19"/>
    <w:rsid w:val="001C3332"/>
    <w:rsid w:val="001C49BD"/>
    <w:rsid w:val="001C5AC9"/>
    <w:rsid w:val="001C5AF5"/>
    <w:rsid w:val="001C644B"/>
    <w:rsid w:val="001C6641"/>
    <w:rsid w:val="001C677C"/>
    <w:rsid w:val="001C6CBD"/>
    <w:rsid w:val="001C73BC"/>
    <w:rsid w:val="001C79F9"/>
    <w:rsid w:val="001D0762"/>
    <w:rsid w:val="001D0D0A"/>
    <w:rsid w:val="001D1CB5"/>
    <w:rsid w:val="001D1E47"/>
    <w:rsid w:val="001D29DA"/>
    <w:rsid w:val="001D2BE7"/>
    <w:rsid w:val="001D2BFD"/>
    <w:rsid w:val="001D2E37"/>
    <w:rsid w:val="001D3771"/>
    <w:rsid w:val="001D3A4D"/>
    <w:rsid w:val="001D4BE1"/>
    <w:rsid w:val="001D4F65"/>
    <w:rsid w:val="001D5594"/>
    <w:rsid w:val="001D55CA"/>
    <w:rsid w:val="001D7ECA"/>
    <w:rsid w:val="001E0081"/>
    <w:rsid w:val="001E0562"/>
    <w:rsid w:val="001E065B"/>
    <w:rsid w:val="001E0669"/>
    <w:rsid w:val="001E1126"/>
    <w:rsid w:val="001E193E"/>
    <w:rsid w:val="001E21B6"/>
    <w:rsid w:val="001E27AC"/>
    <w:rsid w:val="001E2897"/>
    <w:rsid w:val="001E3730"/>
    <w:rsid w:val="001E3875"/>
    <w:rsid w:val="001E3BC2"/>
    <w:rsid w:val="001E484A"/>
    <w:rsid w:val="001E53CB"/>
    <w:rsid w:val="001E5E50"/>
    <w:rsid w:val="001E62C0"/>
    <w:rsid w:val="001E6B2D"/>
    <w:rsid w:val="001E7450"/>
    <w:rsid w:val="001E7D2A"/>
    <w:rsid w:val="001E7EB0"/>
    <w:rsid w:val="001F0D5D"/>
    <w:rsid w:val="001F0F59"/>
    <w:rsid w:val="001F1D60"/>
    <w:rsid w:val="001F20B1"/>
    <w:rsid w:val="001F2B5B"/>
    <w:rsid w:val="001F2C41"/>
    <w:rsid w:val="001F2EF2"/>
    <w:rsid w:val="001F3836"/>
    <w:rsid w:val="001F39CE"/>
    <w:rsid w:val="001F3A8A"/>
    <w:rsid w:val="001F4638"/>
    <w:rsid w:val="001F4B15"/>
    <w:rsid w:val="001F5424"/>
    <w:rsid w:val="001F55CD"/>
    <w:rsid w:val="001F6CD6"/>
    <w:rsid w:val="001F6E72"/>
    <w:rsid w:val="001F6EE3"/>
    <w:rsid w:val="001F7287"/>
    <w:rsid w:val="001F77B6"/>
    <w:rsid w:val="002016D2"/>
    <w:rsid w:val="00201E60"/>
    <w:rsid w:val="00201F0E"/>
    <w:rsid w:val="0020207A"/>
    <w:rsid w:val="00202A36"/>
    <w:rsid w:val="00202F89"/>
    <w:rsid w:val="00202FEE"/>
    <w:rsid w:val="00203118"/>
    <w:rsid w:val="00203B69"/>
    <w:rsid w:val="00203E24"/>
    <w:rsid w:val="002045CD"/>
    <w:rsid w:val="00205091"/>
    <w:rsid w:val="00205A7B"/>
    <w:rsid w:val="002062E8"/>
    <w:rsid w:val="00206B76"/>
    <w:rsid w:val="00206C13"/>
    <w:rsid w:val="0020747E"/>
    <w:rsid w:val="002074B0"/>
    <w:rsid w:val="002101B9"/>
    <w:rsid w:val="00210594"/>
    <w:rsid w:val="002113BF"/>
    <w:rsid w:val="00211868"/>
    <w:rsid w:val="00211E6F"/>
    <w:rsid w:val="00213228"/>
    <w:rsid w:val="00213901"/>
    <w:rsid w:val="00214FA4"/>
    <w:rsid w:val="002159D3"/>
    <w:rsid w:val="00216A8C"/>
    <w:rsid w:val="00217CF3"/>
    <w:rsid w:val="00220616"/>
    <w:rsid w:val="002206D4"/>
    <w:rsid w:val="0022083A"/>
    <w:rsid w:val="00221298"/>
    <w:rsid w:val="00221490"/>
    <w:rsid w:val="00221EC5"/>
    <w:rsid w:val="0022296B"/>
    <w:rsid w:val="00222D05"/>
    <w:rsid w:val="0022331C"/>
    <w:rsid w:val="00223AE0"/>
    <w:rsid w:val="00223DBA"/>
    <w:rsid w:val="00224C44"/>
    <w:rsid w:val="0022538F"/>
    <w:rsid w:val="0022561A"/>
    <w:rsid w:val="00226C9E"/>
    <w:rsid w:val="002272C1"/>
    <w:rsid w:val="00227E45"/>
    <w:rsid w:val="00230481"/>
    <w:rsid w:val="0023151B"/>
    <w:rsid w:val="0023173D"/>
    <w:rsid w:val="00231BA1"/>
    <w:rsid w:val="00231D8C"/>
    <w:rsid w:val="002320ED"/>
    <w:rsid w:val="002334C8"/>
    <w:rsid w:val="00233D98"/>
    <w:rsid w:val="00234048"/>
    <w:rsid w:val="00234174"/>
    <w:rsid w:val="00234516"/>
    <w:rsid w:val="00235C23"/>
    <w:rsid w:val="002360D1"/>
    <w:rsid w:val="00241CF2"/>
    <w:rsid w:val="00242937"/>
    <w:rsid w:val="0024540E"/>
    <w:rsid w:val="00245A82"/>
    <w:rsid w:val="00245B6B"/>
    <w:rsid w:val="00245E22"/>
    <w:rsid w:val="002465D7"/>
    <w:rsid w:val="002476B2"/>
    <w:rsid w:val="002505B0"/>
    <w:rsid w:val="002505DC"/>
    <w:rsid w:val="002517F7"/>
    <w:rsid w:val="0025317F"/>
    <w:rsid w:val="0025496E"/>
    <w:rsid w:val="002551B8"/>
    <w:rsid w:val="00256539"/>
    <w:rsid w:val="00256822"/>
    <w:rsid w:val="00257F9D"/>
    <w:rsid w:val="0026005A"/>
    <w:rsid w:val="00260294"/>
    <w:rsid w:val="002616D2"/>
    <w:rsid w:val="00261A72"/>
    <w:rsid w:val="00262467"/>
    <w:rsid w:val="00262830"/>
    <w:rsid w:val="00262DE3"/>
    <w:rsid w:val="002648FF"/>
    <w:rsid w:val="00264B18"/>
    <w:rsid w:val="00265029"/>
    <w:rsid w:val="00265599"/>
    <w:rsid w:val="00265662"/>
    <w:rsid w:val="00265E36"/>
    <w:rsid w:val="002661D8"/>
    <w:rsid w:val="00266399"/>
    <w:rsid w:val="00266CBF"/>
    <w:rsid w:val="0026706A"/>
    <w:rsid w:val="002678E1"/>
    <w:rsid w:val="00267A0A"/>
    <w:rsid w:val="00267F2C"/>
    <w:rsid w:val="002705AE"/>
    <w:rsid w:val="002709FB"/>
    <w:rsid w:val="00270F4B"/>
    <w:rsid w:val="00272009"/>
    <w:rsid w:val="002720E9"/>
    <w:rsid w:val="002722ED"/>
    <w:rsid w:val="00272CE5"/>
    <w:rsid w:val="00272E16"/>
    <w:rsid w:val="002734E8"/>
    <w:rsid w:val="00273A65"/>
    <w:rsid w:val="002746A2"/>
    <w:rsid w:val="0027493D"/>
    <w:rsid w:val="0027596F"/>
    <w:rsid w:val="00275D4E"/>
    <w:rsid w:val="0027636A"/>
    <w:rsid w:val="00276667"/>
    <w:rsid w:val="00276DD0"/>
    <w:rsid w:val="00277720"/>
    <w:rsid w:val="00277C72"/>
    <w:rsid w:val="002809E3"/>
    <w:rsid w:val="00280A0E"/>
    <w:rsid w:val="00280D4A"/>
    <w:rsid w:val="00280FF1"/>
    <w:rsid w:val="00281086"/>
    <w:rsid w:val="0028117C"/>
    <w:rsid w:val="00282BA8"/>
    <w:rsid w:val="00282EEB"/>
    <w:rsid w:val="00283347"/>
    <w:rsid w:val="0028337D"/>
    <w:rsid w:val="0028345D"/>
    <w:rsid w:val="00284386"/>
    <w:rsid w:val="00285CDA"/>
    <w:rsid w:val="00286F83"/>
    <w:rsid w:val="002870EA"/>
    <w:rsid w:val="0029001E"/>
    <w:rsid w:val="0029065F"/>
    <w:rsid w:val="00290865"/>
    <w:rsid w:val="00290A7C"/>
    <w:rsid w:val="00291C08"/>
    <w:rsid w:val="00291C2E"/>
    <w:rsid w:val="002926D3"/>
    <w:rsid w:val="002935D4"/>
    <w:rsid w:val="00294B36"/>
    <w:rsid w:val="0029657A"/>
    <w:rsid w:val="00296831"/>
    <w:rsid w:val="00297213"/>
    <w:rsid w:val="0029724F"/>
    <w:rsid w:val="00297254"/>
    <w:rsid w:val="00297FE6"/>
    <w:rsid w:val="002A1504"/>
    <w:rsid w:val="002A295E"/>
    <w:rsid w:val="002A460E"/>
    <w:rsid w:val="002A5217"/>
    <w:rsid w:val="002A5657"/>
    <w:rsid w:val="002A5A17"/>
    <w:rsid w:val="002A5F96"/>
    <w:rsid w:val="002A7728"/>
    <w:rsid w:val="002A7F82"/>
    <w:rsid w:val="002B137C"/>
    <w:rsid w:val="002B146E"/>
    <w:rsid w:val="002B1497"/>
    <w:rsid w:val="002B17F8"/>
    <w:rsid w:val="002B1A80"/>
    <w:rsid w:val="002B1E9A"/>
    <w:rsid w:val="002B33B0"/>
    <w:rsid w:val="002B3DB8"/>
    <w:rsid w:val="002B475E"/>
    <w:rsid w:val="002B47BD"/>
    <w:rsid w:val="002B5110"/>
    <w:rsid w:val="002B57F7"/>
    <w:rsid w:val="002B5D01"/>
    <w:rsid w:val="002B5D34"/>
    <w:rsid w:val="002B5ED0"/>
    <w:rsid w:val="002B5FDF"/>
    <w:rsid w:val="002B70FD"/>
    <w:rsid w:val="002B710D"/>
    <w:rsid w:val="002B7F9A"/>
    <w:rsid w:val="002C068F"/>
    <w:rsid w:val="002C1A88"/>
    <w:rsid w:val="002C1F96"/>
    <w:rsid w:val="002C3C26"/>
    <w:rsid w:val="002C3DA5"/>
    <w:rsid w:val="002C3EDA"/>
    <w:rsid w:val="002C40D3"/>
    <w:rsid w:val="002C5212"/>
    <w:rsid w:val="002C53BF"/>
    <w:rsid w:val="002C5C00"/>
    <w:rsid w:val="002C5F05"/>
    <w:rsid w:val="002C6A00"/>
    <w:rsid w:val="002C6E4C"/>
    <w:rsid w:val="002C74D7"/>
    <w:rsid w:val="002D01DF"/>
    <w:rsid w:val="002D094E"/>
    <w:rsid w:val="002D200B"/>
    <w:rsid w:val="002D2432"/>
    <w:rsid w:val="002D2D20"/>
    <w:rsid w:val="002D2F75"/>
    <w:rsid w:val="002D3E37"/>
    <w:rsid w:val="002D4776"/>
    <w:rsid w:val="002D5C18"/>
    <w:rsid w:val="002D6A0D"/>
    <w:rsid w:val="002D6C2F"/>
    <w:rsid w:val="002D6CF7"/>
    <w:rsid w:val="002D7170"/>
    <w:rsid w:val="002D7A41"/>
    <w:rsid w:val="002D7AE5"/>
    <w:rsid w:val="002E1718"/>
    <w:rsid w:val="002E1DE6"/>
    <w:rsid w:val="002E2C6A"/>
    <w:rsid w:val="002E3B19"/>
    <w:rsid w:val="002E3CFE"/>
    <w:rsid w:val="002E44FD"/>
    <w:rsid w:val="002E4F43"/>
    <w:rsid w:val="002E5CBD"/>
    <w:rsid w:val="002E68D3"/>
    <w:rsid w:val="002E716E"/>
    <w:rsid w:val="002E7620"/>
    <w:rsid w:val="002E7748"/>
    <w:rsid w:val="002F134C"/>
    <w:rsid w:val="002F1814"/>
    <w:rsid w:val="002F1C51"/>
    <w:rsid w:val="002F207A"/>
    <w:rsid w:val="002F2247"/>
    <w:rsid w:val="002F29FA"/>
    <w:rsid w:val="002F2B4A"/>
    <w:rsid w:val="002F34D5"/>
    <w:rsid w:val="002F38F0"/>
    <w:rsid w:val="002F39F6"/>
    <w:rsid w:val="002F454B"/>
    <w:rsid w:val="002F4E30"/>
    <w:rsid w:val="002F51F1"/>
    <w:rsid w:val="002F5CDF"/>
    <w:rsid w:val="002F607C"/>
    <w:rsid w:val="002F76BF"/>
    <w:rsid w:val="002F79A6"/>
    <w:rsid w:val="002F7FBB"/>
    <w:rsid w:val="00301292"/>
    <w:rsid w:val="003012E0"/>
    <w:rsid w:val="0030195B"/>
    <w:rsid w:val="00301A61"/>
    <w:rsid w:val="00301AC6"/>
    <w:rsid w:val="00301EA7"/>
    <w:rsid w:val="003020BB"/>
    <w:rsid w:val="003024D2"/>
    <w:rsid w:val="0030253A"/>
    <w:rsid w:val="00302779"/>
    <w:rsid w:val="00302833"/>
    <w:rsid w:val="0030295F"/>
    <w:rsid w:val="00302A20"/>
    <w:rsid w:val="00302EEF"/>
    <w:rsid w:val="003031AF"/>
    <w:rsid w:val="00304238"/>
    <w:rsid w:val="00304460"/>
    <w:rsid w:val="003054C0"/>
    <w:rsid w:val="00305C53"/>
    <w:rsid w:val="00306DD9"/>
    <w:rsid w:val="0030774E"/>
    <w:rsid w:val="00310045"/>
    <w:rsid w:val="003102D7"/>
    <w:rsid w:val="00310EC5"/>
    <w:rsid w:val="0031111B"/>
    <w:rsid w:val="00311540"/>
    <w:rsid w:val="00311ADF"/>
    <w:rsid w:val="00311BD1"/>
    <w:rsid w:val="00311DC6"/>
    <w:rsid w:val="00312059"/>
    <w:rsid w:val="0031216F"/>
    <w:rsid w:val="00313053"/>
    <w:rsid w:val="003140EC"/>
    <w:rsid w:val="0031549C"/>
    <w:rsid w:val="00315766"/>
    <w:rsid w:val="00315896"/>
    <w:rsid w:val="00317276"/>
    <w:rsid w:val="003176C3"/>
    <w:rsid w:val="00317D85"/>
    <w:rsid w:val="00320A5A"/>
    <w:rsid w:val="0032199A"/>
    <w:rsid w:val="00324294"/>
    <w:rsid w:val="00324569"/>
    <w:rsid w:val="00324D99"/>
    <w:rsid w:val="00324EA4"/>
    <w:rsid w:val="00326E32"/>
    <w:rsid w:val="00326FFC"/>
    <w:rsid w:val="00327C5F"/>
    <w:rsid w:val="003301EA"/>
    <w:rsid w:val="003303C6"/>
    <w:rsid w:val="0033111A"/>
    <w:rsid w:val="003315DA"/>
    <w:rsid w:val="00331F67"/>
    <w:rsid w:val="003333F5"/>
    <w:rsid w:val="003338A6"/>
    <w:rsid w:val="00333A0D"/>
    <w:rsid w:val="003346B0"/>
    <w:rsid w:val="00334935"/>
    <w:rsid w:val="0033564B"/>
    <w:rsid w:val="00335D42"/>
    <w:rsid w:val="00336A99"/>
    <w:rsid w:val="00337DA7"/>
    <w:rsid w:val="00337FA1"/>
    <w:rsid w:val="00340072"/>
    <w:rsid w:val="00340B16"/>
    <w:rsid w:val="00341943"/>
    <w:rsid w:val="00341A89"/>
    <w:rsid w:val="00341AC8"/>
    <w:rsid w:val="00342013"/>
    <w:rsid w:val="003423EB"/>
    <w:rsid w:val="003426E3"/>
    <w:rsid w:val="00342CAB"/>
    <w:rsid w:val="0034328A"/>
    <w:rsid w:val="003438B6"/>
    <w:rsid w:val="00343CFD"/>
    <w:rsid w:val="003449F5"/>
    <w:rsid w:val="00344B4E"/>
    <w:rsid w:val="00345455"/>
    <w:rsid w:val="003459E5"/>
    <w:rsid w:val="00345C0E"/>
    <w:rsid w:val="003461B6"/>
    <w:rsid w:val="00347A09"/>
    <w:rsid w:val="00347E3D"/>
    <w:rsid w:val="00350588"/>
    <w:rsid w:val="0035273D"/>
    <w:rsid w:val="00352932"/>
    <w:rsid w:val="00353491"/>
    <w:rsid w:val="00354896"/>
    <w:rsid w:val="00354B3D"/>
    <w:rsid w:val="00354C43"/>
    <w:rsid w:val="00355263"/>
    <w:rsid w:val="00356678"/>
    <w:rsid w:val="00356926"/>
    <w:rsid w:val="00356BBE"/>
    <w:rsid w:val="00356EBA"/>
    <w:rsid w:val="0035720B"/>
    <w:rsid w:val="00357A5D"/>
    <w:rsid w:val="00357E01"/>
    <w:rsid w:val="00357F53"/>
    <w:rsid w:val="00360004"/>
    <w:rsid w:val="0036104E"/>
    <w:rsid w:val="003612DA"/>
    <w:rsid w:val="003616B5"/>
    <w:rsid w:val="0036177C"/>
    <w:rsid w:val="003630E5"/>
    <w:rsid w:val="0036325A"/>
    <w:rsid w:val="003632D5"/>
    <w:rsid w:val="003635BD"/>
    <w:rsid w:val="00363BFA"/>
    <w:rsid w:val="0036418B"/>
    <w:rsid w:val="00364898"/>
    <w:rsid w:val="0036571D"/>
    <w:rsid w:val="003659B8"/>
    <w:rsid w:val="003666A2"/>
    <w:rsid w:val="00367145"/>
    <w:rsid w:val="003671D6"/>
    <w:rsid w:val="00370AB3"/>
    <w:rsid w:val="003722E1"/>
    <w:rsid w:val="00373DCE"/>
    <w:rsid w:val="003742DC"/>
    <w:rsid w:val="003748E1"/>
    <w:rsid w:val="00374F31"/>
    <w:rsid w:val="00375291"/>
    <w:rsid w:val="003754F6"/>
    <w:rsid w:val="0037558E"/>
    <w:rsid w:val="00375F67"/>
    <w:rsid w:val="003767F5"/>
    <w:rsid w:val="003779F2"/>
    <w:rsid w:val="00377D26"/>
    <w:rsid w:val="00381C30"/>
    <w:rsid w:val="00382020"/>
    <w:rsid w:val="003831FF"/>
    <w:rsid w:val="0038333A"/>
    <w:rsid w:val="00383CA4"/>
    <w:rsid w:val="00384CDE"/>
    <w:rsid w:val="003851D1"/>
    <w:rsid w:val="0038585B"/>
    <w:rsid w:val="00385CF9"/>
    <w:rsid w:val="00385F2F"/>
    <w:rsid w:val="00386B61"/>
    <w:rsid w:val="00386E7F"/>
    <w:rsid w:val="00387374"/>
    <w:rsid w:val="003900B1"/>
    <w:rsid w:val="00391D2E"/>
    <w:rsid w:val="00393190"/>
    <w:rsid w:val="0039338B"/>
    <w:rsid w:val="00393540"/>
    <w:rsid w:val="00393BA4"/>
    <w:rsid w:val="00393D19"/>
    <w:rsid w:val="00394970"/>
    <w:rsid w:val="003949DF"/>
    <w:rsid w:val="00394BDF"/>
    <w:rsid w:val="00394D45"/>
    <w:rsid w:val="0039514A"/>
    <w:rsid w:val="003958F4"/>
    <w:rsid w:val="00396552"/>
    <w:rsid w:val="0039656A"/>
    <w:rsid w:val="00397030"/>
    <w:rsid w:val="003970E1"/>
    <w:rsid w:val="003978B1"/>
    <w:rsid w:val="003A0956"/>
    <w:rsid w:val="003A0CA4"/>
    <w:rsid w:val="003A1CA8"/>
    <w:rsid w:val="003A1FAD"/>
    <w:rsid w:val="003A3D62"/>
    <w:rsid w:val="003A451D"/>
    <w:rsid w:val="003A47EF"/>
    <w:rsid w:val="003A6013"/>
    <w:rsid w:val="003A6485"/>
    <w:rsid w:val="003A7361"/>
    <w:rsid w:val="003B0A0F"/>
    <w:rsid w:val="003B159E"/>
    <w:rsid w:val="003B2362"/>
    <w:rsid w:val="003B3018"/>
    <w:rsid w:val="003B3186"/>
    <w:rsid w:val="003B3A71"/>
    <w:rsid w:val="003B3B99"/>
    <w:rsid w:val="003B43A1"/>
    <w:rsid w:val="003B4A56"/>
    <w:rsid w:val="003B63E3"/>
    <w:rsid w:val="003B641C"/>
    <w:rsid w:val="003B69B5"/>
    <w:rsid w:val="003B6FD1"/>
    <w:rsid w:val="003B700E"/>
    <w:rsid w:val="003B744F"/>
    <w:rsid w:val="003B7CDE"/>
    <w:rsid w:val="003C0221"/>
    <w:rsid w:val="003C03E7"/>
    <w:rsid w:val="003C0C42"/>
    <w:rsid w:val="003C1020"/>
    <w:rsid w:val="003C14B3"/>
    <w:rsid w:val="003C247D"/>
    <w:rsid w:val="003C33C8"/>
    <w:rsid w:val="003C36A6"/>
    <w:rsid w:val="003C396D"/>
    <w:rsid w:val="003C3A9E"/>
    <w:rsid w:val="003C4DFD"/>
    <w:rsid w:val="003C57D7"/>
    <w:rsid w:val="003C5F67"/>
    <w:rsid w:val="003D0224"/>
    <w:rsid w:val="003D1816"/>
    <w:rsid w:val="003D1F67"/>
    <w:rsid w:val="003D1FB0"/>
    <w:rsid w:val="003D2C26"/>
    <w:rsid w:val="003D2D81"/>
    <w:rsid w:val="003D2E03"/>
    <w:rsid w:val="003D334D"/>
    <w:rsid w:val="003D34D9"/>
    <w:rsid w:val="003D352A"/>
    <w:rsid w:val="003D36F8"/>
    <w:rsid w:val="003D3887"/>
    <w:rsid w:val="003D4CF0"/>
    <w:rsid w:val="003D5441"/>
    <w:rsid w:val="003D567A"/>
    <w:rsid w:val="003D5C41"/>
    <w:rsid w:val="003D60B5"/>
    <w:rsid w:val="003D63EF"/>
    <w:rsid w:val="003D6946"/>
    <w:rsid w:val="003D6CC8"/>
    <w:rsid w:val="003D7284"/>
    <w:rsid w:val="003D74D3"/>
    <w:rsid w:val="003D7C9B"/>
    <w:rsid w:val="003E0063"/>
    <w:rsid w:val="003E09C3"/>
    <w:rsid w:val="003E1692"/>
    <w:rsid w:val="003E1F59"/>
    <w:rsid w:val="003E2307"/>
    <w:rsid w:val="003E2666"/>
    <w:rsid w:val="003E2EF9"/>
    <w:rsid w:val="003E3C29"/>
    <w:rsid w:val="003E4A04"/>
    <w:rsid w:val="003E4B46"/>
    <w:rsid w:val="003E5393"/>
    <w:rsid w:val="003E67E2"/>
    <w:rsid w:val="003E7018"/>
    <w:rsid w:val="003E7B7C"/>
    <w:rsid w:val="003E7C6C"/>
    <w:rsid w:val="003F01D9"/>
    <w:rsid w:val="003F0501"/>
    <w:rsid w:val="003F0C8B"/>
    <w:rsid w:val="003F1BF2"/>
    <w:rsid w:val="003F1C78"/>
    <w:rsid w:val="003F212C"/>
    <w:rsid w:val="003F3BF2"/>
    <w:rsid w:val="003F6498"/>
    <w:rsid w:val="003F6EDF"/>
    <w:rsid w:val="003F7895"/>
    <w:rsid w:val="003F7947"/>
    <w:rsid w:val="003F79DB"/>
    <w:rsid w:val="00400472"/>
    <w:rsid w:val="00401205"/>
    <w:rsid w:val="0040140A"/>
    <w:rsid w:val="00401475"/>
    <w:rsid w:val="00401820"/>
    <w:rsid w:val="00401F30"/>
    <w:rsid w:val="00401FBE"/>
    <w:rsid w:val="004039A7"/>
    <w:rsid w:val="00403BBD"/>
    <w:rsid w:val="00403C10"/>
    <w:rsid w:val="00403F40"/>
    <w:rsid w:val="004041A7"/>
    <w:rsid w:val="00404294"/>
    <w:rsid w:val="0040479E"/>
    <w:rsid w:val="004051F3"/>
    <w:rsid w:val="004069B5"/>
    <w:rsid w:val="00406B6B"/>
    <w:rsid w:val="0040746F"/>
    <w:rsid w:val="00407D07"/>
    <w:rsid w:val="00407F17"/>
    <w:rsid w:val="00407F3B"/>
    <w:rsid w:val="00407FE8"/>
    <w:rsid w:val="004106D8"/>
    <w:rsid w:val="00410C94"/>
    <w:rsid w:val="00411280"/>
    <w:rsid w:val="00411CC4"/>
    <w:rsid w:val="0041208B"/>
    <w:rsid w:val="004123F7"/>
    <w:rsid w:val="004128DC"/>
    <w:rsid w:val="00412B4E"/>
    <w:rsid w:val="0041403B"/>
    <w:rsid w:val="00414169"/>
    <w:rsid w:val="004142CB"/>
    <w:rsid w:val="0041430F"/>
    <w:rsid w:val="004143D9"/>
    <w:rsid w:val="004147C7"/>
    <w:rsid w:val="00414865"/>
    <w:rsid w:val="00414E25"/>
    <w:rsid w:val="00414F45"/>
    <w:rsid w:val="0041738A"/>
    <w:rsid w:val="00420BD8"/>
    <w:rsid w:val="00421F8A"/>
    <w:rsid w:val="004220AF"/>
    <w:rsid w:val="00423265"/>
    <w:rsid w:val="00423E50"/>
    <w:rsid w:val="004247CA"/>
    <w:rsid w:val="00424C6C"/>
    <w:rsid w:val="00424CF2"/>
    <w:rsid w:val="00424D98"/>
    <w:rsid w:val="00426ACE"/>
    <w:rsid w:val="004275CA"/>
    <w:rsid w:val="004276F0"/>
    <w:rsid w:val="00430199"/>
    <w:rsid w:val="004301F8"/>
    <w:rsid w:val="0043084D"/>
    <w:rsid w:val="00430B18"/>
    <w:rsid w:val="0043117A"/>
    <w:rsid w:val="00433721"/>
    <w:rsid w:val="004339E9"/>
    <w:rsid w:val="00433A8A"/>
    <w:rsid w:val="0043435D"/>
    <w:rsid w:val="004346F4"/>
    <w:rsid w:val="004353EB"/>
    <w:rsid w:val="004356C2"/>
    <w:rsid w:val="00435CF4"/>
    <w:rsid w:val="004362A8"/>
    <w:rsid w:val="00436A12"/>
    <w:rsid w:val="00436E53"/>
    <w:rsid w:val="00436F97"/>
    <w:rsid w:val="004378E4"/>
    <w:rsid w:val="00440228"/>
    <w:rsid w:val="00440B6A"/>
    <w:rsid w:val="004418EA"/>
    <w:rsid w:val="00441E90"/>
    <w:rsid w:val="00442842"/>
    <w:rsid w:val="00442E7B"/>
    <w:rsid w:val="004436ED"/>
    <w:rsid w:val="00443DF3"/>
    <w:rsid w:val="0044479F"/>
    <w:rsid w:val="00444FD5"/>
    <w:rsid w:val="00445471"/>
    <w:rsid w:val="00445699"/>
    <w:rsid w:val="004457E1"/>
    <w:rsid w:val="0044604E"/>
    <w:rsid w:val="004463B7"/>
    <w:rsid w:val="00446B9F"/>
    <w:rsid w:val="004479DC"/>
    <w:rsid w:val="00450D2A"/>
    <w:rsid w:val="00452514"/>
    <w:rsid w:val="0045361E"/>
    <w:rsid w:val="00453ACF"/>
    <w:rsid w:val="00453C62"/>
    <w:rsid w:val="00453F46"/>
    <w:rsid w:val="004543C1"/>
    <w:rsid w:val="004548AC"/>
    <w:rsid w:val="00454EB6"/>
    <w:rsid w:val="00455964"/>
    <w:rsid w:val="004564AF"/>
    <w:rsid w:val="00456E54"/>
    <w:rsid w:val="004614E9"/>
    <w:rsid w:val="00461C12"/>
    <w:rsid w:val="00461E65"/>
    <w:rsid w:val="00462A67"/>
    <w:rsid w:val="00465EE2"/>
    <w:rsid w:val="004674C8"/>
    <w:rsid w:val="0046769C"/>
    <w:rsid w:val="00467C71"/>
    <w:rsid w:val="0047041C"/>
    <w:rsid w:val="00470CA9"/>
    <w:rsid w:val="004711D1"/>
    <w:rsid w:val="004716C3"/>
    <w:rsid w:val="00471C16"/>
    <w:rsid w:val="00472478"/>
    <w:rsid w:val="00472C32"/>
    <w:rsid w:val="00473035"/>
    <w:rsid w:val="004735FA"/>
    <w:rsid w:val="00473AA5"/>
    <w:rsid w:val="0047416F"/>
    <w:rsid w:val="0047423D"/>
    <w:rsid w:val="00474E9F"/>
    <w:rsid w:val="00475737"/>
    <w:rsid w:val="004762CF"/>
    <w:rsid w:val="0047680E"/>
    <w:rsid w:val="00476DE0"/>
    <w:rsid w:val="004771DE"/>
    <w:rsid w:val="004777BA"/>
    <w:rsid w:val="00477AC8"/>
    <w:rsid w:val="004805E2"/>
    <w:rsid w:val="0048067F"/>
    <w:rsid w:val="00480720"/>
    <w:rsid w:val="004810FD"/>
    <w:rsid w:val="00481681"/>
    <w:rsid w:val="004817C3"/>
    <w:rsid w:val="00481914"/>
    <w:rsid w:val="00481D20"/>
    <w:rsid w:val="00482364"/>
    <w:rsid w:val="00482CAE"/>
    <w:rsid w:val="004841F0"/>
    <w:rsid w:val="00484247"/>
    <w:rsid w:val="00485481"/>
    <w:rsid w:val="004854A3"/>
    <w:rsid w:val="00485C5F"/>
    <w:rsid w:val="00485DA8"/>
    <w:rsid w:val="00485F94"/>
    <w:rsid w:val="004860CC"/>
    <w:rsid w:val="0048625F"/>
    <w:rsid w:val="00491F32"/>
    <w:rsid w:val="00492240"/>
    <w:rsid w:val="00492481"/>
    <w:rsid w:val="00492B1C"/>
    <w:rsid w:val="00493EEA"/>
    <w:rsid w:val="0049610A"/>
    <w:rsid w:val="0049647A"/>
    <w:rsid w:val="0049752E"/>
    <w:rsid w:val="00497B42"/>
    <w:rsid w:val="00497D03"/>
    <w:rsid w:val="004A0014"/>
    <w:rsid w:val="004A1D19"/>
    <w:rsid w:val="004A2602"/>
    <w:rsid w:val="004A264C"/>
    <w:rsid w:val="004A2681"/>
    <w:rsid w:val="004A29C9"/>
    <w:rsid w:val="004A3001"/>
    <w:rsid w:val="004A394C"/>
    <w:rsid w:val="004A4B72"/>
    <w:rsid w:val="004A65BA"/>
    <w:rsid w:val="004A684D"/>
    <w:rsid w:val="004A68B0"/>
    <w:rsid w:val="004A6B22"/>
    <w:rsid w:val="004A6C90"/>
    <w:rsid w:val="004A7074"/>
    <w:rsid w:val="004A70D2"/>
    <w:rsid w:val="004A7677"/>
    <w:rsid w:val="004B0003"/>
    <w:rsid w:val="004B16A3"/>
    <w:rsid w:val="004B21ED"/>
    <w:rsid w:val="004B24DB"/>
    <w:rsid w:val="004B3545"/>
    <w:rsid w:val="004B4FDD"/>
    <w:rsid w:val="004B5095"/>
    <w:rsid w:val="004B5281"/>
    <w:rsid w:val="004B5423"/>
    <w:rsid w:val="004B614A"/>
    <w:rsid w:val="004C00A0"/>
    <w:rsid w:val="004C01F9"/>
    <w:rsid w:val="004C028C"/>
    <w:rsid w:val="004C0E9E"/>
    <w:rsid w:val="004C17E2"/>
    <w:rsid w:val="004C243F"/>
    <w:rsid w:val="004C2766"/>
    <w:rsid w:val="004C285E"/>
    <w:rsid w:val="004C29E7"/>
    <w:rsid w:val="004C2DFD"/>
    <w:rsid w:val="004C33B1"/>
    <w:rsid w:val="004C3508"/>
    <w:rsid w:val="004C36D8"/>
    <w:rsid w:val="004C370D"/>
    <w:rsid w:val="004C3DF2"/>
    <w:rsid w:val="004C43A0"/>
    <w:rsid w:val="004C529E"/>
    <w:rsid w:val="004C5454"/>
    <w:rsid w:val="004C5F9B"/>
    <w:rsid w:val="004C743A"/>
    <w:rsid w:val="004C7ADF"/>
    <w:rsid w:val="004D07B3"/>
    <w:rsid w:val="004D109A"/>
    <w:rsid w:val="004D173F"/>
    <w:rsid w:val="004D1BE2"/>
    <w:rsid w:val="004D2347"/>
    <w:rsid w:val="004D2DD2"/>
    <w:rsid w:val="004D36C7"/>
    <w:rsid w:val="004D381F"/>
    <w:rsid w:val="004D4703"/>
    <w:rsid w:val="004D5560"/>
    <w:rsid w:val="004D5C8A"/>
    <w:rsid w:val="004D5F07"/>
    <w:rsid w:val="004E013A"/>
    <w:rsid w:val="004E0744"/>
    <w:rsid w:val="004E2698"/>
    <w:rsid w:val="004E2ED8"/>
    <w:rsid w:val="004E2F28"/>
    <w:rsid w:val="004E3191"/>
    <w:rsid w:val="004E3CCA"/>
    <w:rsid w:val="004E3E0A"/>
    <w:rsid w:val="004E3F68"/>
    <w:rsid w:val="004E44DF"/>
    <w:rsid w:val="004E5CDC"/>
    <w:rsid w:val="004E6116"/>
    <w:rsid w:val="004E6E28"/>
    <w:rsid w:val="004E70FB"/>
    <w:rsid w:val="004E76B0"/>
    <w:rsid w:val="004E7703"/>
    <w:rsid w:val="004E7C0F"/>
    <w:rsid w:val="004F10C1"/>
    <w:rsid w:val="004F1B38"/>
    <w:rsid w:val="004F426D"/>
    <w:rsid w:val="004F4B58"/>
    <w:rsid w:val="004F4D57"/>
    <w:rsid w:val="004F4E75"/>
    <w:rsid w:val="004F55BE"/>
    <w:rsid w:val="004F5667"/>
    <w:rsid w:val="004F56A4"/>
    <w:rsid w:val="004F69A8"/>
    <w:rsid w:val="004F6AC8"/>
    <w:rsid w:val="00501FA4"/>
    <w:rsid w:val="0050329A"/>
    <w:rsid w:val="00503888"/>
    <w:rsid w:val="00504034"/>
    <w:rsid w:val="00504C66"/>
    <w:rsid w:val="005051BC"/>
    <w:rsid w:val="005054A3"/>
    <w:rsid w:val="005064F5"/>
    <w:rsid w:val="005074A6"/>
    <w:rsid w:val="005077A2"/>
    <w:rsid w:val="0051030A"/>
    <w:rsid w:val="00511138"/>
    <w:rsid w:val="0051278D"/>
    <w:rsid w:val="0051287F"/>
    <w:rsid w:val="00512E7A"/>
    <w:rsid w:val="00514053"/>
    <w:rsid w:val="00515281"/>
    <w:rsid w:val="0051531C"/>
    <w:rsid w:val="00515E18"/>
    <w:rsid w:val="00516A9B"/>
    <w:rsid w:val="00516AD8"/>
    <w:rsid w:val="00517C19"/>
    <w:rsid w:val="005216BD"/>
    <w:rsid w:val="005223E0"/>
    <w:rsid w:val="005237D2"/>
    <w:rsid w:val="00523D11"/>
    <w:rsid w:val="0052479F"/>
    <w:rsid w:val="0052515D"/>
    <w:rsid w:val="005256DE"/>
    <w:rsid w:val="00525E23"/>
    <w:rsid w:val="0052639E"/>
    <w:rsid w:val="005269F0"/>
    <w:rsid w:val="00526FE9"/>
    <w:rsid w:val="00527564"/>
    <w:rsid w:val="0052779F"/>
    <w:rsid w:val="00527846"/>
    <w:rsid w:val="00527FC5"/>
    <w:rsid w:val="00530F0C"/>
    <w:rsid w:val="00531024"/>
    <w:rsid w:val="00531095"/>
    <w:rsid w:val="00531613"/>
    <w:rsid w:val="005316D5"/>
    <w:rsid w:val="00532710"/>
    <w:rsid w:val="00532D35"/>
    <w:rsid w:val="00532F00"/>
    <w:rsid w:val="005336FE"/>
    <w:rsid w:val="0053377B"/>
    <w:rsid w:val="005347E1"/>
    <w:rsid w:val="00534B10"/>
    <w:rsid w:val="00534BB4"/>
    <w:rsid w:val="00534D4F"/>
    <w:rsid w:val="0053578E"/>
    <w:rsid w:val="00540DE5"/>
    <w:rsid w:val="005415C4"/>
    <w:rsid w:val="00541BE4"/>
    <w:rsid w:val="0054256B"/>
    <w:rsid w:val="00542654"/>
    <w:rsid w:val="00542CA7"/>
    <w:rsid w:val="0054363D"/>
    <w:rsid w:val="00543A67"/>
    <w:rsid w:val="005440DF"/>
    <w:rsid w:val="00544D38"/>
    <w:rsid w:val="00546155"/>
    <w:rsid w:val="00546E00"/>
    <w:rsid w:val="00547BF1"/>
    <w:rsid w:val="005502D7"/>
    <w:rsid w:val="00550C6C"/>
    <w:rsid w:val="00551C10"/>
    <w:rsid w:val="005524EC"/>
    <w:rsid w:val="00552820"/>
    <w:rsid w:val="00552BAD"/>
    <w:rsid w:val="00553B40"/>
    <w:rsid w:val="00553E42"/>
    <w:rsid w:val="00554816"/>
    <w:rsid w:val="00555350"/>
    <w:rsid w:val="00555C5E"/>
    <w:rsid w:val="00556379"/>
    <w:rsid w:val="005602C7"/>
    <w:rsid w:val="00561CDB"/>
    <w:rsid w:val="005620E9"/>
    <w:rsid w:val="0056277A"/>
    <w:rsid w:val="00562D7C"/>
    <w:rsid w:val="00562FEF"/>
    <w:rsid w:val="00563F89"/>
    <w:rsid w:val="00564181"/>
    <w:rsid w:val="00564F98"/>
    <w:rsid w:val="00565325"/>
    <w:rsid w:val="0056745F"/>
    <w:rsid w:val="00571A9C"/>
    <w:rsid w:val="005721D4"/>
    <w:rsid w:val="005723E2"/>
    <w:rsid w:val="00572CC1"/>
    <w:rsid w:val="0057301C"/>
    <w:rsid w:val="005735E7"/>
    <w:rsid w:val="00573C79"/>
    <w:rsid w:val="005745F1"/>
    <w:rsid w:val="00574FCB"/>
    <w:rsid w:val="0057550E"/>
    <w:rsid w:val="0057579A"/>
    <w:rsid w:val="00575D7C"/>
    <w:rsid w:val="00577677"/>
    <w:rsid w:val="00580BC8"/>
    <w:rsid w:val="0058236E"/>
    <w:rsid w:val="0058284F"/>
    <w:rsid w:val="00582C71"/>
    <w:rsid w:val="005833AB"/>
    <w:rsid w:val="0058363C"/>
    <w:rsid w:val="00583B8D"/>
    <w:rsid w:val="005843BD"/>
    <w:rsid w:val="0058520F"/>
    <w:rsid w:val="005852D7"/>
    <w:rsid w:val="0058773E"/>
    <w:rsid w:val="00587788"/>
    <w:rsid w:val="00587D2B"/>
    <w:rsid w:val="00590BF1"/>
    <w:rsid w:val="005918A7"/>
    <w:rsid w:val="005930AA"/>
    <w:rsid w:val="0059365B"/>
    <w:rsid w:val="0059380A"/>
    <w:rsid w:val="00593C9A"/>
    <w:rsid w:val="00593EC8"/>
    <w:rsid w:val="0059417A"/>
    <w:rsid w:val="005955FC"/>
    <w:rsid w:val="005959E1"/>
    <w:rsid w:val="00595B4A"/>
    <w:rsid w:val="0059621A"/>
    <w:rsid w:val="00596648"/>
    <w:rsid w:val="00596B96"/>
    <w:rsid w:val="00596D3F"/>
    <w:rsid w:val="00597333"/>
    <w:rsid w:val="00597618"/>
    <w:rsid w:val="005A03D0"/>
    <w:rsid w:val="005A0602"/>
    <w:rsid w:val="005A1B15"/>
    <w:rsid w:val="005A28C0"/>
    <w:rsid w:val="005A2CFD"/>
    <w:rsid w:val="005A313D"/>
    <w:rsid w:val="005A460D"/>
    <w:rsid w:val="005A4A22"/>
    <w:rsid w:val="005A4A58"/>
    <w:rsid w:val="005A797A"/>
    <w:rsid w:val="005B0A83"/>
    <w:rsid w:val="005B18CF"/>
    <w:rsid w:val="005B1E06"/>
    <w:rsid w:val="005B219F"/>
    <w:rsid w:val="005B29F7"/>
    <w:rsid w:val="005B2D2A"/>
    <w:rsid w:val="005B4841"/>
    <w:rsid w:val="005B4DE6"/>
    <w:rsid w:val="005B5B1C"/>
    <w:rsid w:val="005B5BD2"/>
    <w:rsid w:val="005B6A74"/>
    <w:rsid w:val="005B6FCE"/>
    <w:rsid w:val="005B71F8"/>
    <w:rsid w:val="005B75AC"/>
    <w:rsid w:val="005B7ACA"/>
    <w:rsid w:val="005C0479"/>
    <w:rsid w:val="005C136C"/>
    <w:rsid w:val="005C21A7"/>
    <w:rsid w:val="005C2536"/>
    <w:rsid w:val="005C2549"/>
    <w:rsid w:val="005C2A28"/>
    <w:rsid w:val="005C2A42"/>
    <w:rsid w:val="005C2F19"/>
    <w:rsid w:val="005C3275"/>
    <w:rsid w:val="005C3B6A"/>
    <w:rsid w:val="005C4830"/>
    <w:rsid w:val="005C5411"/>
    <w:rsid w:val="005C54A8"/>
    <w:rsid w:val="005C56CC"/>
    <w:rsid w:val="005C7E18"/>
    <w:rsid w:val="005D0081"/>
    <w:rsid w:val="005D0B3D"/>
    <w:rsid w:val="005D1075"/>
    <w:rsid w:val="005D169C"/>
    <w:rsid w:val="005D18AF"/>
    <w:rsid w:val="005D18CC"/>
    <w:rsid w:val="005D1B78"/>
    <w:rsid w:val="005D2449"/>
    <w:rsid w:val="005D24A2"/>
    <w:rsid w:val="005D349A"/>
    <w:rsid w:val="005D39C9"/>
    <w:rsid w:val="005D3B7E"/>
    <w:rsid w:val="005D4223"/>
    <w:rsid w:val="005D4613"/>
    <w:rsid w:val="005D4B76"/>
    <w:rsid w:val="005D4E3E"/>
    <w:rsid w:val="005D51CC"/>
    <w:rsid w:val="005D5914"/>
    <w:rsid w:val="005D7BB1"/>
    <w:rsid w:val="005E000A"/>
    <w:rsid w:val="005E0126"/>
    <w:rsid w:val="005E07E3"/>
    <w:rsid w:val="005E0BD7"/>
    <w:rsid w:val="005E10DF"/>
    <w:rsid w:val="005E150A"/>
    <w:rsid w:val="005E201A"/>
    <w:rsid w:val="005E2C82"/>
    <w:rsid w:val="005E2D29"/>
    <w:rsid w:val="005E420D"/>
    <w:rsid w:val="005E42EE"/>
    <w:rsid w:val="005E4D4A"/>
    <w:rsid w:val="005E4FA6"/>
    <w:rsid w:val="005E56DB"/>
    <w:rsid w:val="005E57A6"/>
    <w:rsid w:val="005E64FF"/>
    <w:rsid w:val="005F1563"/>
    <w:rsid w:val="005F3733"/>
    <w:rsid w:val="005F4BAB"/>
    <w:rsid w:val="005F5132"/>
    <w:rsid w:val="005F5DBA"/>
    <w:rsid w:val="005F5FD0"/>
    <w:rsid w:val="005F6251"/>
    <w:rsid w:val="00600148"/>
    <w:rsid w:val="006012F5"/>
    <w:rsid w:val="006013C1"/>
    <w:rsid w:val="006013CF"/>
    <w:rsid w:val="00601512"/>
    <w:rsid w:val="006015C4"/>
    <w:rsid w:val="00601865"/>
    <w:rsid w:val="00601DB9"/>
    <w:rsid w:val="00603D2C"/>
    <w:rsid w:val="0060408D"/>
    <w:rsid w:val="006045ED"/>
    <w:rsid w:val="0060645D"/>
    <w:rsid w:val="00606613"/>
    <w:rsid w:val="00606C36"/>
    <w:rsid w:val="00607DA4"/>
    <w:rsid w:val="00607FBC"/>
    <w:rsid w:val="00610507"/>
    <w:rsid w:val="00610D83"/>
    <w:rsid w:val="00610E82"/>
    <w:rsid w:val="006118B8"/>
    <w:rsid w:val="006128D2"/>
    <w:rsid w:val="00613485"/>
    <w:rsid w:val="006135AF"/>
    <w:rsid w:val="00613951"/>
    <w:rsid w:val="00614412"/>
    <w:rsid w:val="00614F3B"/>
    <w:rsid w:val="006155CB"/>
    <w:rsid w:val="00615F71"/>
    <w:rsid w:val="00620FD3"/>
    <w:rsid w:val="0062116F"/>
    <w:rsid w:val="00621529"/>
    <w:rsid w:val="006215E6"/>
    <w:rsid w:val="006220C0"/>
    <w:rsid w:val="006230DA"/>
    <w:rsid w:val="00623B13"/>
    <w:rsid w:val="00623CB4"/>
    <w:rsid w:val="00623D4D"/>
    <w:rsid w:val="00623EB6"/>
    <w:rsid w:val="00624229"/>
    <w:rsid w:val="006246B0"/>
    <w:rsid w:val="00624A74"/>
    <w:rsid w:val="006258A0"/>
    <w:rsid w:val="006262BC"/>
    <w:rsid w:val="0062785A"/>
    <w:rsid w:val="00627BF9"/>
    <w:rsid w:val="006307A0"/>
    <w:rsid w:val="006307F6"/>
    <w:rsid w:val="00630AD0"/>
    <w:rsid w:val="00631328"/>
    <w:rsid w:val="00631E25"/>
    <w:rsid w:val="00632811"/>
    <w:rsid w:val="0063363D"/>
    <w:rsid w:val="00633A3E"/>
    <w:rsid w:val="006345C9"/>
    <w:rsid w:val="00634D1C"/>
    <w:rsid w:val="00634D80"/>
    <w:rsid w:val="00635B0A"/>
    <w:rsid w:val="0063707D"/>
    <w:rsid w:val="006371BE"/>
    <w:rsid w:val="00637660"/>
    <w:rsid w:val="00637B3D"/>
    <w:rsid w:val="00637D67"/>
    <w:rsid w:val="00640045"/>
    <w:rsid w:val="006409F7"/>
    <w:rsid w:val="00640A7A"/>
    <w:rsid w:val="00641000"/>
    <w:rsid w:val="00641021"/>
    <w:rsid w:val="00641211"/>
    <w:rsid w:val="0064125E"/>
    <w:rsid w:val="0064256E"/>
    <w:rsid w:val="006427DC"/>
    <w:rsid w:val="00643B85"/>
    <w:rsid w:val="00644368"/>
    <w:rsid w:val="00645B47"/>
    <w:rsid w:val="00645CDD"/>
    <w:rsid w:val="00645CE6"/>
    <w:rsid w:val="0064771B"/>
    <w:rsid w:val="006506B2"/>
    <w:rsid w:val="00650D9B"/>
    <w:rsid w:val="0065132B"/>
    <w:rsid w:val="006522EE"/>
    <w:rsid w:val="006528DE"/>
    <w:rsid w:val="006535A0"/>
    <w:rsid w:val="006543AA"/>
    <w:rsid w:val="00654FD1"/>
    <w:rsid w:val="006566F6"/>
    <w:rsid w:val="006568D5"/>
    <w:rsid w:val="00656962"/>
    <w:rsid w:val="00660FA3"/>
    <w:rsid w:val="006616A9"/>
    <w:rsid w:val="00661D4C"/>
    <w:rsid w:val="00662091"/>
    <w:rsid w:val="0066235E"/>
    <w:rsid w:val="00662CC8"/>
    <w:rsid w:val="006634C5"/>
    <w:rsid w:val="006636C7"/>
    <w:rsid w:val="00663747"/>
    <w:rsid w:val="00663CF6"/>
    <w:rsid w:val="00663F0C"/>
    <w:rsid w:val="0066492A"/>
    <w:rsid w:val="006650A7"/>
    <w:rsid w:val="006659AB"/>
    <w:rsid w:val="006668BD"/>
    <w:rsid w:val="00671283"/>
    <w:rsid w:val="006724E9"/>
    <w:rsid w:val="0067277F"/>
    <w:rsid w:val="00672D04"/>
    <w:rsid w:val="00673430"/>
    <w:rsid w:val="0067380F"/>
    <w:rsid w:val="0067442D"/>
    <w:rsid w:val="00675195"/>
    <w:rsid w:val="006752F1"/>
    <w:rsid w:val="006755EA"/>
    <w:rsid w:val="00675D59"/>
    <w:rsid w:val="00676D95"/>
    <w:rsid w:val="0067702A"/>
    <w:rsid w:val="00680797"/>
    <w:rsid w:val="006807E9"/>
    <w:rsid w:val="006810DE"/>
    <w:rsid w:val="00681232"/>
    <w:rsid w:val="006815AF"/>
    <w:rsid w:val="00681827"/>
    <w:rsid w:val="00681AF0"/>
    <w:rsid w:val="00682276"/>
    <w:rsid w:val="00682BA7"/>
    <w:rsid w:val="00683EB0"/>
    <w:rsid w:val="00684F10"/>
    <w:rsid w:val="00685729"/>
    <w:rsid w:val="00685731"/>
    <w:rsid w:val="00685B9C"/>
    <w:rsid w:val="00686114"/>
    <w:rsid w:val="00687839"/>
    <w:rsid w:val="00690A16"/>
    <w:rsid w:val="00691454"/>
    <w:rsid w:val="00691B10"/>
    <w:rsid w:val="00691D24"/>
    <w:rsid w:val="00692538"/>
    <w:rsid w:val="006933AB"/>
    <w:rsid w:val="00693BE7"/>
    <w:rsid w:val="00695356"/>
    <w:rsid w:val="00695854"/>
    <w:rsid w:val="00695B17"/>
    <w:rsid w:val="00695E1B"/>
    <w:rsid w:val="00695E52"/>
    <w:rsid w:val="006974F2"/>
    <w:rsid w:val="0069750E"/>
    <w:rsid w:val="0069765D"/>
    <w:rsid w:val="006976BF"/>
    <w:rsid w:val="00697B71"/>
    <w:rsid w:val="006A012C"/>
    <w:rsid w:val="006A0572"/>
    <w:rsid w:val="006A1524"/>
    <w:rsid w:val="006A1CBA"/>
    <w:rsid w:val="006A23ED"/>
    <w:rsid w:val="006A2DD8"/>
    <w:rsid w:val="006A36D9"/>
    <w:rsid w:val="006A4485"/>
    <w:rsid w:val="006A4A5A"/>
    <w:rsid w:val="006A5AAF"/>
    <w:rsid w:val="006A6819"/>
    <w:rsid w:val="006B0357"/>
    <w:rsid w:val="006B0A40"/>
    <w:rsid w:val="006B0C1E"/>
    <w:rsid w:val="006B31AC"/>
    <w:rsid w:val="006B4B2F"/>
    <w:rsid w:val="006B51CA"/>
    <w:rsid w:val="006B5E25"/>
    <w:rsid w:val="006B63A9"/>
    <w:rsid w:val="006B684A"/>
    <w:rsid w:val="006B69AC"/>
    <w:rsid w:val="006B6EE9"/>
    <w:rsid w:val="006B6F2C"/>
    <w:rsid w:val="006B731B"/>
    <w:rsid w:val="006B75D1"/>
    <w:rsid w:val="006B7DC0"/>
    <w:rsid w:val="006C041C"/>
    <w:rsid w:val="006C052A"/>
    <w:rsid w:val="006C16DC"/>
    <w:rsid w:val="006C1B32"/>
    <w:rsid w:val="006C2107"/>
    <w:rsid w:val="006C23BD"/>
    <w:rsid w:val="006C24F4"/>
    <w:rsid w:val="006C250F"/>
    <w:rsid w:val="006C3B6B"/>
    <w:rsid w:val="006C43BD"/>
    <w:rsid w:val="006C508D"/>
    <w:rsid w:val="006C5467"/>
    <w:rsid w:val="006C57B5"/>
    <w:rsid w:val="006C58BB"/>
    <w:rsid w:val="006C5EC2"/>
    <w:rsid w:val="006C6327"/>
    <w:rsid w:val="006C7028"/>
    <w:rsid w:val="006C75B4"/>
    <w:rsid w:val="006D051C"/>
    <w:rsid w:val="006D0971"/>
    <w:rsid w:val="006D2040"/>
    <w:rsid w:val="006D216E"/>
    <w:rsid w:val="006D2DC1"/>
    <w:rsid w:val="006D55E9"/>
    <w:rsid w:val="006D5880"/>
    <w:rsid w:val="006D5BF3"/>
    <w:rsid w:val="006D673E"/>
    <w:rsid w:val="006D7BD1"/>
    <w:rsid w:val="006E0800"/>
    <w:rsid w:val="006E0E50"/>
    <w:rsid w:val="006E1D4C"/>
    <w:rsid w:val="006E1DD1"/>
    <w:rsid w:val="006E227B"/>
    <w:rsid w:val="006E3821"/>
    <w:rsid w:val="006E3A1D"/>
    <w:rsid w:val="006E40BB"/>
    <w:rsid w:val="006E4103"/>
    <w:rsid w:val="006E4800"/>
    <w:rsid w:val="006E4A4B"/>
    <w:rsid w:val="006E56D0"/>
    <w:rsid w:val="006E6650"/>
    <w:rsid w:val="006E7848"/>
    <w:rsid w:val="006F017C"/>
    <w:rsid w:val="006F07B4"/>
    <w:rsid w:val="006F0B63"/>
    <w:rsid w:val="006F13C1"/>
    <w:rsid w:val="006F2990"/>
    <w:rsid w:val="006F3674"/>
    <w:rsid w:val="006F3F1E"/>
    <w:rsid w:val="006F4582"/>
    <w:rsid w:val="006F48C8"/>
    <w:rsid w:val="006F4E7C"/>
    <w:rsid w:val="006F50B4"/>
    <w:rsid w:val="006F51A4"/>
    <w:rsid w:val="006F55C4"/>
    <w:rsid w:val="006F59A1"/>
    <w:rsid w:val="006F5D75"/>
    <w:rsid w:val="006F5FDD"/>
    <w:rsid w:val="006F70F7"/>
    <w:rsid w:val="006F715C"/>
    <w:rsid w:val="006F78A2"/>
    <w:rsid w:val="00700106"/>
    <w:rsid w:val="0070021C"/>
    <w:rsid w:val="007002EF"/>
    <w:rsid w:val="007007EE"/>
    <w:rsid w:val="00700926"/>
    <w:rsid w:val="00701275"/>
    <w:rsid w:val="0070176F"/>
    <w:rsid w:val="007020C9"/>
    <w:rsid w:val="00702E4A"/>
    <w:rsid w:val="00703866"/>
    <w:rsid w:val="00703B1E"/>
    <w:rsid w:val="00703E80"/>
    <w:rsid w:val="00704CDC"/>
    <w:rsid w:val="00705425"/>
    <w:rsid w:val="00705AD8"/>
    <w:rsid w:val="007062B9"/>
    <w:rsid w:val="00706527"/>
    <w:rsid w:val="00706A5B"/>
    <w:rsid w:val="00707999"/>
    <w:rsid w:val="00707A53"/>
    <w:rsid w:val="00707B7C"/>
    <w:rsid w:val="00710450"/>
    <w:rsid w:val="007106A7"/>
    <w:rsid w:val="0071142F"/>
    <w:rsid w:val="00711DB9"/>
    <w:rsid w:val="00711E60"/>
    <w:rsid w:val="00712653"/>
    <w:rsid w:val="00712D22"/>
    <w:rsid w:val="0071348E"/>
    <w:rsid w:val="007135DF"/>
    <w:rsid w:val="00715AAD"/>
    <w:rsid w:val="00715E1E"/>
    <w:rsid w:val="00716B23"/>
    <w:rsid w:val="007176E0"/>
    <w:rsid w:val="00720016"/>
    <w:rsid w:val="00720670"/>
    <w:rsid w:val="007206C3"/>
    <w:rsid w:val="00720CEE"/>
    <w:rsid w:val="00721018"/>
    <w:rsid w:val="00721208"/>
    <w:rsid w:val="00721406"/>
    <w:rsid w:val="00721EDA"/>
    <w:rsid w:val="00721F92"/>
    <w:rsid w:val="007223AE"/>
    <w:rsid w:val="00722653"/>
    <w:rsid w:val="00722F14"/>
    <w:rsid w:val="00723BEA"/>
    <w:rsid w:val="00723C3C"/>
    <w:rsid w:val="00724051"/>
    <w:rsid w:val="00724713"/>
    <w:rsid w:val="00724895"/>
    <w:rsid w:val="00724A71"/>
    <w:rsid w:val="00724E50"/>
    <w:rsid w:val="007251BC"/>
    <w:rsid w:val="007252C8"/>
    <w:rsid w:val="007253CD"/>
    <w:rsid w:val="00725B87"/>
    <w:rsid w:val="0072656B"/>
    <w:rsid w:val="00726FB3"/>
    <w:rsid w:val="00727AD7"/>
    <w:rsid w:val="0073164F"/>
    <w:rsid w:val="00732353"/>
    <w:rsid w:val="007326F7"/>
    <w:rsid w:val="007334D5"/>
    <w:rsid w:val="00733736"/>
    <w:rsid w:val="00733E6B"/>
    <w:rsid w:val="007341B4"/>
    <w:rsid w:val="00734D58"/>
    <w:rsid w:val="007356B2"/>
    <w:rsid w:val="007361CA"/>
    <w:rsid w:val="00737BF9"/>
    <w:rsid w:val="00737CB6"/>
    <w:rsid w:val="00737D7D"/>
    <w:rsid w:val="00740C70"/>
    <w:rsid w:val="00740CB6"/>
    <w:rsid w:val="00740F03"/>
    <w:rsid w:val="00741DA8"/>
    <w:rsid w:val="00741E03"/>
    <w:rsid w:val="007420FB"/>
    <w:rsid w:val="007422BF"/>
    <w:rsid w:val="0074272A"/>
    <w:rsid w:val="00742FD2"/>
    <w:rsid w:val="00743514"/>
    <w:rsid w:val="00744142"/>
    <w:rsid w:val="007444A9"/>
    <w:rsid w:val="0074538F"/>
    <w:rsid w:val="007458C3"/>
    <w:rsid w:val="00745C86"/>
    <w:rsid w:val="007463D5"/>
    <w:rsid w:val="007466BF"/>
    <w:rsid w:val="00747C92"/>
    <w:rsid w:val="00747FC8"/>
    <w:rsid w:val="00750725"/>
    <w:rsid w:val="007507C0"/>
    <w:rsid w:val="007507EF"/>
    <w:rsid w:val="00750809"/>
    <w:rsid w:val="00750E4E"/>
    <w:rsid w:val="0075142C"/>
    <w:rsid w:val="007515BC"/>
    <w:rsid w:val="00751AB1"/>
    <w:rsid w:val="007531C4"/>
    <w:rsid w:val="00753289"/>
    <w:rsid w:val="00753C43"/>
    <w:rsid w:val="007546AC"/>
    <w:rsid w:val="007552D4"/>
    <w:rsid w:val="0075565C"/>
    <w:rsid w:val="00755977"/>
    <w:rsid w:val="00755988"/>
    <w:rsid w:val="0075742B"/>
    <w:rsid w:val="00757706"/>
    <w:rsid w:val="00757D27"/>
    <w:rsid w:val="00760288"/>
    <w:rsid w:val="0076037A"/>
    <w:rsid w:val="00760A22"/>
    <w:rsid w:val="00760BD9"/>
    <w:rsid w:val="00762666"/>
    <w:rsid w:val="00762925"/>
    <w:rsid w:val="00763B5E"/>
    <w:rsid w:val="00763E97"/>
    <w:rsid w:val="00764476"/>
    <w:rsid w:val="00764E4B"/>
    <w:rsid w:val="00765169"/>
    <w:rsid w:val="00765592"/>
    <w:rsid w:val="00766018"/>
    <w:rsid w:val="0076723D"/>
    <w:rsid w:val="00770268"/>
    <w:rsid w:val="007705BF"/>
    <w:rsid w:val="007709A1"/>
    <w:rsid w:val="0077183C"/>
    <w:rsid w:val="00772FF3"/>
    <w:rsid w:val="0077375F"/>
    <w:rsid w:val="00774986"/>
    <w:rsid w:val="007779FA"/>
    <w:rsid w:val="00780EC2"/>
    <w:rsid w:val="00780FEE"/>
    <w:rsid w:val="00781749"/>
    <w:rsid w:val="00781EC9"/>
    <w:rsid w:val="00781ED5"/>
    <w:rsid w:val="00781F1F"/>
    <w:rsid w:val="00781FAB"/>
    <w:rsid w:val="00782164"/>
    <w:rsid w:val="007840EC"/>
    <w:rsid w:val="00784133"/>
    <w:rsid w:val="00784277"/>
    <w:rsid w:val="00784E39"/>
    <w:rsid w:val="007864CE"/>
    <w:rsid w:val="00786866"/>
    <w:rsid w:val="00786A68"/>
    <w:rsid w:val="007902C8"/>
    <w:rsid w:val="00790C47"/>
    <w:rsid w:val="00790C8D"/>
    <w:rsid w:val="00791A36"/>
    <w:rsid w:val="00792157"/>
    <w:rsid w:val="007932FB"/>
    <w:rsid w:val="00793493"/>
    <w:rsid w:val="007947DF"/>
    <w:rsid w:val="00794D44"/>
    <w:rsid w:val="00795858"/>
    <w:rsid w:val="00795F13"/>
    <w:rsid w:val="007963B0"/>
    <w:rsid w:val="00796758"/>
    <w:rsid w:val="007968BF"/>
    <w:rsid w:val="00796FB0"/>
    <w:rsid w:val="0079736C"/>
    <w:rsid w:val="00797944"/>
    <w:rsid w:val="007A0387"/>
    <w:rsid w:val="007A039D"/>
    <w:rsid w:val="007A087D"/>
    <w:rsid w:val="007A09EC"/>
    <w:rsid w:val="007A3E38"/>
    <w:rsid w:val="007A3F3C"/>
    <w:rsid w:val="007A4B90"/>
    <w:rsid w:val="007A640A"/>
    <w:rsid w:val="007A6652"/>
    <w:rsid w:val="007A7894"/>
    <w:rsid w:val="007B0A0B"/>
    <w:rsid w:val="007B1040"/>
    <w:rsid w:val="007B1FAB"/>
    <w:rsid w:val="007B2285"/>
    <w:rsid w:val="007B3273"/>
    <w:rsid w:val="007B3C53"/>
    <w:rsid w:val="007B3F60"/>
    <w:rsid w:val="007B4622"/>
    <w:rsid w:val="007B55A6"/>
    <w:rsid w:val="007B58C7"/>
    <w:rsid w:val="007B59EC"/>
    <w:rsid w:val="007B72EC"/>
    <w:rsid w:val="007C03D0"/>
    <w:rsid w:val="007C045E"/>
    <w:rsid w:val="007C0E91"/>
    <w:rsid w:val="007C105E"/>
    <w:rsid w:val="007C1244"/>
    <w:rsid w:val="007C17A1"/>
    <w:rsid w:val="007C203E"/>
    <w:rsid w:val="007C2683"/>
    <w:rsid w:val="007C2936"/>
    <w:rsid w:val="007C30A7"/>
    <w:rsid w:val="007C464E"/>
    <w:rsid w:val="007C5240"/>
    <w:rsid w:val="007C570E"/>
    <w:rsid w:val="007C5E88"/>
    <w:rsid w:val="007C6183"/>
    <w:rsid w:val="007C6531"/>
    <w:rsid w:val="007C6E1B"/>
    <w:rsid w:val="007C7FA4"/>
    <w:rsid w:val="007D0375"/>
    <w:rsid w:val="007D06BC"/>
    <w:rsid w:val="007D13DC"/>
    <w:rsid w:val="007D204B"/>
    <w:rsid w:val="007D265D"/>
    <w:rsid w:val="007D2788"/>
    <w:rsid w:val="007D2B5A"/>
    <w:rsid w:val="007D2EED"/>
    <w:rsid w:val="007D33A1"/>
    <w:rsid w:val="007D377C"/>
    <w:rsid w:val="007D3F4D"/>
    <w:rsid w:val="007D54AF"/>
    <w:rsid w:val="007D5517"/>
    <w:rsid w:val="007D5959"/>
    <w:rsid w:val="007D5A6D"/>
    <w:rsid w:val="007D6042"/>
    <w:rsid w:val="007D63A1"/>
    <w:rsid w:val="007D6B8C"/>
    <w:rsid w:val="007E058C"/>
    <w:rsid w:val="007E07B6"/>
    <w:rsid w:val="007E0B93"/>
    <w:rsid w:val="007E1186"/>
    <w:rsid w:val="007E1214"/>
    <w:rsid w:val="007E16EE"/>
    <w:rsid w:val="007E193E"/>
    <w:rsid w:val="007E241B"/>
    <w:rsid w:val="007E2990"/>
    <w:rsid w:val="007E42F6"/>
    <w:rsid w:val="007E4A05"/>
    <w:rsid w:val="007E54E4"/>
    <w:rsid w:val="007E5EE4"/>
    <w:rsid w:val="007E61D0"/>
    <w:rsid w:val="007E68C9"/>
    <w:rsid w:val="007E7F66"/>
    <w:rsid w:val="007F0749"/>
    <w:rsid w:val="007F0C7A"/>
    <w:rsid w:val="007F15D1"/>
    <w:rsid w:val="007F3015"/>
    <w:rsid w:val="007F31EF"/>
    <w:rsid w:val="007F43B5"/>
    <w:rsid w:val="007F4486"/>
    <w:rsid w:val="007F44A9"/>
    <w:rsid w:val="007F61E0"/>
    <w:rsid w:val="007F6A71"/>
    <w:rsid w:val="007F6F4C"/>
    <w:rsid w:val="007F7409"/>
    <w:rsid w:val="008007A1"/>
    <w:rsid w:val="008007A4"/>
    <w:rsid w:val="0080086F"/>
    <w:rsid w:val="008014A0"/>
    <w:rsid w:val="00801B02"/>
    <w:rsid w:val="00802C10"/>
    <w:rsid w:val="00802FD8"/>
    <w:rsid w:val="00803131"/>
    <w:rsid w:val="00803331"/>
    <w:rsid w:val="00803941"/>
    <w:rsid w:val="00803AFE"/>
    <w:rsid w:val="00803EFF"/>
    <w:rsid w:val="00804BA8"/>
    <w:rsid w:val="00804BB0"/>
    <w:rsid w:val="00804DA6"/>
    <w:rsid w:val="00805479"/>
    <w:rsid w:val="008057FE"/>
    <w:rsid w:val="0080626B"/>
    <w:rsid w:val="00806DAC"/>
    <w:rsid w:val="008070ED"/>
    <w:rsid w:val="008071DE"/>
    <w:rsid w:val="0080762C"/>
    <w:rsid w:val="008078AA"/>
    <w:rsid w:val="0081005E"/>
    <w:rsid w:val="0081103D"/>
    <w:rsid w:val="0081168A"/>
    <w:rsid w:val="008129EC"/>
    <w:rsid w:val="00812A15"/>
    <w:rsid w:val="008130E5"/>
    <w:rsid w:val="00813257"/>
    <w:rsid w:val="008133AC"/>
    <w:rsid w:val="008136B5"/>
    <w:rsid w:val="00813893"/>
    <w:rsid w:val="00814211"/>
    <w:rsid w:val="00814526"/>
    <w:rsid w:val="008169A3"/>
    <w:rsid w:val="00816E63"/>
    <w:rsid w:val="008170A5"/>
    <w:rsid w:val="00817A14"/>
    <w:rsid w:val="00817BFE"/>
    <w:rsid w:val="00817DB6"/>
    <w:rsid w:val="00817F2A"/>
    <w:rsid w:val="0082035B"/>
    <w:rsid w:val="00820689"/>
    <w:rsid w:val="0082158C"/>
    <w:rsid w:val="008219F3"/>
    <w:rsid w:val="008221C3"/>
    <w:rsid w:val="00822A2A"/>
    <w:rsid w:val="00823137"/>
    <w:rsid w:val="00823145"/>
    <w:rsid w:val="00823157"/>
    <w:rsid w:val="008232FA"/>
    <w:rsid w:val="008236EB"/>
    <w:rsid w:val="00823AFA"/>
    <w:rsid w:val="00824832"/>
    <w:rsid w:val="008256FE"/>
    <w:rsid w:val="0082606F"/>
    <w:rsid w:val="008268CF"/>
    <w:rsid w:val="00827123"/>
    <w:rsid w:val="0082775C"/>
    <w:rsid w:val="00827AC4"/>
    <w:rsid w:val="00830772"/>
    <w:rsid w:val="00831C53"/>
    <w:rsid w:val="00831E79"/>
    <w:rsid w:val="00832387"/>
    <w:rsid w:val="008337B1"/>
    <w:rsid w:val="00833ABA"/>
    <w:rsid w:val="00834DF5"/>
    <w:rsid w:val="00835591"/>
    <w:rsid w:val="00835648"/>
    <w:rsid w:val="008358F5"/>
    <w:rsid w:val="008359BA"/>
    <w:rsid w:val="00835CD2"/>
    <w:rsid w:val="00835DC0"/>
    <w:rsid w:val="00836A50"/>
    <w:rsid w:val="00840D07"/>
    <w:rsid w:val="00840EAE"/>
    <w:rsid w:val="00841AEC"/>
    <w:rsid w:val="00841D87"/>
    <w:rsid w:val="0084216C"/>
    <w:rsid w:val="008422DA"/>
    <w:rsid w:val="00843667"/>
    <w:rsid w:val="00843863"/>
    <w:rsid w:val="008442ED"/>
    <w:rsid w:val="00844356"/>
    <w:rsid w:val="008445E9"/>
    <w:rsid w:val="008445EE"/>
    <w:rsid w:val="00845759"/>
    <w:rsid w:val="0084640F"/>
    <w:rsid w:val="00846806"/>
    <w:rsid w:val="008473DD"/>
    <w:rsid w:val="0084779F"/>
    <w:rsid w:val="008478BE"/>
    <w:rsid w:val="0085086E"/>
    <w:rsid w:val="00850F66"/>
    <w:rsid w:val="008510CA"/>
    <w:rsid w:val="00851164"/>
    <w:rsid w:val="00852218"/>
    <w:rsid w:val="008523D7"/>
    <w:rsid w:val="00852BE1"/>
    <w:rsid w:val="00852E69"/>
    <w:rsid w:val="00853AE8"/>
    <w:rsid w:val="0085509A"/>
    <w:rsid w:val="008550D0"/>
    <w:rsid w:val="00855159"/>
    <w:rsid w:val="008551E8"/>
    <w:rsid w:val="00856585"/>
    <w:rsid w:val="00856E0D"/>
    <w:rsid w:val="00856F71"/>
    <w:rsid w:val="008574F0"/>
    <w:rsid w:val="00860318"/>
    <w:rsid w:val="008607F9"/>
    <w:rsid w:val="0086093C"/>
    <w:rsid w:val="00861C6E"/>
    <w:rsid w:val="00861DEA"/>
    <w:rsid w:val="00863159"/>
    <w:rsid w:val="00863832"/>
    <w:rsid w:val="00863E37"/>
    <w:rsid w:val="008641B4"/>
    <w:rsid w:val="00864846"/>
    <w:rsid w:val="00865775"/>
    <w:rsid w:val="00865E7D"/>
    <w:rsid w:val="00866D53"/>
    <w:rsid w:val="00866E9B"/>
    <w:rsid w:val="00866EA6"/>
    <w:rsid w:val="00866F9D"/>
    <w:rsid w:val="00867533"/>
    <w:rsid w:val="00867F83"/>
    <w:rsid w:val="0087054B"/>
    <w:rsid w:val="00870597"/>
    <w:rsid w:val="0087064D"/>
    <w:rsid w:val="008709E8"/>
    <w:rsid w:val="00870D20"/>
    <w:rsid w:val="0087136A"/>
    <w:rsid w:val="00871D91"/>
    <w:rsid w:val="00872445"/>
    <w:rsid w:val="008742CD"/>
    <w:rsid w:val="00874961"/>
    <w:rsid w:val="00874CD6"/>
    <w:rsid w:val="00874D76"/>
    <w:rsid w:val="008759C9"/>
    <w:rsid w:val="00876A81"/>
    <w:rsid w:val="00876D50"/>
    <w:rsid w:val="00877082"/>
    <w:rsid w:val="0088027E"/>
    <w:rsid w:val="00881989"/>
    <w:rsid w:val="00881B91"/>
    <w:rsid w:val="00881D01"/>
    <w:rsid w:val="00881D38"/>
    <w:rsid w:val="00881D50"/>
    <w:rsid w:val="00881E83"/>
    <w:rsid w:val="00881E9F"/>
    <w:rsid w:val="008820C5"/>
    <w:rsid w:val="00883153"/>
    <w:rsid w:val="00887D1F"/>
    <w:rsid w:val="00887FB3"/>
    <w:rsid w:val="00893F3C"/>
    <w:rsid w:val="0089452C"/>
    <w:rsid w:val="0089488D"/>
    <w:rsid w:val="00894D60"/>
    <w:rsid w:val="00895895"/>
    <w:rsid w:val="008960D2"/>
    <w:rsid w:val="00896B11"/>
    <w:rsid w:val="0089732F"/>
    <w:rsid w:val="008A1901"/>
    <w:rsid w:val="008A2C4F"/>
    <w:rsid w:val="008A2ED0"/>
    <w:rsid w:val="008A2FF6"/>
    <w:rsid w:val="008A386F"/>
    <w:rsid w:val="008A3A65"/>
    <w:rsid w:val="008A3DB5"/>
    <w:rsid w:val="008A4170"/>
    <w:rsid w:val="008A4243"/>
    <w:rsid w:val="008A5357"/>
    <w:rsid w:val="008A6BA3"/>
    <w:rsid w:val="008A7A56"/>
    <w:rsid w:val="008A7B1C"/>
    <w:rsid w:val="008A7F6C"/>
    <w:rsid w:val="008B085D"/>
    <w:rsid w:val="008B15D5"/>
    <w:rsid w:val="008B1C61"/>
    <w:rsid w:val="008B2689"/>
    <w:rsid w:val="008B2E62"/>
    <w:rsid w:val="008B3E41"/>
    <w:rsid w:val="008B4B95"/>
    <w:rsid w:val="008B55B6"/>
    <w:rsid w:val="008B5FFA"/>
    <w:rsid w:val="008B66AD"/>
    <w:rsid w:val="008B6A13"/>
    <w:rsid w:val="008B6B24"/>
    <w:rsid w:val="008B6D4A"/>
    <w:rsid w:val="008B75B7"/>
    <w:rsid w:val="008B7817"/>
    <w:rsid w:val="008B7B17"/>
    <w:rsid w:val="008C0432"/>
    <w:rsid w:val="008C0DD0"/>
    <w:rsid w:val="008C0FF3"/>
    <w:rsid w:val="008C144F"/>
    <w:rsid w:val="008C153B"/>
    <w:rsid w:val="008C1F8A"/>
    <w:rsid w:val="008C278F"/>
    <w:rsid w:val="008C329B"/>
    <w:rsid w:val="008C4B54"/>
    <w:rsid w:val="008C4EF8"/>
    <w:rsid w:val="008C5762"/>
    <w:rsid w:val="008C5DB8"/>
    <w:rsid w:val="008C7A05"/>
    <w:rsid w:val="008D0BFC"/>
    <w:rsid w:val="008D1C2C"/>
    <w:rsid w:val="008D1EE2"/>
    <w:rsid w:val="008D205B"/>
    <w:rsid w:val="008D232D"/>
    <w:rsid w:val="008D25AB"/>
    <w:rsid w:val="008D2C0F"/>
    <w:rsid w:val="008D3010"/>
    <w:rsid w:val="008D46E1"/>
    <w:rsid w:val="008D5444"/>
    <w:rsid w:val="008D6022"/>
    <w:rsid w:val="008D6B50"/>
    <w:rsid w:val="008D6B53"/>
    <w:rsid w:val="008E0102"/>
    <w:rsid w:val="008E0815"/>
    <w:rsid w:val="008E11EE"/>
    <w:rsid w:val="008E16BA"/>
    <w:rsid w:val="008E20CA"/>
    <w:rsid w:val="008E210D"/>
    <w:rsid w:val="008E347D"/>
    <w:rsid w:val="008E371E"/>
    <w:rsid w:val="008E429E"/>
    <w:rsid w:val="008E42FF"/>
    <w:rsid w:val="008E4852"/>
    <w:rsid w:val="008E48F1"/>
    <w:rsid w:val="008E535F"/>
    <w:rsid w:val="008E5A85"/>
    <w:rsid w:val="008E5B8F"/>
    <w:rsid w:val="008E5C21"/>
    <w:rsid w:val="008E5E8F"/>
    <w:rsid w:val="008E6D36"/>
    <w:rsid w:val="008E70A1"/>
    <w:rsid w:val="008E7FB4"/>
    <w:rsid w:val="008F0450"/>
    <w:rsid w:val="008F06BF"/>
    <w:rsid w:val="008F0E1B"/>
    <w:rsid w:val="008F0E4F"/>
    <w:rsid w:val="008F0F5B"/>
    <w:rsid w:val="008F1C34"/>
    <w:rsid w:val="008F327A"/>
    <w:rsid w:val="008F3328"/>
    <w:rsid w:val="008F5046"/>
    <w:rsid w:val="008F65D7"/>
    <w:rsid w:val="008F6AD6"/>
    <w:rsid w:val="008F7769"/>
    <w:rsid w:val="008F7FF4"/>
    <w:rsid w:val="009005F2"/>
    <w:rsid w:val="00900EF0"/>
    <w:rsid w:val="00901910"/>
    <w:rsid w:val="00901A5D"/>
    <w:rsid w:val="00902322"/>
    <w:rsid w:val="00903323"/>
    <w:rsid w:val="00903D5F"/>
    <w:rsid w:val="009046F5"/>
    <w:rsid w:val="009059D3"/>
    <w:rsid w:val="00905B76"/>
    <w:rsid w:val="009100BB"/>
    <w:rsid w:val="00910A48"/>
    <w:rsid w:val="00912423"/>
    <w:rsid w:val="00912720"/>
    <w:rsid w:val="009127CE"/>
    <w:rsid w:val="00913750"/>
    <w:rsid w:val="009139D8"/>
    <w:rsid w:val="00913ABF"/>
    <w:rsid w:val="00915FEA"/>
    <w:rsid w:val="009160F0"/>
    <w:rsid w:val="00917D3B"/>
    <w:rsid w:val="00920525"/>
    <w:rsid w:val="009209B9"/>
    <w:rsid w:val="009216C3"/>
    <w:rsid w:val="00921C68"/>
    <w:rsid w:val="00921F3E"/>
    <w:rsid w:val="0092205D"/>
    <w:rsid w:val="009220F6"/>
    <w:rsid w:val="00922466"/>
    <w:rsid w:val="00922B5D"/>
    <w:rsid w:val="0092346D"/>
    <w:rsid w:val="009244B7"/>
    <w:rsid w:val="009249A1"/>
    <w:rsid w:val="009250ED"/>
    <w:rsid w:val="00925109"/>
    <w:rsid w:val="00925C05"/>
    <w:rsid w:val="00926058"/>
    <w:rsid w:val="00926426"/>
    <w:rsid w:val="0092685A"/>
    <w:rsid w:val="00926F50"/>
    <w:rsid w:val="009279E6"/>
    <w:rsid w:val="00930179"/>
    <w:rsid w:val="00930AE0"/>
    <w:rsid w:val="00930EAD"/>
    <w:rsid w:val="009313DF"/>
    <w:rsid w:val="00932FB0"/>
    <w:rsid w:val="009334B2"/>
    <w:rsid w:val="00933BEE"/>
    <w:rsid w:val="00934076"/>
    <w:rsid w:val="009349FD"/>
    <w:rsid w:val="009352B5"/>
    <w:rsid w:val="009364C3"/>
    <w:rsid w:val="00936BC9"/>
    <w:rsid w:val="00937E50"/>
    <w:rsid w:val="00937FEF"/>
    <w:rsid w:val="009409B7"/>
    <w:rsid w:val="0094173B"/>
    <w:rsid w:val="00942423"/>
    <w:rsid w:val="009424B0"/>
    <w:rsid w:val="00944CDD"/>
    <w:rsid w:val="00945035"/>
    <w:rsid w:val="0094531B"/>
    <w:rsid w:val="00945DE6"/>
    <w:rsid w:val="00945F72"/>
    <w:rsid w:val="0095042B"/>
    <w:rsid w:val="0095073F"/>
    <w:rsid w:val="009509E1"/>
    <w:rsid w:val="0095194C"/>
    <w:rsid w:val="00951DE8"/>
    <w:rsid w:val="009527E4"/>
    <w:rsid w:val="00953FE3"/>
    <w:rsid w:val="009548FD"/>
    <w:rsid w:val="00954D3E"/>
    <w:rsid w:val="00955E98"/>
    <w:rsid w:val="00955FCD"/>
    <w:rsid w:val="009571CD"/>
    <w:rsid w:val="00957CC3"/>
    <w:rsid w:val="00957F68"/>
    <w:rsid w:val="00960137"/>
    <w:rsid w:val="0096030A"/>
    <w:rsid w:val="00960559"/>
    <w:rsid w:val="009612D7"/>
    <w:rsid w:val="00961CB1"/>
    <w:rsid w:val="00961CB4"/>
    <w:rsid w:val="00961D30"/>
    <w:rsid w:val="00961E02"/>
    <w:rsid w:val="00961F8C"/>
    <w:rsid w:val="00964018"/>
    <w:rsid w:val="009642D1"/>
    <w:rsid w:val="00964DBA"/>
    <w:rsid w:val="00965500"/>
    <w:rsid w:val="009662E2"/>
    <w:rsid w:val="009662F4"/>
    <w:rsid w:val="00966ACD"/>
    <w:rsid w:val="00966D46"/>
    <w:rsid w:val="00967C7D"/>
    <w:rsid w:val="00970B4E"/>
    <w:rsid w:val="00970B61"/>
    <w:rsid w:val="009711C2"/>
    <w:rsid w:val="00971EAD"/>
    <w:rsid w:val="00973216"/>
    <w:rsid w:val="0097369B"/>
    <w:rsid w:val="009738E5"/>
    <w:rsid w:val="009743CF"/>
    <w:rsid w:val="009746C1"/>
    <w:rsid w:val="0097508A"/>
    <w:rsid w:val="00975237"/>
    <w:rsid w:val="009754E5"/>
    <w:rsid w:val="0097560B"/>
    <w:rsid w:val="0097614F"/>
    <w:rsid w:val="0097615D"/>
    <w:rsid w:val="009763F0"/>
    <w:rsid w:val="0098018A"/>
    <w:rsid w:val="00980842"/>
    <w:rsid w:val="0098128D"/>
    <w:rsid w:val="00981D79"/>
    <w:rsid w:val="00982E26"/>
    <w:rsid w:val="0098452A"/>
    <w:rsid w:val="0098508E"/>
    <w:rsid w:val="00985B9B"/>
    <w:rsid w:val="00985EB2"/>
    <w:rsid w:val="009864EE"/>
    <w:rsid w:val="00986892"/>
    <w:rsid w:val="00986F15"/>
    <w:rsid w:val="0099008B"/>
    <w:rsid w:val="009900D5"/>
    <w:rsid w:val="00990CAC"/>
    <w:rsid w:val="00990D29"/>
    <w:rsid w:val="00990D52"/>
    <w:rsid w:val="00990FDF"/>
    <w:rsid w:val="009910C9"/>
    <w:rsid w:val="009913FE"/>
    <w:rsid w:val="009918A8"/>
    <w:rsid w:val="00991BAC"/>
    <w:rsid w:val="00991CF7"/>
    <w:rsid w:val="00991F87"/>
    <w:rsid w:val="009948D9"/>
    <w:rsid w:val="00994EFE"/>
    <w:rsid w:val="00995237"/>
    <w:rsid w:val="009953F1"/>
    <w:rsid w:val="00995DB0"/>
    <w:rsid w:val="00995DE9"/>
    <w:rsid w:val="00996215"/>
    <w:rsid w:val="00997C4E"/>
    <w:rsid w:val="00997D76"/>
    <w:rsid w:val="00997F70"/>
    <w:rsid w:val="009A08C4"/>
    <w:rsid w:val="009A17AB"/>
    <w:rsid w:val="009A1FFE"/>
    <w:rsid w:val="009A2FBA"/>
    <w:rsid w:val="009A3338"/>
    <w:rsid w:val="009A34F1"/>
    <w:rsid w:val="009A48FB"/>
    <w:rsid w:val="009A629D"/>
    <w:rsid w:val="009A67D2"/>
    <w:rsid w:val="009A68DC"/>
    <w:rsid w:val="009A6905"/>
    <w:rsid w:val="009B11BE"/>
    <w:rsid w:val="009B20AA"/>
    <w:rsid w:val="009B2581"/>
    <w:rsid w:val="009B2CEB"/>
    <w:rsid w:val="009B2F9B"/>
    <w:rsid w:val="009B3030"/>
    <w:rsid w:val="009B4357"/>
    <w:rsid w:val="009B449D"/>
    <w:rsid w:val="009B464D"/>
    <w:rsid w:val="009B4B70"/>
    <w:rsid w:val="009B5B58"/>
    <w:rsid w:val="009B5C50"/>
    <w:rsid w:val="009B5F54"/>
    <w:rsid w:val="009B624F"/>
    <w:rsid w:val="009B6324"/>
    <w:rsid w:val="009B66B0"/>
    <w:rsid w:val="009B6C78"/>
    <w:rsid w:val="009B6E9E"/>
    <w:rsid w:val="009B6F11"/>
    <w:rsid w:val="009B7800"/>
    <w:rsid w:val="009C0BE8"/>
    <w:rsid w:val="009C1022"/>
    <w:rsid w:val="009C188A"/>
    <w:rsid w:val="009C1DE7"/>
    <w:rsid w:val="009C2ED0"/>
    <w:rsid w:val="009C326C"/>
    <w:rsid w:val="009C390D"/>
    <w:rsid w:val="009C3A3A"/>
    <w:rsid w:val="009C43B8"/>
    <w:rsid w:val="009C4E3F"/>
    <w:rsid w:val="009C63C4"/>
    <w:rsid w:val="009C6E5A"/>
    <w:rsid w:val="009C772C"/>
    <w:rsid w:val="009D0E79"/>
    <w:rsid w:val="009D2468"/>
    <w:rsid w:val="009D2E85"/>
    <w:rsid w:val="009D37F4"/>
    <w:rsid w:val="009D3DF0"/>
    <w:rsid w:val="009D429D"/>
    <w:rsid w:val="009D42CB"/>
    <w:rsid w:val="009D4633"/>
    <w:rsid w:val="009D6A83"/>
    <w:rsid w:val="009D6DC6"/>
    <w:rsid w:val="009D767E"/>
    <w:rsid w:val="009D77C8"/>
    <w:rsid w:val="009D7E98"/>
    <w:rsid w:val="009E0795"/>
    <w:rsid w:val="009E0998"/>
    <w:rsid w:val="009E0F67"/>
    <w:rsid w:val="009E122C"/>
    <w:rsid w:val="009E13EF"/>
    <w:rsid w:val="009E1926"/>
    <w:rsid w:val="009E19C5"/>
    <w:rsid w:val="009E266F"/>
    <w:rsid w:val="009E307D"/>
    <w:rsid w:val="009E3C69"/>
    <w:rsid w:val="009E5E18"/>
    <w:rsid w:val="009E68AC"/>
    <w:rsid w:val="009E7B38"/>
    <w:rsid w:val="009F06DB"/>
    <w:rsid w:val="009F0A62"/>
    <w:rsid w:val="009F1647"/>
    <w:rsid w:val="009F1896"/>
    <w:rsid w:val="009F322C"/>
    <w:rsid w:val="009F340B"/>
    <w:rsid w:val="009F3632"/>
    <w:rsid w:val="009F4444"/>
    <w:rsid w:val="009F468E"/>
    <w:rsid w:val="009F4931"/>
    <w:rsid w:val="009F5276"/>
    <w:rsid w:val="009F548E"/>
    <w:rsid w:val="009F5E69"/>
    <w:rsid w:val="009F71F2"/>
    <w:rsid w:val="00A00561"/>
    <w:rsid w:val="00A00953"/>
    <w:rsid w:val="00A009DD"/>
    <w:rsid w:val="00A01026"/>
    <w:rsid w:val="00A015BC"/>
    <w:rsid w:val="00A01C97"/>
    <w:rsid w:val="00A02C17"/>
    <w:rsid w:val="00A02CAC"/>
    <w:rsid w:val="00A02CDB"/>
    <w:rsid w:val="00A02D61"/>
    <w:rsid w:val="00A03605"/>
    <w:rsid w:val="00A04329"/>
    <w:rsid w:val="00A043AC"/>
    <w:rsid w:val="00A0462E"/>
    <w:rsid w:val="00A04D51"/>
    <w:rsid w:val="00A06468"/>
    <w:rsid w:val="00A06B81"/>
    <w:rsid w:val="00A06D3E"/>
    <w:rsid w:val="00A10834"/>
    <w:rsid w:val="00A11808"/>
    <w:rsid w:val="00A11814"/>
    <w:rsid w:val="00A1212C"/>
    <w:rsid w:val="00A124EA"/>
    <w:rsid w:val="00A12A8C"/>
    <w:rsid w:val="00A12FE7"/>
    <w:rsid w:val="00A13EA9"/>
    <w:rsid w:val="00A143A8"/>
    <w:rsid w:val="00A14584"/>
    <w:rsid w:val="00A1459A"/>
    <w:rsid w:val="00A14E36"/>
    <w:rsid w:val="00A14F63"/>
    <w:rsid w:val="00A151BD"/>
    <w:rsid w:val="00A153B3"/>
    <w:rsid w:val="00A15D33"/>
    <w:rsid w:val="00A16DC0"/>
    <w:rsid w:val="00A17069"/>
    <w:rsid w:val="00A17C94"/>
    <w:rsid w:val="00A20E8C"/>
    <w:rsid w:val="00A21637"/>
    <w:rsid w:val="00A21920"/>
    <w:rsid w:val="00A229EA"/>
    <w:rsid w:val="00A232AC"/>
    <w:rsid w:val="00A23A45"/>
    <w:rsid w:val="00A245C5"/>
    <w:rsid w:val="00A246CE"/>
    <w:rsid w:val="00A25104"/>
    <w:rsid w:val="00A25505"/>
    <w:rsid w:val="00A25837"/>
    <w:rsid w:val="00A264FD"/>
    <w:rsid w:val="00A26BC2"/>
    <w:rsid w:val="00A26CE9"/>
    <w:rsid w:val="00A2744F"/>
    <w:rsid w:val="00A27ABB"/>
    <w:rsid w:val="00A27C0B"/>
    <w:rsid w:val="00A27C50"/>
    <w:rsid w:val="00A27F4C"/>
    <w:rsid w:val="00A27F6C"/>
    <w:rsid w:val="00A30563"/>
    <w:rsid w:val="00A308BF"/>
    <w:rsid w:val="00A30F8F"/>
    <w:rsid w:val="00A320B0"/>
    <w:rsid w:val="00A32659"/>
    <w:rsid w:val="00A32946"/>
    <w:rsid w:val="00A3308A"/>
    <w:rsid w:val="00A330F3"/>
    <w:rsid w:val="00A335B1"/>
    <w:rsid w:val="00A33600"/>
    <w:rsid w:val="00A336E2"/>
    <w:rsid w:val="00A33D4A"/>
    <w:rsid w:val="00A34317"/>
    <w:rsid w:val="00A350F8"/>
    <w:rsid w:val="00A351AF"/>
    <w:rsid w:val="00A35616"/>
    <w:rsid w:val="00A35CFE"/>
    <w:rsid w:val="00A36A64"/>
    <w:rsid w:val="00A37610"/>
    <w:rsid w:val="00A40EE5"/>
    <w:rsid w:val="00A413B7"/>
    <w:rsid w:val="00A41621"/>
    <w:rsid w:val="00A4195D"/>
    <w:rsid w:val="00A41E9C"/>
    <w:rsid w:val="00A446E0"/>
    <w:rsid w:val="00A44D91"/>
    <w:rsid w:val="00A44FD8"/>
    <w:rsid w:val="00A4622C"/>
    <w:rsid w:val="00A4698C"/>
    <w:rsid w:val="00A46AEC"/>
    <w:rsid w:val="00A47071"/>
    <w:rsid w:val="00A47554"/>
    <w:rsid w:val="00A47BDA"/>
    <w:rsid w:val="00A50777"/>
    <w:rsid w:val="00A5189E"/>
    <w:rsid w:val="00A52007"/>
    <w:rsid w:val="00A52470"/>
    <w:rsid w:val="00A5255B"/>
    <w:rsid w:val="00A52F03"/>
    <w:rsid w:val="00A53227"/>
    <w:rsid w:val="00A53D56"/>
    <w:rsid w:val="00A54573"/>
    <w:rsid w:val="00A548E5"/>
    <w:rsid w:val="00A552A8"/>
    <w:rsid w:val="00A5566B"/>
    <w:rsid w:val="00A559DB"/>
    <w:rsid w:val="00A56D9B"/>
    <w:rsid w:val="00A57253"/>
    <w:rsid w:val="00A57DDA"/>
    <w:rsid w:val="00A60619"/>
    <w:rsid w:val="00A60641"/>
    <w:rsid w:val="00A6189A"/>
    <w:rsid w:val="00A61FEA"/>
    <w:rsid w:val="00A62104"/>
    <w:rsid w:val="00A62565"/>
    <w:rsid w:val="00A62ED1"/>
    <w:rsid w:val="00A633A2"/>
    <w:rsid w:val="00A63511"/>
    <w:rsid w:val="00A63EC1"/>
    <w:rsid w:val="00A6482D"/>
    <w:rsid w:val="00A64842"/>
    <w:rsid w:val="00A651CC"/>
    <w:rsid w:val="00A65BC5"/>
    <w:rsid w:val="00A65F3E"/>
    <w:rsid w:val="00A66079"/>
    <w:rsid w:val="00A66158"/>
    <w:rsid w:val="00A6724E"/>
    <w:rsid w:val="00A6727B"/>
    <w:rsid w:val="00A677AD"/>
    <w:rsid w:val="00A67AF9"/>
    <w:rsid w:val="00A70036"/>
    <w:rsid w:val="00A70FCB"/>
    <w:rsid w:val="00A71079"/>
    <w:rsid w:val="00A710EC"/>
    <w:rsid w:val="00A741D7"/>
    <w:rsid w:val="00A74594"/>
    <w:rsid w:val="00A748BF"/>
    <w:rsid w:val="00A74D4E"/>
    <w:rsid w:val="00A756CD"/>
    <w:rsid w:val="00A75951"/>
    <w:rsid w:val="00A75CB6"/>
    <w:rsid w:val="00A76798"/>
    <w:rsid w:val="00A77401"/>
    <w:rsid w:val="00A7769C"/>
    <w:rsid w:val="00A8191B"/>
    <w:rsid w:val="00A81EC0"/>
    <w:rsid w:val="00A82162"/>
    <w:rsid w:val="00A82262"/>
    <w:rsid w:val="00A8323D"/>
    <w:rsid w:val="00A838F6"/>
    <w:rsid w:val="00A83990"/>
    <w:rsid w:val="00A84A6B"/>
    <w:rsid w:val="00A84B78"/>
    <w:rsid w:val="00A84D76"/>
    <w:rsid w:val="00A8569F"/>
    <w:rsid w:val="00A8670B"/>
    <w:rsid w:val="00A868A8"/>
    <w:rsid w:val="00A87FDD"/>
    <w:rsid w:val="00A915EB"/>
    <w:rsid w:val="00A927B8"/>
    <w:rsid w:val="00A932E5"/>
    <w:rsid w:val="00A936D1"/>
    <w:rsid w:val="00A93A95"/>
    <w:rsid w:val="00A93EEE"/>
    <w:rsid w:val="00A9654B"/>
    <w:rsid w:val="00A9751B"/>
    <w:rsid w:val="00A977A8"/>
    <w:rsid w:val="00A97DDC"/>
    <w:rsid w:val="00AA079B"/>
    <w:rsid w:val="00AA0A5F"/>
    <w:rsid w:val="00AA0FFB"/>
    <w:rsid w:val="00AA3311"/>
    <w:rsid w:val="00AA331B"/>
    <w:rsid w:val="00AA3C57"/>
    <w:rsid w:val="00AA5620"/>
    <w:rsid w:val="00AA6005"/>
    <w:rsid w:val="00AA699B"/>
    <w:rsid w:val="00AA70EE"/>
    <w:rsid w:val="00AA74AE"/>
    <w:rsid w:val="00AB09EA"/>
    <w:rsid w:val="00AB0AEB"/>
    <w:rsid w:val="00AB1EE3"/>
    <w:rsid w:val="00AB2A34"/>
    <w:rsid w:val="00AB3375"/>
    <w:rsid w:val="00AB4818"/>
    <w:rsid w:val="00AB4C8E"/>
    <w:rsid w:val="00AB4DE2"/>
    <w:rsid w:val="00AB4F12"/>
    <w:rsid w:val="00AB50CB"/>
    <w:rsid w:val="00AB5231"/>
    <w:rsid w:val="00AB55D4"/>
    <w:rsid w:val="00AB68E6"/>
    <w:rsid w:val="00AB710D"/>
    <w:rsid w:val="00AB714A"/>
    <w:rsid w:val="00AB7937"/>
    <w:rsid w:val="00AB7D3E"/>
    <w:rsid w:val="00AC14FA"/>
    <w:rsid w:val="00AC18EE"/>
    <w:rsid w:val="00AC2571"/>
    <w:rsid w:val="00AC2996"/>
    <w:rsid w:val="00AC2DCB"/>
    <w:rsid w:val="00AC4620"/>
    <w:rsid w:val="00AC5347"/>
    <w:rsid w:val="00AC5F22"/>
    <w:rsid w:val="00AC6080"/>
    <w:rsid w:val="00AC62BD"/>
    <w:rsid w:val="00AC66BC"/>
    <w:rsid w:val="00AC6965"/>
    <w:rsid w:val="00AC6F7D"/>
    <w:rsid w:val="00AC7473"/>
    <w:rsid w:val="00AC7722"/>
    <w:rsid w:val="00AD0404"/>
    <w:rsid w:val="00AD0DBB"/>
    <w:rsid w:val="00AD0E88"/>
    <w:rsid w:val="00AD2E5F"/>
    <w:rsid w:val="00AD3721"/>
    <w:rsid w:val="00AD4318"/>
    <w:rsid w:val="00AD4C83"/>
    <w:rsid w:val="00AD4F05"/>
    <w:rsid w:val="00AD6262"/>
    <w:rsid w:val="00AD636E"/>
    <w:rsid w:val="00AD6AD7"/>
    <w:rsid w:val="00AD6D57"/>
    <w:rsid w:val="00AD6E34"/>
    <w:rsid w:val="00AD788B"/>
    <w:rsid w:val="00AD7AED"/>
    <w:rsid w:val="00AE1DF9"/>
    <w:rsid w:val="00AE38EE"/>
    <w:rsid w:val="00AE4AF1"/>
    <w:rsid w:val="00AE4B39"/>
    <w:rsid w:val="00AE536A"/>
    <w:rsid w:val="00AE5842"/>
    <w:rsid w:val="00AE5B64"/>
    <w:rsid w:val="00AE5C2B"/>
    <w:rsid w:val="00AE5DB0"/>
    <w:rsid w:val="00AE6BB1"/>
    <w:rsid w:val="00AE700C"/>
    <w:rsid w:val="00AF0242"/>
    <w:rsid w:val="00AF03D0"/>
    <w:rsid w:val="00AF0B65"/>
    <w:rsid w:val="00AF0C69"/>
    <w:rsid w:val="00AF1302"/>
    <w:rsid w:val="00AF1F67"/>
    <w:rsid w:val="00AF21A9"/>
    <w:rsid w:val="00AF2E6A"/>
    <w:rsid w:val="00AF308A"/>
    <w:rsid w:val="00AF31AC"/>
    <w:rsid w:val="00AF3320"/>
    <w:rsid w:val="00AF34FF"/>
    <w:rsid w:val="00AF38F8"/>
    <w:rsid w:val="00AF3F68"/>
    <w:rsid w:val="00AF4529"/>
    <w:rsid w:val="00AF4BF2"/>
    <w:rsid w:val="00AF4F2A"/>
    <w:rsid w:val="00AF7734"/>
    <w:rsid w:val="00AF7772"/>
    <w:rsid w:val="00B00571"/>
    <w:rsid w:val="00B01345"/>
    <w:rsid w:val="00B016A1"/>
    <w:rsid w:val="00B01765"/>
    <w:rsid w:val="00B02EE7"/>
    <w:rsid w:val="00B03097"/>
    <w:rsid w:val="00B047E4"/>
    <w:rsid w:val="00B0487B"/>
    <w:rsid w:val="00B04E09"/>
    <w:rsid w:val="00B0581D"/>
    <w:rsid w:val="00B06095"/>
    <w:rsid w:val="00B060E7"/>
    <w:rsid w:val="00B06F10"/>
    <w:rsid w:val="00B06F70"/>
    <w:rsid w:val="00B071C9"/>
    <w:rsid w:val="00B106AF"/>
    <w:rsid w:val="00B10E04"/>
    <w:rsid w:val="00B14391"/>
    <w:rsid w:val="00B1452C"/>
    <w:rsid w:val="00B145FE"/>
    <w:rsid w:val="00B14730"/>
    <w:rsid w:val="00B152C5"/>
    <w:rsid w:val="00B16475"/>
    <w:rsid w:val="00B164DE"/>
    <w:rsid w:val="00B171ED"/>
    <w:rsid w:val="00B178CD"/>
    <w:rsid w:val="00B17FC7"/>
    <w:rsid w:val="00B205A7"/>
    <w:rsid w:val="00B2139D"/>
    <w:rsid w:val="00B2150C"/>
    <w:rsid w:val="00B21EDD"/>
    <w:rsid w:val="00B24212"/>
    <w:rsid w:val="00B24CB3"/>
    <w:rsid w:val="00B259CB"/>
    <w:rsid w:val="00B26634"/>
    <w:rsid w:val="00B27FD5"/>
    <w:rsid w:val="00B30199"/>
    <w:rsid w:val="00B30376"/>
    <w:rsid w:val="00B30950"/>
    <w:rsid w:val="00B30C24"/>
    <w:rsid w:val="00B311D7"/>
    <w:rsid w:val="00B3177A"/>
    <w:rsid w:val="00B33FEF"/>
    <w:rsid w:val="00B356FA"/>
    <w:rsid w:val="00B36182"/>
    <w:rsid w:val="00B36C5C"/>
    <w:rsid w:val="00B4026F"/>
    <w:rsid w:val="00B4043D"/>
    <w:rsid w:val="00B40FEB"/>
    <w:rsid w:val="00B42436"/>
    <w:rsid w:val="00B434AD"/>
    <w:rsid w:val="00B43B7A"/>
    <w:rsid w:val="00B43BFB"/>
    <w:rsid w:val="00B4477B"/>
    <w:rsid w:val="00B44DB9"/>
    <w:rsid w:val="00B45383"/>
    <w:rsid w:val="00B453FC"/>
    <w:rsid w:val="00B45685"/>
    <w:rsid w:val="00B45A82"/>
    <w:rsid w:val="00B46834"/>
    <w:rsid w:val="00B46E80"/>
    <w:rsid w:val="00B46EA5"/>
    <w:rsid w:val="00B46F0D"/>
    <w:rsid w:val="00B478F4"/>
    <w:rsid w:val="00B500AE"/>
    <w:rsid w:val="00B50576"/>
    <w:rsid w:val="00B5240B"/>
    <w:rsid w:val="00B526F1"/>
    <w:rsid w:val="00B53659"/>
    <w:rsid w:val="00B53B50"/>
    <w:rsid w:val="00B54312"/>
    <w:rsid w:val="00B54380"/>
    <w:rsid w:val="00B549D7"/>
    <w:rsid w:val="00B54C76"/>
    <w:rsid w:val="00B5514A"/>
    <w:rsid w:val="00B55844"/>
    <w:rsid w:val="00B56438"/>
    <w:rsid w:val="00B572E4"/>
    <w:rsid w:val="00B60D98"/>
    <w:rsid w:val="00B61808"/>
    <w:rsid w:val="00B61B37"/>
    <w:rsid w:val="00B61CCD"/>
    <w:rsid w:val="00B62B24"/>
    <w:rsid w:val="00B62FCD"/>
    <w:rsid w:val="00B63B2A"/>
    <w:rsid w:val="00B6465B"/>
    <w:rsid w:val="00B64992"/>
    <w:rsid w:val="00B65232"/>
    <w:rsid w:val="00B66478"/>
    <w:rsid w:val="00B66C7B"/>
    <w:rsid w:val="00B66EED"/>
    <w:rsid w:val="00B66F71"/>
    <w:rsid w:val="00B67340"/>
    <w:rsid w:val="00B67B2B"/>
    <w:rsid w:val="00B70F99"/>
    <w:rsid w:val="00B71D94"/>
    <w:rsid w:val="00B73456"/>
    <w:rsid w:val="00B73A09"/>
    <w:rsid w:val="00B73A77"/>
    <w:rsid w:val="00B73EAD"/>
    <w:rsid w:val="00B74557"/>
    <w:rsid w:val="00B748D8"/>
    <w:rsid w:val="00B74D2B"/>
    <w:rsid w:val="00B76EC8"/>
    <w:rsid w:val="00B8028E"/>
    <w:rsid w:val="00B807EB"/>
    <w:rsid w:val="00B808FE"/>
    <w:rsid w:val="00B80B86"/>
    <w:rsid w:val="00B8138F"/>
    <w:rsid w:val="00B8167F"/>
    <w:rsid w:val="00B81981"/>
    <w:rsid w:val="00B81EBD"/>
    <w:rsid w:val="00B825A9"/>
    <w:rsid w:val="00B84B86"/>
    <w:rsid w:val="00B84C3B"/>
    <w:rsid w:val="00B86BD0"/>
    <w:rsid w:val="00B86BF7"/>
    <w:rsid w:val="00B86E36"/>
    <w:rsid w:val="00B876BE"/>
    <w:rsid w:val="00B87705"/>
    <w:rsid w:val="00B87A27"/>
    <w:rsid w:val="00B87DB9"/>
    <w:rsid w:val="00B902C8"/>
    <w:rsid w:val="00B90C1C"/>
    <w:rsid w:val="00B90E76"/>
    <w:rsid w:val="00B91195"/>
    <w:rsid w:val="00B9245B"/>
    <w:rsid w:val="00B93189"/>
    <w:rsid w:val="00B9361B"/>
    <w:rsid w:val="00B93F51"/>
    <w:rsid w:val="00B93FFE"/>
    <w:rsid w:val="00B94696"/>
    <w:rsid w:val="00B94FBA"/>
    <w:rsid w:val="00B9513C"/>
    <w:rsid w:val="00B95402"/>
    <w:rsid w:val="00B956DD"/>
    <w:rsid w:val="00B956DF"/>
    <w:rsid w:val="00B95B9F"/>
    <w:rsid w:val="00B95CCD"/>
    <w:rsid w:val="00B95F59"/>
    <w:rsid w:val="00B96536"/>
    <w:rsid w:val="00B97963"/>
    <w:rsid w:val="00BA079E"/>
    <w:rsid w:val="00BA0901"/>
    <w:rsid w:val="00BA0DF7"/>
    <w:rsid w:val="00BA0EDF"/>
    <w:rsid w:val="00BA2B92"/>
    <w:rsid w:val="00BA2BF5"/>
    <w:rsid w:val="00BA3B93"/>
    <w:rsid w:val="00BA4ACD"/>
    <w:rsid w:val="00BA4F08"/>
    <w:rsid w:val="00BA58A8"/>
    <w:rsid w:val="00BA6022"/>
    <w:rsid w:val="00BA679B"/>
    <w:rsid w:val="00BA69A2"/>
    <w:rsid w:val="00BA69FF"/>
    <w:rsid w:val="00BA75FE"/>
    <w:rsid w:val="00BA7F2B"/>
    <w:rsid w:val="00BB0BA9"/>
    <w:rsid w:val="00BB0C8F"/>
    <w:rsid w:val="00BB0E92"/>
    <w:rsid w:val="00BB1773"/>
    <w:rsid w:val="00BB188C"/>
    <w:rsid w:val="00BB1E0F"/>
    <w:rsid w:val="00BB1E3A"/>
    <w:rsid w:val="00BB21E7"/>
    <w:rsid w:val="00BB3344"/>
    <w:rsid w:val="00BB35FD"/>
    <w:rsid w:val="00BB361E"/>
    <w:rsid w:val="00BB3A85"/>
    <w:rsid w:val="00BB3D4D"/>
    <w:rsid w:val="00BB4628"/>
    <w:rsid w:val="00BB5A1E"/>
    <w:rsid w:val="00BB5DE4"/>
    <w:rsid w:val="00BB5F6B"/>
    <w:rsid w:val="00BB5FA4"/>
    <w:rsid w:val="00BB6A86"/>
    <w:rsid w:val="00BB7452"/>
    <w:rsid w:val="00BB787F"/>
    <w:rsid w:val="00BB7E26"/>
    <w:rsid w:val="00BC008C"/>
    <w:rsid w:val="00BC011A"/>
    <w:rsid w:val="00BC0648"/>
    <w:rsid w:val="00BC0918"/>
    <w:rsid w:val="00BC1381"/>
    <w:rsid w:val="00BC17E1"/>
    <w:rsid w:val="00BC1848"/>
    <w:rsid w:val="00BC1B40"/>
    <w:rsid w:val="00BC1BD1"/>
    <w:rsid w:val="00BC2F9C"/>
    <w:rsid w:val="00BC401A"/>
    <w:rsid w:val="00BC45AA"/>
    <w:rsid w:val="00BC4D44"/>
    <w:rsid w:val="00BC509B"/>
    <w:rsid w:val="00BC546E"/>
    <w:rsid w:val="00BC786D"/>
    <w:rsid w:val="00BD0472"/>
    <w:rsid w:val="00BD04B3"/>
    <w:rsid w:val="00BD0672"/>
    <w:rsid w:val="00BD13B6"/>
    <w:rsid w:val="00BD192E"/>
    <w:rsid w:val="00BD1A44"/>
    <w:rsid w:val="00BD1D83"/>
    <w:rsid w:val="00BD2624"/>
    <w:rsid w:val="00BD469B"/>
    <w:rsid w:val="00BD49A4"/>
    <w:rsid w:val="00BD6E97"/>
    <w:rsid w:val="00BE01EA"/>
    <w:rsid w:val="00BE0D10"/>
    <w:rsid w:val="00BE0FB7"/>
    <w:rsid w:val="00BE16D0"/>
    <w:rsid w:val="00BE1A8A"/>
    <w:rsid w:val="00BE1FB4"/>
    <w:rsid w:val="00BE2662"/>
    <w:rsid w:val="00BE4172"/>
    <w:rsid w:val="00BE4B9F"/>
    <w:rsid w:val="00BE5048"/>
    <w:rsid w:val="00BE54B0"/>
    <w:rsid w:val="00BE576F"/>
    <w:rsid w:val="00BE5BBE"/>
    <w:rsid w:val="00BE5E1E"/>
    <w:rsid w:val="00BE6D0C"/>
    <w:rsid w:val="00BE6E32"/>
    <w:rsid w:val="00BE6FB4"/>
    <w:rsid w:val="00BE7C96"/>
    <w:rsid w:val="00BE7F6D"/>
    <w:rsid w:val="00BE7FB9"/>
    <w:rsid w:val="00BF02B3"/>
    <w:rsid w:val="00BF064B"/>
    <w:rsid w:val="00BF1F52"/>
    <w:rsid w:val="00BF2202"/>
    <w:rsid w:val="00BF28E4"/>
    <w:rsid w:val="00BF2C5F"/>
    <w:rsid w:val="00BF3B4E"/>
    <w:rsid w:val="00BF3DD9"/>
    <w:rsid w:val="00BF403E"/>
    <w:rsid w:val="00BF413E"/>
    <w:rsid w:val="00BF57AF"/>
    <w:rsid w:val="00BF5E58"/>
    <w:rsid w:val="00BF5E91"/>
    <w:rsid w:val="00BF5EE1"/>
    <w:rsid w:val="00BF6085"/>
    <w:rsid w:val="00BF6746"/>
    <w:rsid w:val="00BF741E"/>
    <w:rsid w:val="00C0001E"/>
    <w:rsid w:val="00C002FD"/>
    <w:rsid w:val="00C005B2"/>
    <w:rsid w:val="00C00921"/>
    <w:rsid w:val="00C010ED"/>
    <w:rsid w:val="00C021A6"/>
    <w:rsid w:val="00C02CB1"/>
    <w:rsid w:val="00C035C8"/>
    <w:rsid w:val="00C0479A"/>
    <w:rsid w:val="00C048B7"/>
    <w:rsid w:val="00C0524F"/>
    <w:rsid w:val="00C06713"/>
    <w:rsid w:val="00C06B7D"/>
    <w:rsid w:val="00C10009"/>
    <w:rsid w:val="00C136A3"/>
    <w:rsid w:val="00C13B1B"/>
    <w:rsid w:val="00C14309"/>
    <w:rsid w:val="00C14485"/>
    <w:rsid w:val="00C1468A"/>
    <w:rsid w:val="00C147F6"/>
    <w:rsid w:val="00C14B2F"/>
    <w:rsid w:val="00C154F2"/>
    <w:rsid w:val="00C16602"/>
    <w:rsid w:val="00C16FF9"/>
    <w:rsid w:val="00C17414"/>
    <w:rsid w:val="00C1793F"/>
    <w:rsid w:val="00C17B8E"/>
    <w:rsid w:val="00C17CA5"/>
    <w:rsid w:val="00C20842"/>
    <w:rsid w:val="00C22206"/>
    <w:rsid w:val="00C22C27"/>
    <w:rsid w:val="00C22D3D"/>
    <w:rsid w:val="00C2366C"/>
    <w:rsid w:val="00C24071"/>
    <w:rsid w:val="00C2474D"/>
    <w:rsid w:val="00C25135"/>
    <w:rsid w:val="00C2656B"/>
    <w:rsid w:val="00C26F16"/>
    <w:rsid w:val="00C303CD"/>
    <w:rsid w:val="00C30DFF"/>
    <w:rsid w:val="00C322A9"/>
    <w:rsid w:val="00C32324"/>
    <w:rsid w:val="00C329AD"/>
    <w:rsid w:val="00C336BB"/>
    <w:rsid w:val="00C33B09"/>
    <w:rsid w:val="00C34056"/>
    <w:rsid w:val="00C345A0"/>
    <w:rsid w:val="00C34AF8"/>
    <w:rsid w:val="00C35167"/>
    <w:rsid w:val="00C3535A"/>
    <w:rsid w:val="00C366EF"/>
    <w:rsid w:val="00C369FF"/>
    <w:rsid w:val="00C40705"/>
    <w:rsid w:val="00C40B49"/>
    <w:rsid w:val="00C40D5C"/>
    <w:rsid w:val="00C414C8"/>
    <w:rsid w:val="00C41CA4"/>
    <w:rsid w:val="00C41FAC"/>
    <w:rsid w:val="00C42209"/>
    <w:rsid w:val="00C426B1"/>
    <w:rsid w:val="00C439DB"/>
    <w:rsid w:val="00C440AC"/>
    <w:rsid w:val="00C4434E"/>
    <w:rsid w:val="00C44A1D"/>
    <w:rsid w:val="00C44AD4"/>
    <w:rsid w:val="00C44DAF"/>
    <w:rsid w:val="00C45624"/>
    <w:rsid w:val="00C45C38"/>
    <w:rsid w:val="00C46D58"/>
    <w:rsid w:val="00C479E0"/>
    <w:rsid w:val="00C51024"/>
    <w:rsid w:val="00C511FE"/>
    <w:rsid w:val="00C51C69"/>
    <w:rsid w:val="00C52DD2"/>
    <w:rsid w:val="00C52ED8"/>
    <w:rsid w:val="00C538A0"/>
    <w:rsid w:val="00C5476B"/>
    <w:rsid w:val="00C54B8B"/>
    <w:rsid w:val="00C54BCC"/>
    <w:rsid w:val="00C568B5"/>
    <w:rsid w:val="00C569EA"/>
    <w:rsid w:val="00C5797A"/>
    <w:rsid w:val="00C57FF4"/>
    <w:rsid w:val="00C608F9"/>
    <w:rsid w:val="00C60BD4"/>
    <w:rsid w:val="00C62B32"/>
    <w:rsid w:val="00C62C40"/>
    <w:rsid w:val="00C62F15"/>
    <w:rsid w:val="00C6469F"/>
    <w:rsid w:val="00C646DF"/>
    <w:rsid w:val="00C648E1"/>
    <w:rsid w:val="00C64DF2"/>
    <w:rsid w:val="00C6705D"/>
    <w:rsid w:val="00C67727"/>
    <w:rsid w:val="00C70156"/>
    <w:rsid w:val="00C701B6"/>
    <w:rsid w:val="00C7112A"/>
    <w:rsid w:val="00C716B8"/>
    <w:rsid w:val="00C71C2A"/>
    <w:rsid w:val="00C72FB3"/>
    <w:rsid w:val="00C7335B"/>
    <w:rsid w:val="00C73BA0"/>
    <w:rsid w:val="00C74AD9"/>
    <w:rsid w:val="00C74DDC"/>
    <w:rsid w:val="00C751AB"/>
    <w:rsid w:val="00C75A47"/>
    <w:rsid w:val="00C76035"/>
    <w:rsid w:val="00C76068"/>
    <w:rsid w:val="00C76BB1"/>
    <w:rsid w:val="00C76F09"/>
    <w:rsid w:val="00C775DC"/>
    <w:rsid w:val="00C800FA"/>
    <w:rsid w:val="00C8099F"/>
    <w:rsid w:val="00C8133E"/>
    <w:rsid w:val="00C81421"/>
    <w:rsid w:val="00C82457"/>
    <w:rsid w:val="00C82835"/>
    <w:rsid w:val="00C82856"/>
    <w:rsid w:val="00C8331B"/>
    <w:rsid w:val="00C83689"/>
    <w:rsid w:val="00C84069"/>
    <w:rsid w:val="00C8510A"/>
    <w:rsid w:val="00C85A7D"/>
    <w:rsid w:val="00C85B19"/>
    <w:rsid w:val="00C8609C"/>
    <w:rsid w:val="00C86F36"/>
    <w:rsid w:val="00C8725E"/>
    <w:rsid w:val="00C87373"/>
    <w:rsid w:val="00C87B2B"/>
    <w:rsid w:val="00C9064E"/>
    <w:rsid w:val="00C90745"/>
    <w:rsid w:val="00C919D1"/>
    <w:rsid w:val="00C925B1"/>
    <w:rsid w:val="00C92C55"/>
    <w:rsid w:val="00C92CDA"/>
    <w:rsid w:val="00C9376C"/>
    <w:rsid w:val="00C94930"/>
    <w:rsid w:val="00C94C61"/>
    <w:rsid w:val="00C94CBD"/>
    <w:rsid w:val="00C95A2F"/>
    <w:rsid w:val="00C960CB"/>
    <w:rsid w:val="00C97119"/>
    <w:rsid w:val="00C9746F"/>
    <w:rsid w:val="00C9751E"/>
    <w:rsid w:val="00C97549"/>
    <w:rsid w:val="00C97650"/>
    <w:rsid w:val="00C97EA7"/>
    <w:rsid w:val="00CA0737"/>
    <w:rsid w:val="00CA0982"/>
    <w:rsid w:val="00CA0BC9"/>
    <w:rsid w:val="00CA0D42"/>
    <w:rsid w:val="00CA0F24"/>
    <w:rsid w:val="00CA13D7"/>
    <w:rsid w:val="00CA1D8C"/>
    <w:rsid w:val="00CA1F1E"/>
    <w:rsid w:val="00CA272A"/>
    <w:rsid w:val="00CA401C"/>
    <w:rsid w:val="00CA4354"/>
    <w:rsid w:val="00CA4589"/>
    <w:rsid w:val="00CA4CCF"/>
    <w:rsid w:val="00CA53B7"/>
    <w:rsid w:val="00CA5912"/>
    <w:rsid w:val="00CA5ACF"/>
    <w:rsid w:val="00CA5E25"/>
    <w:rsid w:val="00CA65E1"/>
    <w:rsid w:val="00CA6827"/>
    <w:rsid w:val="00CA6F44"/>
    <w:rsid w:val="00CA706C"/>
    <w:rsid w:val="00CA7EEF"/>
    <w:rsid w:val="00CB0FAE"/>
    <w:rsid w:val="00CB133F"/>
    <w:rsid w:val="00CB1BA1"/>
    <w:rsid w:val="00CB1F2E"/>
    <w:rsid w:val="00CB210B"/>
    <w:rsid w:val="00CB257D"/>
    <w:rsid w:val="00CB3056"/>
    <w:rsid w:val="00CB3448"/>
    <w:rsid w:val="00CB3469"/>
    <w:rsid w:val="00CB4263"/>
    <w:rsid w:val="00CB437B"/>
    <w:rsid w:val="00CB4502"/>
    <w:rsid w:val="00CB467B"/>
    <w:rsid w:val="00CB4EE9"/>
    <w:rsid w:val="00CB54B8"/>
    <w:rsid w:val="00CB5BD8"/>
    <w:rsid w:val="00CB5CBE"/>
    <w:rsid w:val="00CB62CB"/>
    <w:rsid w:val="00CB6AEC"/>
    <w:rsid w:val="00CB75FD"/>
    <w:rsid w:val="00CB7D02"/>
    <w:rsid w:val="00CB7D92"/>
    <w:rsid w:val="00CC0576"/>
    <w:rsid w:val="00CC0A33"/>
    <w:rsid w:val="00CC0BB6"/>
    <w:rsid w:val="00CC1A9C"/>
    <w:rsid w:val="00CC21C4"/>
    <w:rsid w:val="00CC2280"/>
    <w:rsid w:val="00CC2C82"/>
    <w:rsid w:val="00CC3187"/>
    <w:rsid w:val="00CC3606"/>
    <w:rsid w:val="00CC3E5B"/>
    <w:rsid w:val="00CC3F61"/>
    <w:rsid w:val="00CC4E0F"/>
    <w:rsid w:val="00CC50CE"/>
    <w:rsid w:val="00CC545B"/>
    <w:rsid w:val="00CC56A1"/>
    <w:rsid w:val="00CC5FCC"/>
    <w:rsid w:val="00CC6198"/>
    <w:rsid w:val="00CC6537"/>
    <w:rsid w:val="00CC6A7D"/>
    <w:rsid w:val="00CC6C23"/>
    <w:rsid w:val="00CC77A4"/>
    <w:rsid w:val="00CC7B0B"/>
    <w:rsid w:val="00CD1309"/>
    <w:rsid w:val="00CD1552"/>
    <w:rsid w:val="00CD1560"/>
    <w:rsid w:val="00CD2461"/>
    <w:rsid w:val="00CD3128"/>
    <w:rsid w:val="00CD3DAA"/>
    <w:rsid w:val="00CD405B"/>
    <w:rsid w:val="00CD4729"/>
    <w:rsid w:val="00CD4A24"/>
    <w:rsid w:val="00CD57CE"/>
    <w:rsid w:val="00CD5B54"/>
    <w:rsid w:val="00CD6071"/>
    <w:rsid w:val="00CD6437"/>
    <w:rsid w:val="00CD6C8F"/>
    <w:rsid w:val="00CD6D06"/>
    <w:rsid w:val="00CD75D3"/>
    <w:rsid w:val="00CD7A51"/>
    <w:rsid w:val="00CE062B"/>
    <w:rsid w:val="00CE1389"/>
    <w:rsid w:val="00CE17C2"/>
    <w:rsid w:val="00CE1BEF"/>
    <w:rsid w:val="00CE1FC6"/>
    <w:rsid w:val="00CE221D"/>
    <w:rsid w:val="00CE230E"/>
    <w:rsid w:val="00CE281C"/>
    <w:rsid w:val="00CE3617"/>
    <w:rsid w:val="00CE3DBC"/>
    <w:rsid w:val="00CE4DA8"/>
    <w:rsid w:val="00CE64F3"/>
    <w:rsid w:val="00CE672B"/>
    <w:rsid w:val="00CE6798"/>
    <w:rsid w:val="00CE686A"/>
    <w:rsid w:val="00CE6AAF"/>
    <w:rsid w:val="00CE7149"/>
    <w:rsid w:val="00CE7516"/>
    <w:rsid w:val="00CE7746"/>
    <w:rsid w:val="00CE7CE2"/>
    <w:rsid w:val="00CE7EB4"/>
    <w:rsid w:val="00CF02F4"/>
    <w:rsid w:val="00CF0B42"/>
    <w:rsid w:val="00CF0EC3"/>
    <w:rsid w:val="00CF21C3"/>
    <w:rsid w:val="00CF22CE"/>
    <w:rsid w:val="00CF2995"/>
    <w:rsid w:val="00CF3B7A"/>
    <w:rsid w:val="00CF4327"/>
    <w:rsid w:val="00CF4E3B"/>
    <w:rsid w:val="00CF509A"/>
    <w:rsid w:val="00CF5686"/>
    <w:rsid w:val="00CF5765"/>
    <w:rsid w:val="00CF63A0"/>
    <w:rsid w:val="00CF6AF8"/>
    <w:rsid w:val="00CF6E75"/>
    <w:rsid w:val="00CF708C"/>
    <w:rsid w:val="00CF7A01"/>
    <w:rsid w:val="00D00A95"/>
    <w:rsid w:val="00D0119A"/>
    <w:rsid w:val="00D01647"/>
    <w:rsid w:val="00D02DB9"/>
    <w:rsid w:val="00D0447B"/>
    <w:rsid w:val="00D044C9"/>
    <w:rsid w:val="00D07BBD"/>
    <w:rsid w:val="00D10459"/>
    <w:rsid w:val="00D11D44"/>
    <w:rsid w:val="00D12036"/>
    <w:rsid w:val="00D127B0"/>
    <w:rsid w:val="00D12D10"/>
    <w:rsid w:val="00D14FB3"/>
    <w:rsid w:val="00D15946"/>
    <w:rsid w:val="00D15AA3"/>
    <w:rsid w:val="00D164E4"/>
    <w:rsid w:val="00D16997"/>
    <w:rsid w:val="00D1755E"/>
    <w:rsid w:val="00D17576"/>
    <w:rsid w:val="00D17CF3"/>
    <w:rsid w:val="00D2001F"/>
    <w:rsid w:val="00D21180"/>
    <w:rsid w:val="00D2236C"/>
    <w:rsid w:val="00D23621"/>
    <w:rsid w:val="00D236FC"/>
    <w:rsid w:val="00D23C3B"/>
    <w:rsid w:val="00D247A0"/>
    <w:rsid w:val="00D24C7C"/>
    <w:rsid w:val="00D24E47"/>
    <w:rsid w:val="00D2531A"/>
    <w:rsid w:val="00D26460"/>
    <w:rsid w:val="00D27516"/>
    <w:rsid w:val="00D27A9C"/>
    <w:rsid w:val="00D306E7"/>
    <w:rsid w:val="00D3103E"/>
    <w:rsid w:val="00D31EB7"/>
    <w:rsid w:val="00D321AE"/>
    <w:rsid w:val="00D3609C"/>
    <w:rsid w:val="00D36680"/>
    <w:rsid w:val="00D36758"/>
    <w:rsid w:val="00D3689D"/>
    <w:rsid w:val="00D368CA"/>
    <w:rsid w:val="00D379BF"/>
    <w:rsid w:val="00D402E1"/>
    <w:rsid w:val="00D40412"/>
    <w:rsid w:val="00D41152"/>
    <w:rsid w:val="00D41990"/>
    <w:rsid w:val="00D41B1F"/>
    <w:rsid w:val="00D4252E"/>
    <w:rsid w:val="00D42785"/>
    <w:rsid w:val="00D42B29"/>
    <w:rsid w:val="00D43148"/>
    <w:rsid w:val="00D43800"/>
    <w:rsid w:val="00D43811"/>
    <w:rsid w:val="00D43E4B"/>
    <w:rsid w:val="00D4416F"/>
    <w:rsid w:val="00D44CE7"/>
    <w:rsid w:val="00D451D3"/>
    <w:rsid w:val="00D454D9"/>
    <w:rsid w:val="00D457DC"/>
    <w:rsid w:val="00D4590E"/>
    <w:rsid w:val="00D46C70"/>
    <w:rsid w:val="00D46D17"/>
    <w:rsid w:val="00D47652"/>
    <w:rsid w:val="00D4788A"/>
    <w:rsid w:val="00D47B54"/>
    <w:rsid w:val="00D521EC"/>
    <w:rsid w:val="00D53CE6"/>
    <w:rsid w:val="00D5414F"/>
    <w:rsid w:val="00D546D1"/>
    <w:rsid w:val="00D54D2E"/>
    <w:rsid w:val="00D565A9"/>
    <w:rsid w:val="00D57433"/>
    <w:rsid w:val="00D6178C"/>
    <w:rsid w:val="00D6191D"/>
    <w:rsid w:val="00D61F29"/>
    <w:rsid w:val="00D62888"/>
    <w:rsid w:val="00D62F09"/>
    <w:rsid w:val="00D63617"/>
    <w:rsid w:val="00D639AB"/>
    <w:rsid w:val="00D649C7"/>
    <w:rsid w:val="00D64E8B"/>
    <w:rsid w:val="00D6639C"/>
    <w:rsid w:val="00D66E58"/>
    <w:rsid w:val="00D67C57"/>
    <w:rsid w:val="00D71551"/>
    <w:rsid w:val="00D73B85"/>
    <w:rsid w:val="00D73C7C"/>
    <w:rsid w:val="00D73DD3"/>
    <w:rsid w:val="00D74961"/>
    <w:rsid w:val="00D74E35"/>
    <w:rsid w:val="00D7539E"/>
    <w:rsid w:val="00D753AD"/>
    <w:rsid w:val="00D759C7"/>
    <w:rsid w:val="00D75CDE"/>
    <w:rsid w:val="00D75D45"/>
    <w:rsid w:val="00D76BC2"/>
    <w:rsid w:val="00D77F3F"/>
    <w:rsid w:val="00D77FBC"/>
    <w:rsid w:val="00D80047"/>
    <w:rsid w:val="00D80EB5"/>
    <w:rsid w:val="00D81EEB"/>
    <w:rsid w:val="00D82A76"/>
    <w:rsid w:val="00D83428"/>
    <w:rsid w:val="00D83766"/>
    <w:rsid w:val="00D8429E"/>
    <w:rsid w:val="00D84562"/>
    <w:rsid w:val="00D84830"/>
    <w:rsid w:val="00D84AD8"/>
    <w:rsid w:val="00D854F1"/>
    <w:rsid w:val="00D86A8C"/>
    <w:rsid w:val="00D872F0"/>
    <w:rsid w:val="00D874C4"/>
    <w:rsid w:val="00D8751F"/>
    <w:rsid w:val="00D8766B"/>
    <w:rsid w:val="00D87A90"/>
    <w:rsid w:val="00D87DE4"/>
    <w:rsid w:val="00D901A6"/>
    <w:rsid w:val="00D90294"/>
    <w:rsid w:val="00D9085D"/>
    <w:rsid w:val="00D91900"/>
    <w:rsid w:val="00D91AF6"/>
    <w:rsid w:val="00D92118"/>
    <w:rsid w:val="00D92FD1"/>
    <w:rsid w:val="00D93071"/>
    <w:rsid w:val="00D9364F"/>
    <w:rsid w:val="00D9424E"/>
    <w:rsid w:val="00D9474A"/>
    <w:rsid w:val="00D955B1"/>
    <w:rsid w:val="00D97B89"/>
    <w:rsid w:val="00D97CD5"/>
    <w:rsid w:val="00DA0023"/>
    <w:rsid w:val="00DA27A9"/>
    <w:rsid w:val="00DA27EE"/>
    <w:rsid w:val="00DA2954"/>
    <w:rsid w:val="00DA3403"/>
    <w:rsid w:val="00DA3D9A"/>
    <w:rsid w:val="00DA50A2"/>
    <w:rsid w:val="00DA55C6"/>
    <w:rsid w:val="00DA5604"/>
    <w:rsid w:val="00DA666D"/>
    <w:rsid w:val="00DA6C4A"/>
    <w:rsid w:val="00DA6DAB"/>
    <w:rsid w:val="00DA77EE"/>
    <w:rsid w:val="00DB00A1"/>
    <w:rsid w:val="00DB0FB0"/>
    <w:rsid w:val="00DB1003"/>
    <w:rsid w:val="00DB291A"/>
    <w:rsid w:val="00DB35E2"/>
    <w:rsid w:val="00DB3EA7"/>
    <w:rsid w:val="00DB4C25"/>
    <w:rsid w:val="00DB5996"/>
    <w:rsid w:val="00DB655D"/>
    <w:rsid w:val="00DB6D8F"/>
    <w:rsid w:val="00DB7706"/>
    <w:rsid w:val="00DC05C5"/>
    <w:rsid w:val="00DC0609"/>
    <w:rsid w:val="00DC2EBE"/>
    <w:rsid w:val="00DC414B"/>
    <w:rsid w:val="00DC4710"/>
    <w:rsid w:val="00DC5914"/>
    <w:rsid w:val="00DC6347"/>
    <w:rsid w:val="00DC640F"/>
    <w:rsid w:val="00DC68CE"/>
    <w:rsid w:val="00DD00EB"/>
    <w:rsid w:val="00DD032C"/>
    <w:rsid w:val="00DD0D42"/>
    <w:rsid w:val="00DD0E0D"/>
    <w:rsid w:val="00DD1EC4"/>
    <w:rsid w:val="00DD1F68"/>
    <w:rsid w:val="00DD29B1"/>
    <w:rsid w:val="00DD3676"/>
    <w:rsid w:val="00DD3915"/>
    <w:rsid w:val="00DD3EA1"/>
    <w:rsid w:val="00DD4E19"/>
    <w:rsid w:val="00DD5082"/>
    <w:rsid w:val="00DD58B7"/>
    <w:rsid w:val="00DD59C5"/>
    <w:rsid w:val="00DD6412"/>
    <w:rsid w:val="00DD775B"/>
    <w:rsid w:val="00DD7A0B"/>
    <w:rsid w:val="00DD7FFA"/>
    <w:rsid w:val="00DE0594"/>
    <w:rsid w:val="00DE18D8"/>
    <w:rsid w:val="00DE1FA7"/>
    <w:rsid w:val="00DE23D0"/>
    <w:rsid w:val="00DE44F1"/>
    <w:rsid w:val="00DE4CD7"/>
    <w:rsid w:val="00DE59E6"/>
    <w:rsid w:val="00DE5AE7"/>
    <w:rsid w:val="00DE74E3"/>
    <w:rsid w:val="00DE78FF"/>
    <w:rsid w:val="00DF042B"/>
    <w:rsid w:val="00DF0507"/>
    <w:rsid w:val="00DF053B"/>
    <w:rsid w:val="00DF07F5"/>
    <w:rsid w:val="00DF09C4"/>
    <w:rsid w:val="00DF16C0"/>
    <w:rsid w:val="00DF2C63"/>
    <w:rsid w:val="00DF2F1B"/>
    <w:rsid w:val="00DF506C"/>
    <w:rsid w:val="00DF532E"/>
    <w:rsid w:val="00DF6579"/>
    <w:rsid w:val="00DF70C4"/>
    <w:rsid w:val="00DF70D4"/>
    <w:rsid w:val="00E00910"/>
    <w:rsid w:val="00E01BC4"/>
    <w:rsid w:val="00E01DDC"/>
    <w:rsid w:val="00E01FFF"/>
    <w:rsid w:val="00E02247"/>
    <w:rsid w:val="00E02666"/>
    <w:rsid w:val="00E030B5"/>
    <w:rsid w:val="00E03202"/>
    <w:rsid w:val="00E03DCD"/>
    <w:rsid w:val="00E05107"/>
    <w:rsid w:val="00E05BED"/>
    <w:rsid w:val="00E06AF4"/>
    <w:rsid w:val="00E07EA3"/>
    <w:rsid w:val="00E07EB9"/>
    <w:rsid w:val="00E10509"/>
    <w:rsid w:val="00E11266"/>
    <w:rsid w:val="00E12887"/>
    <w:rsid w:val="00E13C1A"/>
    <w:rsid w:val="00E13D6B"/>
    <w:rsid w:val="00E13DB8"/>
    <w:rsid w:val="00E156F7"/>
    <w:rsid w:val="00E15724"/>
    <w:rsid w:val="00E15796"/>
    <w:rsid w:val="00E16FD5"/>
    <w:rsid w:val="00E20399"/>
    <w:rsid w:val="00E20AD8"/>
    <w:rsid w:val="00E20EB8"/>
    <w:rsid w:val="00E20F5F"/>
    <w:rsid w:val="00E21224"/>
    <w:rsid w:val="00E21F20"/>
    <w:rsid w:val="00E22264"/>
    <w:rsid w:val="00E2298D"/>
    <w:rsid w:val="00E22BFC"/>
    <w:rsid w:val="00E22C3B"/>
    <w:rsid w:val="00E22C66"/>
    <w:rsid w:val="00E234F6"/>
    <w:rsid w:val="00E248D9"/>
    <w:rsid w:val="00E25848"/>
    <w:rsid w:val="00E25C46"/>
    <w:rsid w:val="00E25C6B"/>
    <w:rsid w:val="00E25C93"/>
    <w:rsid w:val="00E26235"/>
    <w:rsid w:val="00E26CEF"/>
    <w:rsid w:val="00E27373"/>
    <w:rsid w:val="00E30097"/>
    <w:rsid w:val="00E31740"/>
    <w:rsid w:val="00E31E07"/>
    <w:rsid w:val="00E320A8"/>
    <w:rsid w:val="00E324AE"/>
    <w:rsid w:val="00E3285B"/>
    <w:rsid w:val="00E32ADA"/>
    <w:rsid w:val="00E335B9"/>
    <w:rsid w:val="00E33DE7"/>
    <w:rsid w:val="00E340F3"/>
    <w:rsid w:val="00E35445"/>
    <w:rsid w:val="00E358F8"/>
    <w:rsid w:val="00E3639D"/>
    <w:rsid w:val="00E413F4"/>
    <w:rsid w:val="00E42458"/>
    <w:rsid w:val="00E426D6"/>
    <w:rsid w:val="00E42767"/>
    <w:rsid w:val="00E428D2"/>
    <w:rsid w:val="00E42B86"/>
    <w:rsid w:val="00E431C9"/>
    <w:rsid w:val="00E44450"/>
    <w:rsid w:val="00E44943"/>
    <w:rsid w:val="00E45169"/>
    <w:rsid w:val="00E45CB0"/>
    <w:rsid w:val="00E4601D"/>
    <w:rsid w:val="00E46157"/>
    <w:rsid w:val="00E502C2"/>
    <w:rsid w:val="00E50955"/>
    <w:rsid w:val="00E53191"/>
    <w:rsid w:val="00E53536"/>
    <w:rsid w:val="00E54277"/>
    <w:rsid w:val="00E543C0"/>
    <w:rsid w:val="00E54D8A"/>
    <w:rsid w:val="00E553E8"/>
    <w:rsid w:val="00E56005"/>
    <w:rsid w:val="00E560DF"/>
    <w:rsid w:val="00E56199"/>
    <w:rsid w:val="00E561C5"/>
    <w:rsid w:val="00E561F3"/>
    <w:rsid w:val="00E5685A"/>
    <w:rsid w:val="00E56F2D"/>
    <w:rsid w:val="00E573F3"/>
    <w:rsid w:val="00E57AD1"/>
    <w:rsid w:val="00E60714"/>
    <w:rsid w:val="00E61950"/>
    <w:rsid w:val="00E6381A"/>
    <w:rsid w:val="00E63D5F"/>
    <w:rsid w:val="00E6534A"/>
    <w:rsid w:val="00E655C4"/>
    <w:rsid w:val="00E65F8D"/>
    <w:rsid w:val="00E668BA"/>
    <w:rsid w:val="00E67229"/>
    <w:rsid w:val="00E675B8"/>
    <w:rsid w:val="00E70262"/>
    <w:rsid w:val="00E7028E"/>
    <w:rsid w:val="00E7064B"/>
    <w:rsid w:val="00E70655"/>
    <w:rsid w:val="00E70B4A"/>
    <w:rsid w:val="00E71B80"/>
    <w:rsid w:val="00E72305"/>
    <w:rsid w:val="00E7261C"/>
    <w:rsid w:val="00E731C3"/>
    <w:rsid w:val="00E735FD"/>
    <w:rsid w:val="00E73F79"/>
    <w:rsid w:val="00E743BF"/>
    <w:rsid w:val="00E758EA"/>
    <w:rsid w:val="00E75C39"/>
    <w:rsid w:val="00E76A34"/>
    <w:rsid w:val="00E774A4"/>
    <w:rsid w:val="00E7794B"/>
    <w:rsid w:val="00E77A17"/>
    <w:rsid w:val="00E8027A"/>
    <w:rsid w:val="00E80C9E"/>
    <w:rsid w:val="00E820EF"/>
    <w:rsid w:val="00E83F26"/>
    <w:rsid w:val="00E83FAC"/>
    <w:rsid w:val="00E857B4"/>
    <w:rsid w:val="00E85D13"/>
    <w:rsid w:val="00E87719"/>
    <w:rsid w:val="00E878A6"/>
    <w:rsid w:val="00E90131"/>
    <w:rsid w:val="00E90998"/>
    <w:rsid w:val="00E914E8"/>
    <w:rsid w:val="00E915DE"/>
    <w:rsid w:val="00E91CBB"/>
    <w:rsid w:val="00E92757"/>
    <w:rsid w:val="00E93AAC"/>
    <w:rsid w:val="00E941F3"/>
    <w:rsid w:val="00E94CB4"/>
    <w:rsid w:val="00E95123"/>
    <w:rsid w:val="00E95324"/>
    <w:rsid w:val="00E958AC"/>
    <w:rsid w:val="00E966C6"/>
    <w:rsid w:val="00E969CA"/>
    <w:rsid w:val="00E96AB1"/>
    <w:rsid w:val="00E975E7"/>
    <w:rsid w:val="00EA02C9"/>
    <w:rsid w:val="00EA0A58"/>
    <w:rsid w:val="00EA17AD"/>
    <w:rsid w:val="00EA1A42"/>
    <w:rsid w:val="00EA1E87"/>
    <w:rsid w:val="00EA35FA"/>
    <w:rsid w:val="00EA4AFE"/>
    <w:rsid w:val="00EA4D3D"/>
    <w:rsid w:val="00EA4E10"/>
    <w:rsid w:val="00EA5092"/>
    <w:rsid w:val="00EA53F3"/>
    <w:rsid w:val="00EA586E"/>
    <w:rsid w:val="00EA5FC7"/>
    <w:rsid w:val="00EA6231"/>
    <w:rsid w:val="00EA6E50"/>
    <w:rsid w:val="00EA6FD2"/>
    <w:rsid w:val="00EA7185"/>
    <w:rsid w:val="00EA7298"/>
    <w:rsid w:val="00EA75EC"/>
    <w:rsid w:val="00EB09CE"/>
    <w:rsid w:val="00EB108E"/>
    <w:rsid w:val="00EB12B2"/>
    <w:rsid w:val="00EB34F5"/>
    <w:rsid w:val="00EB398F"/>
    <w:rsid w:val="00EB45E8"/>
    <w:rsid w:val="00EB67A2"/>
    <w:rsid w:val="00EB67FC"/>
    <w:rsid w:val="00EB69B2"/>
    <w:rsid w:val="00EB736D"/>
    <w:rsid w:val="00EB7BD1"/>
    <w:rsid w:val="00EC008B"/>
    <w:rsid w:val="00EC03C8"/>
    <w:rsid w:val="00EC0C2B"/>
    <w:rsid w:val="00EC0C3A"/>
    <w:rsid w:val="00EC1552"/>
    <w:rsid w:val="00EC16A4"/>
    <w:rsid w:val="00EC17ED"/>
    <w:rsid w:val="00EC21FE"/>
    <w:rsid w:val="00EC23ED"/>
    <w:rsid w:val="00EC2730"/>
    <w:rsid w:val="00EC3034"/>
    <w:rsid w:val="00EC309F"/>
    <w:rsid w:val="00EC3F24"/>
    <w:rsid w:val="00EC3F40"/>
    <w:rsid w:val="00EC4B30"/>
    <w:rsid w:val="00EC6C5C"/>
    <w:rsid w:val="00EC6F3F"/>
    <w:rsid w:val="00ED1074"/>
    <w:rsid w:val="00ED126A"/>
    <w:rsid w:val="00ED2485"/>
    <w:rsid w:val="00ED2E3E"/>
    <w:rsid w:val="00ED3C83"/>
    <w:rsid w:val="00ED4602"/>
    <w:rsid w:val="00ED4B1E"/>
    <w:rsid w:val="00ED4D00"/>
    <w:rsid w:val="00ED6BC0"/>
    <w:rsid w:val="00ED6BC2"/>
    <w:rsid w:val="00ED6DB9"/>
    <w:rsid w:val="00ED6E2A"/>
    <w:rsid w:val="00ED74D8"/>
    <w:rsid w:val="00EE1F6D"/>
    <w:rsid w:val="00EE2F32"/>
    <w:rsid w:val="00EE32A8"/>
    <w:rsid w:val="00EE3783"/>
    <w:rsid w:val="00EE39D7"/>
    <w:rsid w:val="00EE3C22"/>
    <w:rsid w:val="00EE3DBE"/>
    <w:rsid w:val="00EE4D62"/>
    <w:rsid w:val="00EE5294"/>
    <w:rsid w:val="00EE5784"/>
    <w:rsid w:val="00EE6C0B"/>
    <w:rsid w:val="00EE7583"/>
    <w:rsid w:val="00EF011F"/>
    <w:rsid w:val="00EF0590"/>
    <w:rsid w:val="00EF09E6"/>
    <w:rsid w:val="00EF229B"/>
    <w:rsid w:val="00EF303D"/>
    <w:rsid w:val="00EF3D7A"/>
    <w:rsid w:val="00EF3F58"/>
    <w:rsid w:val="00EF567C"/>
    <w:rsid w:val="00EF575A"/>
    <w:rsid w:val="00EF5D4E"/>
    <w:rsid w:val="00EF5F8A"/>
    <w:rsid w:val="00EF6029"/>
    <w:rsid w:val="00EF63F4"/>
    <w:rsid w:val="00EF6D37"/>
    <w:rsid w:val="00F016E2"/>
    <w:rsid w:val="00F01714"/>
    <w:rsid w:val="00F0305C"/>
    <w:rsid w:val="00F034C2"/>
    <w:rsid w:val="00F03AA5"/>
    <w:rsid w:val="00F04D5D"/>
    <w:rsid w:val="00F05458"/>
    <w:rsid w:val="00F065A4"/>
    <w:rsid w:val="00F06AAF"/>
    <w:rsid w:val="00F06B73"/>
    <w:rsid w:val="00F06BCF"/>
    <w:rsid w:val="00F07C4C"/>
    <w:rsid w:val="00F07EA9"/>
    <w:rsid w:val="00F10694"/>
    <w:rsid w:val="00F10D76"/>
    <w:rsid w:val="00F119E9"/>
    <w:rsid w:val="00F128EE"/>
    <w:rsid w:val="00F1378F"/>
    <w:rsid w:val="00F149CD"/>
    <w:rsid w:val="00F14AD4"/>
    <w:rsid w:val="00F14DC5"/>
    <w:rsid w:val="00F15748"/>
    <w:rsid w:val="00F16A6D"/>
    <w:rsid w:val="00F1704B"/>
    <w:rsid w:val="00F17958"/>
    <w:rsid w:val="00F179A4"/>
    <w:rsid w:val="00F17ADF"/>
    <w:rsid w:val="00F17B06"/>
    <w:rsid w:val="00F2010E"/>
    <w:rsid w:val="00F22087"/>
    <w:rsid w:val="00F22BDD"/>
    <w:rsid w:val="00F22F09"/>
    <w:rsid w:val="00F23F09"/>
    <w:rsid w:val="00F24DA0"/>
    <w:rsid w:val="00F24E6D"/>
    <w:rsid w:val="00F2523C"/>
    <w:rsid w:val="00F25A59"/>
    <w:rsid w:val="00F263F0"/>
    <w:rsid w:val="00F2667F"/>
    <w:rsid w:val="00F274BD"/>
    <w:rsid w:val="00F27A2A"/>
    <w:rsid w:val="00F27B60"/>
    <w:rsid w:val="00F30D74"/>
    <w:rsid w:val="00F3116C"/>
    <w:rsid w:val="00F31A57"/>
    <w:rsid w:val="00F31CCD"/>
    <w:rsid w:val="00F32C9A"/>
    <w:rsid w:val="00F33667"/>
    <w:rsid w:val="00F34A1C"/>
    <w:rsid w:val="00F34F33"/>
    <w:rsid w:val="00F36252"/>
    <w:rsid w:val="00F3646D"/>
    <w:rsid w:val="00F374E1"/>
    <w:rsid w:val="00F37D82"/>
    <w:rsid w:val="00F40007"/>
    <w:rsid w:val="00F40A97"/>
    <w:rsid w:val="00F42149"/>
    <w:rsid w:val="00F4267C"/>
    <w:rsid w:val="00F429F1"/>
    <w:rsid w:val="00F4307A"/>
    <w:rsid w:val="00F43973"/>
    <w:rsid w:val="00F43AC3"/>
    <w:rsid w:val="00F43ED5"/>
    <w:rsid w:val="00F4406B"/>
    <w:rsid w:val="00F444A8"/>
    <w:rsid w:val="00F44F61"/>
    <w:rsid w:val="00F46154"/>
    <w:rsid w:val="00F46203"/>
    <w:rsid w:val="00F4621D"/>
    <w:rsid w:val="00F464D4"/>
    <w:rsid w:val="00F46638"/>
    <w:rsid w:val="00F46B36"/>
    <w:rsid w:val="00F46CB4"/>
    <w:rsid w:val="00F47167"/>
    <w:rsid w:val="00F4750E"/>
    <w:rsid w:val="00F47A6A"/>
    <w:rsid w:val="00F5009E"/>
    <w:rsid w:val="00F5037B"/>
    <w:rsid w:val="00F50FEB"/>
    <w:rsid w:val="00F51910"/>
    <w:rsid w:val="00F51F18"/>
    <w:rsid w:val="00F52072"/>
    <w:rsid w:val="00F5228D"/>
    <w:rsid w:val="00F52FB9"/>
    <w:rsid w:val="00F532E3"/>
    <w:rsid w:val="00F53DED"/>
    <w:rsid w:val="00F54C2F"/>
    <w:rsid w:val="00F5518F"/>
    <w:rsid w:val="00F55306"/>
    <w:rsid w:val="00F55715"/>
    <w:rsid w:val="00F560A2"/>
    <w:rsid w:val="00F56B5C"/>
    <w:rsid w:val="00F56ECC"/>
    <w:rsid w:val="00F56F51"/>
    <w:rsid w:val="00F6001B"/>
    <w:rsid w:val="00F605C9"/>
    <w:rsid w:val="00F607E0"/>
    <w:rsid w:val="00F6091B"/>
    <w:rsid w:val="00F60944"/>
    <w:rsid w:val="00F60C89"/>
    <w:rsid w:val="00F618CC"/>
    <w:rsid w:val="00F6192B"/>
    <w:rsid w:val="00F6214C"/>
    <w:rsid w:val="00F6373A"/>
    <w:rsid w:val="00F63E2D"/>
    <w:rsid w:val="00F64420"/>
    <w:rsid w:val="00F658C7"/>
    <w:rsid w:val="00F66822"/>
    <w:rsid w:val="00F67D47"/>
    <w:rsid w:val="00F706FC"/>
    <w:rsid w:val="00F7190A"/>
    <w:rsid w:val="00F71F5B"/>
    <w:rsid w:val="00F72A0C"/>
    <w:rsid w:val="00F730D5"/>
    <w:rsid w:val="00F735CE"/>
    <w:rsid w:val="00F7400A"/>
    <w:rsid w:val="00F750D3"/>
    <w:rsid w:val="00F757D4"/>
    <w:rsid w:val="00F75E2B"/>
    <w:rsid w:val="00F761C8"/>
    <w:rsid w:val="00F763A6"/>
    <w:rsid w:val="00F7682B"/>
    <w:rsid w:val="00F76D1D"/>
    <w:rsid w:val="00F77378"/>
    <w:rsid w:val="00F7778C"/>
    <w:rsid w:val="00F8022E"/>
    <w:rsid w:val="00F80571"/>
    <w:rsid w:val="00F80752"/>
    <w:rsid w:val="00F8171E"/>
    <w:rsid w:val="00F82FD1"/>
    <w:rsid w:val="00F8312B"/>
    <w:rsid w:val="00F83A3C"/>
    <w:rsid w:val="00F84F97"/>
    <w:rsid w:val="00F8573B"/>
    <w:rsid w:val="00F85E21"/>
    <w:rsid w:val="00F860E8"/>
    <w:rsid w:val="00F902B0"/>
    <w:rsid w:val="00F90531"/>
    <w:rsid w:val="00F90598"/>
    <w:rsid w:val="00F90959"/>
    <w:rsid w:val="00F91731"/>
    <w:rsid w:val="00F91AE4"/>
    <w:rsid w:val="00F91D8E"/>
    <w:rsid w:val="00F91D9D"/>
    <w:rsid w:val="00F92A8B"/>
    <w:rsid w:val="00F92E48"/>
    <w:rsid w:val="00F936A9"/>
    <w:rsid w:val="00F94969"/>
    <w:rsid w:val="00F95A65"/>
    <w:rsid w:val="00F9602C"/>
    <w:rsid w:val="00F96BA1"/>
    <w:rsid w:val="00F970F4"/>
    <w:rsid w:val="00F9729C"/>
    <w:rsid w:val="00F9742D"/>
    <w:rsid w:val="00FA0319"/>
    <w:rsid w:val="00FA07D3"/>
    <w:rsid w:val="00FA0914"/>
    <w:rsid w:val="00FA0D15"/>
    <w:rsid w:val="00FA2DBE"/>
    <w:rsid w:val="00FA4F1C"/>
    <w:rsid w:val="00FA68BA"/>
    <w:rsid w:val="00FA7142"/>
    <w:rsid w:val="00FA73F0"/>
    <w:rsid w:val="00FA7753"/>
    <w:rsid w:val="00FA7A02"/>
    <w:rsid w:val="00FB00A9"/>
    <w:rsid w:val="00FB1329"/>
    <w:rsid w:val="00FB242A"/>
    <w:rsid w:val="00FB2C7B"/>
    <w:rsid w:val="00FB3497"/>
    <w:rsid w:val="00FB3C42"/>
    <w:rsid w:val="00FB42C1"/>
    <w:rsid w:val="00FB45A9"/>
    <w:rsid w:val="00FB4DB2"/>
    <w:rsid w:val="00FB51AA"/>
    <w:rsid w:val="00FB56B9"/>
    <w:rsid w:val="00FB56C9"/>
    <w:rsid w:val="00FB5B3D"/>
    <w:rsid w:val="00FB5DFC"/>
    <w:rsid w:val="00FB6AC2"/>
    <w:rsid w:val="00FB6C7E"/>
    <w:rsid w:val="00FB6D43"/>
    <w:rsid w:val="00FB6DBD"/>
    <w:rsid w:val="00FB7878"/>
    <w:rsid w:val="00FB7DEC"/>
    <w:rsid w:val="00FC1F2C"/>
    <w:rsid w:val="00FC2089"/>
    <w:rsid w:val="00FC22B8"/>
    <w:rsid w:val="00FC2E1E"/>
    <w:rsid w:val="00FC48BF"/>
    <w:rsid w:val="00FC5558"/>
    <w:rsid w:val="00FC667A"/>
    <w:rsid w:val="00FC66AC"/>
    <w:rsid w:val="00FC6DDE"/>
    <w:rsid w:val="00FC783D"/>
    <w:rsid w:val="00FC7D48"/>
    <w:rsid w:val="00FD042C"/>
    <w:rsid w:val="00FD1386"/>
    <w:rsid w:val="00FD19FE"/>
    <w:rsid w:val="00FD1A98"/>
    <w:rsid w:val="00FD1ACC"/>
    <w:rsid w:val="00FD1F6B"/>
    <w:rsid w:val="00FD2285"/>
    <w:rsid w:val="00FD2EE5"/>
    <w:rsid w:val="00FD3192"/>
    <w:rsid w:val="00FD3293"/>
    <w:rsid w:val="00FD4A43"/>
    <w:rsid w:val="00FD51A6"/>
    <w:rsid w:val="00FD64C4"/>
    <w:rsid w:val="00FD6E53"/>
    <w:rsid w:val="00FD7841"/>
    <w:rsid w:val="00FD7FB0"/>
    <w:rsid w:val="00FE0082"/>
    <w:rsid w:val="00FE067B"/>
    <w:rsid w:val="00FE1A68"/>
    <w:rsid w:val="00FE1CA2"/>
    <w:rsid w:val="00FE1CBF"/>
    <w:rsid w:val="00FE2D72"/>
    <w:rsid w:val="00FE2F9A"/>
    <w:rsid w:val="00FE42B5"/>
    <w:rsid w:val="00FE4B97"/>
    <w:rsid w:val="00FE5D6B"/>
    <w:rsid w:val="00FE6898"/>
    <w:rsid w:val="00FE69B1"/>
    <w:rsid w:val="00FE71E0"/>
    <w:rsid w:val="00FE73F2"/>
    <w:rsid w:val="00FF06B0"/>
    <w:rsid w:val="00FF09DA"/>
    <w:rsid w:val="00FF0B36"/>
    <w:rsid w:val="00FF2292"/>
    <w:rsid w:val="00FF3AEB"/>
    <w:rsid w:val="00FF3C96"/>
    <w:rsid w:val="00FF4F26"/>
    <w:rsid w:val="00FF57B9"/>
    <w:rsid w:val="00FF5AD6"/>
    <w:rsid w:val="00FF6695"/>
    <w:rsid w:val="00FF6B73"/>
    <w:rsid w:val="00FF70D6"/>
    <w:rsid w:val="00FF77C2"/>
    <w:rsid w:val="00FF79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12A92"/>
  <w15:docId w15:val="{7CDC2FEA-2888-47B3-91A5-82F703CE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240"/>
  </w:style>
  <w:style w:type="paragraph" w:styleId="Heading1">
    <w:name w:val="heading 1"/>
    <w:basedOn w:val="Normal"/>
    <w:next w:val="Normal"/>
    <w:link w:val="Heading1Char"/>
    <w:uiPriority w:val="9"/>
    <w:qFormat/>
    <w:rsid w:val="007265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1AE"/>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91D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40D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5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2656B"/>
    <w:pPr>
      <w:outlineLvl w:val="9"/>
    </w:pPr>
    <w:rPr>
      <w:kern w:val="0"/>
      <w:lang w:val="en-US"/>
      <w14:ligatures w14:val="none"/>
    </w:rPr>
  </w:style>
  <w:style w:type="character" w:customStyle="1" w:styleId="Heading2Char">
    <w:name w:val="Heading 2 Char"/>
    <w:basedOn w:val="DefaultParagraphFont"/>
    <w:link w:val="Heading2"/>
    <w:uiPriority w:val="9"/>
    <w:rsid w:val="00D321AE"/>
    <w:rPr>
      <w:rFonts w:asciiTheme="majorHAnsi" w:eastAsiaTheme="majorEastAsia" w:hAnsiTheme="majorHAnsi" w:cstheme="majorBidi"/>
      <w:b/>
      <w:color w:val="2F5496" w:themeColor="accent1" w:themeShade="BF"/>
      <w:sz w:val="26"/>
      <w:szCs w:val="26"/>
    </w:rPr>
  </w:style>
  <w:style w:type="paragraph" w:styleId="ListParagraph">
    <w:name w:val="List Paragraph"/>
    <w:aliases w:val="bullets - top,Lettre d'introduction,List Paragraph1,List Paragraph - bullets,Bullet List 1,Unordered List Level 1,Indented Paragraph,Recommendation,List Paragraph11,Bullet list,Heading 4 test,Dot pt,F5 List Paragraph,b1,B1"/>
    <w:basedOn w:val="Normal"/>
    <w:link w:val="ListParagraphChar"/>
    <w:uiPriority w:val="34"/>
    <w:qFormat/>
    <w:rsid w:val="0072656B"/>
    <w:pPr>
      <w:ind w:left="720"/>
      <w:contextualSpacing/>
    </w:pPr>
  </w:style>
  <w:style w:type="paragraph" w:styleId="TOC1">
    <w:name w:val="toc 1"/>
    <w:basedOn w:val="Normal"/>
    <w:next w:val="Normal"/>
    <w:autoRedefine/>
    <w:uiPriority w:val="39"/>
    <w:unhideWhenUsed/>
    <w:rsid w:val="0023151B"/>
    <w:pPr>
      <w:spacing w:before="120" w:after="0"/>
    </w:pPr>
    <w:rPr>
      <w:rFonts w:cstheme="minorHAnsi"/>
      <w:b/>
      <w:bCs/>
      <w:i/>
      <w:iCs/>
      <w:sz w:val="24"/>
      <w:szCs w:val="24"/>
    </w:rPr>
  </w:style>
  <w:style w:type="paragraph" w:styleId="TOC2">
    <w:name w:val="toc 2"/>
    <w:basedOn w:val="Normal"/>
    <w:next w:val="Normal"/>
    <w:autoRedefine/>
    <w:uiPriority w:val="39"/>
    <w:unhideWhenUsed/>
    <w:rsid w:val="00DA3D9A"/>
    <w:pPr>
      <w:spacing w:before="120" w:after="0"/>
      <w:ind w:left="220"/>
    </w:pPr>
    <w:rPr>
      <w:rFonts w:cstheme="minorHAnsi"/>
      <w:b/>
      <w:bCs/>
    </w:rPr>
  </w:style>
  <w:style w:type="character" w:styleId="Hyperlink">
    <w:name w:val="Hyperlink"/>
    <w:basedOn w:val="DefaultParagraphFont"/>
    <w:uiPriority w:val="99"/>
    <w:unhideWhenUsed/>
    <w:rsid w:val="0023151B"/>
    <w:rPr>
      <w:color w:val="0563C1" w:themeColor="hyperlink"/>
      <w:u w:val="single"/>
    </w:rPr>
  </w:style>
  <w:style w:type="paragraph" w:styleId="FootnoteText">
    <w:name w:val="footnote text"/>
    <w:aliases w:val="alinéa de note,5_G,Footnotes,Note de bas de page2,fn,Fußnotentext RAXEN,Footnote Text Char2 Char,Footnote Text Char Char1 Char,Footnote Text Char2 Char Char Char,Footnote Text Char1 Char Char Char Char,footnotes,footnote text,Tex,Car,F"/>
    <w:basedOn w:val="Normal"/>
    <w:link w:val="FootnoteTextChar"/>
    <w:uiPriority w:val="99"/>
    <w:unhideWhenUsed/>
    <w:qFormat/>
    <w:rsid w:val="0060645D"/>
    <w:pPr>
      <w:spacing w:after="0" w:line="240" w:lineRule="auto"/>
    </w:pPr>
    <w:rPr>
      <w:sz w:val="20"/>
      <w:szCs w:val="20"/>
    </w:rPr>
  </w:style>
  <w:style w:type="character" w:customStyle="1" w:styleId="FootnoteTextChar">
    <w:name w:val="Footnote Text Char"/>
    <w:aliases w:val="alinéa de note Char,5_G Char,Footnotes Char,Note de bas de page2 Char,fn Char,Fußnotentext RAXEN Char,Footnote Text Char2 Char Char,Footnote Text Char Char1 Char Char,Footnote Text Char2 Char Char Char Char,footnotes Char,Tex Char"/>
    <w:basedOn w:val="DefaultParagraphFont"/>
    <w:link w:val="FootnoteText"/>
    <w:uiPriority w:val="99"/>
    <w:rsid w:val="0060645D"/>
    <w:rPr>
      <w:sz w:val="20"/>
      <w:szCs w:val="20"/>
    </w:rPr>
  </w:style>
  <w:style w:type="character" w:styleId="FootnoteReference">
    <w:name w:val="footnote reference"/>
    <w:aliases w:val="4_G,Footnotes refss,Footnote Ref,16 Point,Superscript 6 Point,callout,Ref,de nota al pie,Appel note de bas de p.,Footnote text,ftref,fr,oc-footreference,oc-footnoteref,oc-footreference1,oc-footnoteref1,(Diplomarbeit FZ),(Dipl..."/>
    <w:basedOn w:val="DefaultParagraphFont"/>
    <w:link w:val="FootnotesymbolCarZchnZchn"/>
    <w:uiPriority w:val="99"/>
    <w:unhideWhenUsed/>
    <w:qFormat/>
    <w:rsid w:val="0060645D"/>
    <w:rPr>
      <w:vertAlign w:val="superscript"/>
    </w:rPr>
  </w:style>
  <w:style w:type="character" w:styleId="UnresolvedMention">
    <w:name w:val="Unresolved Mention"/>
    <w:basedOn w:val="DefaultParagraphFont"/>
    <w:uiPriority w:val="99"/>
    <w:semiHidden/>
    <w:unhideWhenUsed/>
    <w:rsid w:val="00D12036"/>
    <w:rPr>
      <w:color w:val="605E5C"/>
      <w:shd w:val="clear" w:color="auto" w:fill="E1DFDD"/>
    </w:rPr>
  </w:style>
  <w:style w:type="paragraph" w:styleId="Quote">
    <w:name w:val="Quote"/>
    <w:basedOn w:val="Normal"/>
    <w:next w:val="Normal"/>
    <w:link w:val="QuoteChar"/>
    <w:uiPriority w:val="29"/>
    <w:qFormat/>
    <w:rsid w:val="00FF09DA"/>
    <w:pPr>
      <w:spacing w:before="200"/>
      <w:ind w:left="567" w:right="713"/>
      <w:jc w:val="both"/>
    </w:pPr>
    <w:rPr>
      <w:color w:val="404040" w:themeColor="text1" w:themeTint="BF"/>
      <w:sz w:val="24"/>
      <w:szCs w:val="24"/>
    </w:rPr>
  </w:style>
  <w:style w:type="character" w:customStyle="1" w:styleId="QuoteChar">
    <w:name w:val="Quote Char"/>
    <w:basedOn w:val="DefaultParagraphFont"/>
    <w:link w:val="Quote"/>
    <w:uiPriority w:val="29"/>
    <w:rsid w:val="00FF09DA"/>
    <w:rPr>
      <w:color w:val="404040" w:themeColor="text1" w:themeTint="BF"/>
      <w:sz w:val="24"/>
      <w:szCs w:val="24"/>
    </w:rPr>
  </w:style>
  <w:style w:type="paragraph" w:styleId="Header">
    <w:name w:val="header"/>
    <w:basedOn w:val="Normal"/>
    <w:link w:val="HeaderChar"/>
    <w:uiPriority w:val="99"/>
    <w:unhideWhenUsed/>
    <w:rsid w:val="002F2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B4A"/>
  </w:style>
  <w:style w:type="paragraph" w:styleId="Footer">
    <w:name w:val="footer"/>
    <w:basedOn w:val="Normal"/>
    <w:link w:val="FooterChar"/>
    <w:uiPriority w:val="99"/>
    <w:unhideWhenUsed/>
    <w:rsid w:val="002F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B4A"/>
  </w:style>
  <w:style w:type="character" w:styleId="FollowedHyperlink">
    <w:name w:val="FollowedHyperlink"/>
    <w:basedOn w:val="DefaultParagraphFont"/>
    <w:uiPriority w:val="99"/>
    <w:semiHidden/>
    <w:unhideWhenUsed/>
    <w:rsid w:val="003459E5"/>
    <w:rPr>
      <w:color w:val="954F72" w:themeColor="followedHyperlink"/>
      <w:u w:val="single"/>
    </w:rPr>
  </w:style>
  <w:style w:type="character" w:customStyle="1" w:styleId="Heading3Char">
    <w:name w:val="Heading 3 Char"/>
    <w:basedOn w:val="DefaultParagraphFont"/>
    <w:link w:val="Heading3"/>
    <w:uiPriority w:val="9"/>
    <w:rsid w:val="00F91D9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A3E38"/>
    <w:pPr>
      <w:spacing w:after="0"/>
      <w:ind w:left="440"/>
    </w:pPr>
    <w:rPr>
      <w:rFonts w:cstheme="minorHAnsi"/>
      <w:sz w:val="20"/>
      <w:szCs w:val="20"/>
    </w:rPr>
  </w:style>
  <w:style w:type="character" w:styleId="CommentReference">
    <w:name w:val="annotation reference"/>
    <w:basedOn w:val="DefaultParagraphFont"/>
    <w:uiPriority w:val="99"/>
    <w:semiHidden/>
    <w:unhideWhenUsed/>
    <w:rsid w:val="00A13EA9"/>
    <w:rPr>
      <w:sz w:val="16"/>
      <w:szCs w:val="16"/>
    </w:rPr>
  </w:style>
  <w:style w:type="paragraph" w:styleId="CommentText">
    <w:name w:val="annotation text"/>
    <w:basedOn w:val="Normal"/>
    <w:link w:val="CommentTextChar"/>
    <w:uiPriority w:val="99"/>
    <w:unhideWhenUsed/>
    <w:rsid w:val="00A13EA9"/>
    <w:pPr>
      <w:spacing w:line="240" w:lineRule="auto"/>
    </w:pPr>
    <w:rPr>
      <w:sz w:val="20"/>
      <w:szCs w:val="20"/>
    </w:rPr>
  </w:style>
  <w:style w:type="character" w:customStyle="1" w:styleId="CommentTextChar">
    <w:name w:val="Comment Text Char"/>
    <w:basedOn w:val="DefaultParagraphFont"/>
    <w:link w:val="CommentText"/>
    <w:uiPriority w:val="99"/>
    <w:rsid w:val="00A13EA9"/>
    <w:rPr>
      <w:sz w:val="20"/>
      <w:szCs w:val="20"/>
    </w:rPr>
  </w:style>
  <w:style w:type="paragraph" w:styleId="CommentSubject">
    <w:name w:val="annotation subject"/>
    <w:basedOn w:val="CommentText"/>
    <w:next w:val="CommentText"/>
    <w:link w:val="CommentSubjectChar"/>
    <w:uiPriority w:val="99"/>
    <w:semiHidden/>
    <w:unhideWhenUsed/>
    <w:rsid w:val="00A13EA9"/>
    <w:rPr>
      <w:b/>
      <w:bCs/>
    </w:rPr>
  </w:style>
  <w:style w:type="character" w:customStyle="1" w:styleId="CommentSubjectChar">
    <w:name w:val="Comment Subject Char"/>
    <w:basedOn w:val="CommentTextChar"/>
    <w:link w:val="CommentSubject"/>
    <w:uiPriority w:val="99"/>
    <w:semiHidden/>
    <w:rsid w:val="00A13EA9"/>
    <w:rPr>
      <w:b/>
      <w:bCs/>
      <w:sz w:val="20"/>
      <w:szCs w:val="20"/>
    </w:rPr>
  </w:style>
  <w:style w:type="paragraph" w:styleId="Revision">
    <w:name w:val="Revision"/>
    <w:hidden/>
    <w:uiPriority w:val="99"/>
    <w:semiHidden/>
    <w:rsid w:val="00256822"/>
    <w:pPr>
      <w:spacing w:after="0" w:line="240" w:lineRule="auto"/>
    </w:pPr>
  </w:style>
  <w:style w:type="table" w:styleId="TableGrid">
    <w:name w:val="Table Grid"/>
    <w:basedOn w:val="TableNormal"/>
    <w:uiPriority w:val="39"/>
    <w:rsid w:val="0080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7420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A04329"/>
    <w:pPr>
      <w:spacing w:after="0" w:line="240" w:lineRule="auto"/>
    </w:pPr>
    <w:rPr>
      <w:rFonts w:ascii="Calibri" w:eastAsia="Calibri" w:hAnsi="Calibri" w:cs="Calibri"/>
      <w:kern w:val="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0E475F"/>
    <w:pPr>
      <w:spacing w:after="0" w:line="240" w:lineRule="auto"/>
    </w:pPr>
    <w:rPr>
      <w:sz w:val="20"/>
      <w:szCs w:val="20"/>
    </w:rPr>
  </w:style>
  <w:style w:type="character" w:customStyle="1" w:styleId="EndnoteTextChar">
    <w:name w:val="Endnote Text Char"/>
    <w:basedOn w:val="DefaultParagraphFont"/>
    <w:link w:val="EndnoteText"/>
    <w:uiPriority w:val="99"/>
    <w:rsid w:val="000E475F"/>
    <w:rPr>
      <w:sz w:val="20"/>
      <w:szCs w:val="20"/>
    </w:rPr>
  </w:style>
  <w:style w:type="character" w:styleId="EndnoteReference">
    <w:name w:val="endnote reference"/>
    <w:basedOn w:val="DefaultParagraphFont"/>
    <w:uiPriority w:val="99"/>
    <w:semiHidden/>
    <w:unhideWhenUsed/>
    <w:rsid w:val="000E475F"/>
    <w:rPr>
      <w:vertAlign w:val="superscript"/>
    </w:rPr>
  </w:style>
  <w:style w:type="character" w:customStyle="1" w:styleId="Heading4Char">
    <w:name w:val="Heading 4 Char"/>
    <w:basedOn w:val="DefaultParagraphFont"/>
    <w:link w:val="Heading4"/>
    <w:uiPriority w:val="9"/>
    <w:semiHidden/>
    <w:rsid w:val="00840D07"/>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bullets - top Char,Lettre d'introduction Char,List Paragraph1 Char,List Paragraph - bullets Char,Bullet List 1 Char,Unordered List Level 1 Char,Indented Paragraph Char,Recommendation Char,List Paragraph11 Char,Bullet list Char"/>
    <w:basedOn w:val="DefaultParagraphFont"/>
    <w:link w:val="ListParagraph"/>
    <w:uiPriority w:val="34"/>
    <w:qFormat/>
    <w:rsid w:val="00695E1B"/>
  </w:style>
  <w:style w:type="table" w:styleId="GridTable1Light-Accent1">
    <w:name w:val="Grid Table 1 Light Accent 1"/>
    <w:basedOn w:val="TableNormal"/>
    <w:uiPriority w:val="46"/>
    <w:rsid w:val="000A115E"/>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yperlink0">
    <w:name w:val="Hyperlink.0"/>
    <w:basedOn w:val="Hyperlink"/>
    <w:rsid w:val="00324294"/>
    <w:rPr>
      <w:color w:val="0563C1"/>
      <w:u w:val="single" w:color="0563C1"/>
    </w:rPr>
  </w:style>
  <w:style w:type="character" w:customStyle="1" w:styleId="None">
    <w:name w:val="None"/>
    <w:rsid w:val="00324294"/>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
    <w:basedOn w:val="Normal"/>
    <w:link w:val="FootnoteReference"/>
    <w:uiPriority w:val="99"/>
    <w:rsid w:val="00324294"/>
    <w:pPr>
      <w:suppressAutoHyphens/>
      <w:spacing w:line="240" w:lineRule="exact"/>
      <w:jc w:val="both"/>
    </w:pPr>
    <w:rPr>
      <w:vertAlign w:val="superscript"/>
    </w:rPr>
  </w:style>
  <w:style w:type="paragraph" w:styleId="BodyText">
    <w:name w:val="Body Text"/>
    <w:basedOn w:val="Normal"/>
    <w:link w:val="BodyTextChar"/>
    <w:uiPriority w:val="1"/>
    <w:qFormat/>
    <w:rsid w:val="00324294"/>
    <w:pPr>
      <w:widowControl w:val="0"/>
      <w:autoSpaceDE w:val="0"/>
      <w:autoSpaceDN w:val="0"/>
      <w:spacing w:after="0" w:line="240" w:lineRule="auto"/>
    </w:pPr>
    <w:rPr>
      <w:rFonts w:ascii="Trebuchet MS" w:eastAsia="Trebuchet MS" w:hAnsi="Trebuchet MS" w:cs="Trebuchet MS"/>
      <w:kern w:val="0"/>
      <w:sz w:val="20"/>
      <w:szCs w:val="20"/>
      <w:lang w:val="en-US"/>
      <w14:ligatures w14:val="none"/>
    </w:rPr>
  </w:style>
  <w:style w:type="character" w:customStyle="1" w:styleId="BodyTextChar">
    <w:name w:val="Body Text Char"/>
    <w:basedOn w:val="DefaultParagraphFont"/>
    <w:link w:val="BodyText"/>
    <w:uiPriority w:val="1"/>
    <w:rsid w:val="00324294"/>
    <w:rPr>
      <w:rFonts w:ascii="Trebuchet MS" w:eastAsia="Trebuchet MS" w:hAnsi="Trebuchet MS" w:cs="Trebuchet MS"/>
      <w:kern w:val="0"/>
      <w:sz w:val="20"/>
      <w:szCs w:val="20"/>
      <w:lang w:val="en-US"/>
      <w14:ligatures w14:val="none"/>
    </w:rPr>
  </w:style>
  <w:style w:type="paragraph" w:customStyle="1" w:styleId="Body">
    <w:name w:val="Body"/>
    <w:rsid w:val="00851164"/>
    <w:pPr>
      <w:pBdr>
        <w:top w:val="nil"/>
        <w:left w:val="nil"/>
        <w:bottom w:val="nil"/>
        <w:right w:val="nil"/>
        <w:between w:val="nil"/>
        <w:bar w:val="nil"/>
      </w:pBdr>
    </w:pPr>
    <w:rPr>
      <w:rFonts w:ascii="Calibri" w:eastAsia="Calibri" w:hAnsi="Calibri" w:cs="Calibri"/>
      <w:color w:val="000000"/>
      <w:kern w:val="0"/>
      <w:u w:color="000000"/>
      <w:bdr w:val="nil"/>
      <w:lang w:val="en-US"/>
      <w14:ligatures w14:val="none"/>
    </w:rPr>
  </w:style>
  <w:style w:type="character" w:styleId="PageNumber">
    <w:name w:val="page number"/>
    <w:basedOn w:val="DefaultParagraphFont"/>
    <w:uiPriority w:val="99"/>
    <w:semiHidden/>
    <w:unhideWhenUsed/>
    <w:rsid w:val="002E5CBD"/>
  </w:style>
  <w:style w:type="character" w:styleId="Emphasis">
    <w:name w:val="Emphasis"/>
    <w:basedOn w:val="DefaultParagraphFont"/>
    <w:uiPriority w:val="20"/>
    <w:qFormat/>
    <w:rsid w:val="008169A3"/>
    <w:rPr>
      <w:i/>
      <w:iCs/>
    </w:rPr>
  </w:style>
  <w:style w:type="paragraph" w:styleId="TOC4">
    <w:name w:val="toc 4"/>
    <w:basedOn w:val="Normal"/>
    <w:next w:val="Normal"/>
    <w:autoRedefine/>
    <w:uiPriority w:val="39"/>
    <w:unhideWhenUsed/>
    <w:rsid w:val="00EA17AD"/>
    <w:pPr>
      <w:spacing w:after="0"/>
      <w:ind w:left="660"/>
    </w:pPr>
    <w:rPr>
      <w:rFonts w:cstheme="minorHAnsi"/>
      <w:sz w:val="20"/>
      <w:szCs w:val="20"/>
    </w:rPr>
  </w:style>
  <w:style w:type="paragraph" w:styleId="TOC5">
    <w:name w:val="toc 5"/>
    <w:basedOn w:val="Normal"/>
    <w:next w:val="Normal"/>
    <w:autoRedefine/>
    <w:uiPriority w:val="39"/>
    <w:unhideWhenUsed/>
    <w:rsid w:val="00EA17AD"/>
    <w:pPr>
      <w:spacing w:after="0"/>
      <w:ind w:left="880"/>
    </w:pPr>
    <w:rPr>
      <w:rFonts w:cstheme="minorHAnsi"/>
      <w:sz w:val="20"/>
      <w:szCs w:val="20"/>
    </w:rPr>
  </w:style>
  <w:style w:type="paragraph" w:styleId="TOC6">
    <w:name w:val="toc 6"/>
    <w:basedOn w:val="Normal"/>
    <w:next w:val="Normal"/>
    <w:autoRedefine/>
    <w:uiPriority w:val="39"/>
    <w:unhideWhenUsed/>
    <w:rsid w:val="00EA17AD"/>
    <w:pPr>
      <w:spacing w:after="0"/>
      <w:ind w:left="1100"/>
    </w:pPr>
    <w:rPr>
      <w:rFonts w:cstheme="minorHAnsi"/>
      <w:sz w:val="20"/>
      <w:szCs w:val="20"/>
    </w:rPr>
  </w:style>
  <w:style w:type="paragraph" w:styleId="TOC7">
    <w:name w:val="toc 7"/>
    <w:basedOn w:val="Normal"/>
    <w:next w:val="Normal"/>
    <w:autoRedefine/>
    <w:uiPriority w:val="39"/>
    <w:unhideWhenUsed/>
    <w:rsid w:val="00EA17AD"/>
    <w:pPr>
      <w:spacing w:after="0"/>
      <w:ind w:left="1320"/>
    </w:pPr>
    <w:rPr>
      <w:rFonts w:cstheme="minorHAnsi"/>
      <w:sz w:val="20"/>
      <w:szCs w:val="20"/>
    </w:rPr>
  </w:style>
  <w:style w:type="paragraph" w:styleId="TOC8">
    <w:name w:val="toc 8"/>
    <w:basedOn w:val="Normal"/>
    <w:next w:val="Normal"/>
    <w:autoRedefine/>
    <w:uiPriority w:val="39"/>
    <w:unhideWhenUsed/>
    <w:rsid w:val="00EA17AD"/>
    <w:pPr>
      <w:spacing w:after="0"/>
      <w:ind w:left="1540"/>
    </w:pPr>
    <w:rPr>
      <w:rFonts w:cstheme="minorHAnsi"/>
      <w:sz w:val="20"/>
      <w:szCs w:val="20"/>
    </w:rPr>
  </w:style>
  <w:style w:type="paragraph" w:styleId="TOC9">
    <w:name w:val="toc 9"/>
    <w:basedOn w:val="Normal"/>
    <w:next w:val="Normal"/>
    <w:autoRedefine/>
    <w:uiPriority w:val="39"/>
    <w:unhideWhenUsed/>
    <w:rsid w:val="00EA17AD"/>
    <w:pPr>
      <w:spacing w:after="0"/>
      <w:ind w:left="1760"/>
    </w:pPr>
    <w:rPr>
      <w:rFonts w:cstheme="minorHAnsi"/>
      <w:sz w:val="20"/>
      <w:szCs w:val="20"/>
    </w:rPr>
  </w:style>
  <w:style w:type="paragraph" w:customStyle="1" w:styleId="Footnote">
    <w:name w:val="Footnote"/>
    <w:basedOn w:val="Normal"/>
    <w:qFormat/>
    <w:rsid w:val="009F548E"/>
    <w:pPr>
      <w:spacing w:after="0" w:line="240" w:lineRule="auto"/>
    </w:pPr>
    <w:rPr>
      <w:rFonts w:eastAsia="Times New Roman" w:cs="Times New Roman"/>
      <w:kern w:val="0"/>
      <w:sz w:val="20"/>
      <w:szCs w:val="24"/>
      <w14:ligatures w14:val="none"/>
    </w:rPr>
  </w:style>
  <w:style w:type="paragraph" w:styleId="NormalWeb">
    <w:name w:val="Normal (Web)"/>
    <w:basedOn w:val="Normal"/>
    <w:uiPriority w:val="99"/>
    <w:semiHidden/>
    <w:unhideWhenUsed/>
    <w:rsid w:val="006668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1">
    <w:name w:val="Table Grid11"/>
    <w:basedOn w:val="TableNormal"/>
    <w:next w:val="TableGrid"/>
    <w:uiPriority w:val="39"/>
    <w:rsid w:val="0047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207A"/>
    <w:pPr>
      <w:spacing w:after="0" w:line="240" w:lineRule="auto"/>
    </w:pPr>
    <w:rPr>
      <w:rFonts w:ascii="Calibri" w:eastAsia="Calibri" w:hAnsi="Calibri" w:cs="Calibri"/>
      <w:kern w:val="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49F5"/>
    <w:pPr>
      <w:spacing w:after="0" w:line="240" w:lineRule="auto"/>
    </w:pPr>
  </w:style>
  <w:style w:type="numbering" w:customStyle="1" w:styleId="CurrentList1">
    <w:name w:val="Current List1"/>
    <w:uiPriority w:val="99"/>
    <w:rsid w:val="00F970F4"/>
    <w:pPr>
      <w:numPr>
        <w:numId w:val="26"/>
      </w:numPr>
    </w:pPr>
  </w:style>
  <w:style w:type="table" w:customStyle="1" w:styleId="TableGrid12">
    <w:name w:val="Table Grid12"/>
    <w:basedOn w:val="TableNormal"/>
    <w:next w:val="TableGrid"/>
    <w:uiPriority w:val="39"/>
    <w:rsid w:val="003012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AC6965"/>
    <w:pPr>
      <w:numPr>
        <w:numId w:val="39"/>
      </w:numPr>
    </w:pPr>
  </w:style>
  <w:style w:type="numbering" w:customStyle="1" w:styleId="CurrentList3">
    <w:name w:val="Current List3"/>
    <w:uiPriority w:val="99"/>
    <w:rsid w:val="00A2744F"/>
    <w:pPr>
      <w:numPr>
        <w:numId w:val="41"/>
      </w:numPr>
    </w:pPr>
  </w:style>
  <w:style w:type="table" w:customStyle="1" w:styleId="TableGrid13">
    <w:name w:val="Table Grid13"/>
    <w:basedOn w:val="TableNormal"/>
    <w:next w:val="TableGrid"/>
    <w:uiPriority w:val="39"/>
    <w:rsid w:val="00301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3767">
      <w:bodyDiv w:val="1"/>
      <w:marLeft w:val="0"/>
      <w:marRight w:val="0"/>
      <w:marTop w:val="0"/>
      <w:marBottom w:val="0"/>
      <w:divBdr>
        <w:top w:val="none" w:sz="0" w:space="0" w:color="auto"/>
        <w:left w:val="none" w:sz="0" w:space="0" w:color="auto"/>
        <w:bottom w:val="none" w:sz="0" w:space="0" w:color="auto"/>
        <w:right w:val="none" w:sz="0" w:space="0" w:color="auto"/>
      </w:divBdr>
    </w:div>
    <w:div w:id="91124168">
      <w:bodyDiv w:val="1"/>
      <w:marLeft w:val="0"/>
      <w:marRight w:val="0"/>
      <w:marTop w:val="0"/>
      <w:marBottom w:val="0"/>
      <w:divBdr>
        <w:top w:val="none" w:sz="0" w:space="0" w:color="auto"/>
        <w:left w:val="none" w:sz="0" w:space="0" w:color="auto"/>
        <w:bottom w:val="none" w:sz="0" w:space="0" w:color="auto"/>
        <w:right w:val="none" w:sz="0" w:space="0" w:color="auto"/>
      </w:divBdr>
    </w:div>
    <w:div w:id="120462619">
      <w:bodyDiv w:val="1"/>
      <w:marLeft w:val="0"/>
      <w:marRight w:val="0"/>
      <w:marTop w:val="0"/>
      <w:marBottom w:val="0"/>
      <w:divBdr>
        <w:top w:val="none" w:sz="0" w:space="0" w:color="auto"/>
        <w:left w:val="none" w:sz="0" w:space="0" w:color="auto"/>
        <w:bottom w:val="none" w:sz="0" w:space="0" w:color="auto"/>
        <w:right w:val="none" w:sz="0" w:space="0" w:color="auto"/>
      </w:divBdr>
    </w:div>
    <w:div w:id="143207859">
      <w:bodyDiv w:val="1"/>
      <w:marLeft w:val="0"/>
      <w:marRight w:val="0"/>
      <w:marTop w:val="0"/>
      <w:marBottom w:val="0"/>
      <w:divBdr>
        <w:top w:val="none" w:sz="0" w:space="0" w:color="auto"/>
        <w:left w:val="none" w:sz="0" w:space="0" w:color="auto"/>
        <w:bottom w:val="none" w:sz="0" w:space="0" w:color="auto"/>
        <w:right w:val="none" w:sz="0" w:space="0" w:color="auto"/>
      </w:divBdr>
    </w:div>
    <w:div w:id="158888786">
      <w:bodyDiv w:val="1"/>
      <w:marLeft w:val="0"/>
      <w:marRight w:val="0"/>
      <w:marTop w:val="0"/>
      <w:marBottom w:val="0"/>
      <w:divBdr>
        <w:top w:val="none" w:sz="0" w:space="0" w:color="auto"/>
        <w:left w:val="none" w:sz="0" w:space="0" w:color="auto"/>
        <w:bottom w:val="none" w:sz="0" w:space="0" w:color="auto"/>
        <w:right w:val="none" w:sz="0" w:space="0" w:color="auto"/>
      </w:divBdr>
    </w:div>
    <w:div w:id="171184356">
      <w:bodyDiv w:val="1"/>
      <w:marLeft w:val="0"/>
      <w:marRight w:val="0"/>
      <w:marTop w:val="0"/>
      <w:marBottom w:val="0"/>
      <w:divBdr>
        <w:top w:val="none" w:sz="0" w:space="0" w:color="auto"/>
        <w:left w:val="none" w:sz="0" w:space="0" w:color="auto"/>
        <w:bottom w:val="none" w:sz="0" w:space="0" w:color="auto"/>
        <w:right w:val="none" w:sz="0" w:space="0" w:color="auto"/>
      </w:divBdr>
    </w:div>
    <w:div w:id="217938690">
      <w:bodyDiv w:val="1"/>
      <w:marLeft w:val="0"/>
      <w:marRight w:val="0"/>
      <w:marTop w:val="0"/>
      <w:marBottom w:val="0"/>
      <w:divBdr>
        <w:top w:val="none" w:sz="0" w:space="0" w:color="auto"/>
        <w:left w:val="none" w:sz="0" w:space="0" w:color="auto"/>
        <w:bottom w:val="none" w:sz="0" w:space="0" w:color="auto"/>
        <w:right w:val="none" w:sz="0" w:space="0" w:color="auto"/>
      </w:divBdr>
    </w:div>
    <w:div w:id="228226316">
      <w:bodyDiv w:val="1"/>
      <w:marLeft w:val="0"/>
      <w:marRight w:val="0"/>
      <w:marTop w:val="0"/>
      <w:marBottom w:val="0"/>
      <w:divBdr>
        <w:top w:val="none" w:sz="0" w:space="0" w:color="auto"/>
        <w:left w:val="none" w:sz="0" w:space="0" w:color="auto"/>
        <w:bottom w:val="none" w:sz="0" w:space="0" w:color="auto"/>
        <w:right w:val="none" w:sz="0" w:space="0" w:color="auto"/>
      </w:divBdr>
    </w:div>
    <w:div w:id="232813147">
      <w:bodyDiv w:val="1"/>
      <w:marLeft w:val="0"/>
      <w:marRight w:val="0"/>
      <w:marTop w:val="0"/>
      <w:marBottom w:val="0"/>
      <w:divBdr>
        <w:top w:val="none" w:sz="0" w:space="0" w:color="auto"/>
        <w:left w:val="none" w:sz="0" w:space="0" w:color="auto"/>
        <w:bottom w:val="none" w:sz="0" w:space="0" w:color="auto"/>
        <w:right w:val="none" w:sz="0" w:space="0" w:color="auto"/>
      </w:divBdr>
      <w:divsChild>
        <w:div w:id="2072002734">
          <w:marLeft w:val="0"/>
          <w:marRight w:val="0"/>
          <w:marTop w:val="0"/>
          <w:marBottom w:val="0"/>
          <w:divBdr>
            <w:top w:val="none" w:sz="0" w:space="0" w:color="auto"/>
            <w:left w:val="none" w:sz="0" w:space="0" w:color="auto"/>
            <w:bottom w:val="none" w:sz="0" w:space="0" w:color="auto"/>
            <w:right w:val="none" w:sz="0" w:space="0" w:color="auto"/>
          </w:divBdr>
        </w:div>
        <w:div w:id="1044713747">
          <w:marLeft w:val="0"/>
          <w:marRight w:val="0"/>
          <w:marTop w:val="0"/>
          <w:marBottom w:val="0"/>
          <w:divBdr>
            <w:top w:val="none" w:sz="0" w:space="0" w:color="auto"/>
            <w:left w:val="none" w:sz="0" w:space="0" w:color="auto"/>
            <w:bottom w:val="none" w:sz="0" w:space="0" w:color="auto"/>
            <w:right w:val="none" w:sz="0" w:space="0" w:color="auto"/>
          </w:divBdr>
          <w:divsChild>
            <w:div w:id="1941602181">
              <w:marLeft w:val="0"/>
              <w:marRight w:val="0"/>
              <w:marTop w:val="0"/>
              <w:marBottom w:val="0"/>
              <w:divBdr>
                <w:top w:val="none" w:sz="0" w:space="0" w:color="auto"/>
                <w:left w:val="none" w:sz="0" w:space="0" w:color="auto"/>
                <w:bottom w:val="none" w:sz="0" w:space="0" w:color="auto"/>
                <w:right w:val="none" w:sz="0" w:space="0" w:color="auto"/>
              </w:divBdr>
            </w:div>
            <w:div w:id="10085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4110">
      <w:bodyDiv w:val="1"/>
      <w:marLeft w:val="0"/>
      <w:marRight w:val="0"/>
      <w:marTop w:val="0"/>
      <w:marBottom w:val="0"/>
      <w:divBdr>
        <w:top w:val="none" w:sz="0" w:space="0" w:color="auto"/>
        <w:left w:val="none" w:sz="0" w:space="0" w:color="auto"/>
        <w:bottom w:val="none" w:sz="0" w:space="0" w:color="auto"/>
        <w:right w:val="none" w:sz="0" w:space="0" w:color="auto"/>
      </w:divBdr>
    </w:div>
    <w:div w:id="329794734">
      <w:bodyDiv w:val="1"/>
      <w:marLeft w:val="0"/>
      <w:marRight w:val="0"/>
      <w:marTop w:val="0"/>
      <w:marBottom w:val="0"/>
      <w:divBdr>
        <w:top w:val="none" w:sz="0" w:space="0" w:color="auto"/>
        <w:left w:val="none" w:sz="0" w:space="0" w:color="auto"/>
        <w:bottom w:val="none" w:sz="0" w:space="0" w:color="auto"/>
        <w:right w:val="none" w:sz="0" w:space="0" w:color="auto"/>
      </w:divBdr>
    </w:div>
    <w:div w:id="372310786">
      <w:bodyDiv w:val="1"/>
      <w:marLeft w:val="0"/>
      <w:marRight w:val="0"/>
      <w:marTop w:val="0"/>
      <w:marBottom w:val="0"/>
      <w:divBdr>
        <w:top w:val="none" w:sz="0" w:space="0" w:color="auto"/>
        <w:left w:val="none" w:sz="0" w:space="0" w:color="auto"/>
        <w:bottom w:val="none" w:sz="0" w:space="0" w:color="auto"/>
        <w:right w:val="none" w:sz="0" w:space="0" w:color="auto"/>
      </w:divBdr>
    </w:div>
    <w:div w:id="372583638">
      <w:bodyDiv w:val="1"/>
      <w:marLeft w:val="0"/>
      <w:marRight w:val="0"/>
      <w:marTop w:val="0"/>
      <w:marBottom w:val="0"/>
      <w:divBdr>
        <w:top w:val="none" w:sz="0" w:space="0" w:color="auto"/>
        <w:left w:val="none" w:sz="0" w:space="0" w:color="auto"/>
        <w:bottom w:val="none" w:sz="0" w:space="0" w:color="auto"/>
        <w:right w:val="none" w:sz="0" w:space="0" w:color="auto"/>
      </w:divBdr>
    </w:div>
    <w:div w:id="372924415">
      <w:bodyDiv w:val="1"/>
      <w:marLeft w:val="0"/>
      <w:marRight w:val="0"/>
      <w:marTop w:val="0"/>
      <w:marBottom w:val="0"/>
      <w:divBdr>
        <w:top w:val="none" w:sz="0" w:space="0" w:color="auto"/>
        <w:left w:val="none" w:sz="0" w:space="0" w:color="auto"/>
        <w:bottom w:val="none" w:sz="0" w:space="0" w:color="auto"/>
        <w:right w:val="none" w:sz="0" w:space="0" w:color="auto"/>
      </w:divBdr>
    </w:div>
    <w:div w:id="395787620">
      <w:bodyDiv w:val="1"/>
      <w:marLeft w:val="0"/>
      <w:marRight w:val="0"/>
      <w:marTop w:val="0"/>
      <w:marBottom w:val="0"/>
      <w:divBdr>
        <w:top w:val="none" w:sz="0" w:space="0" w:color="auto"/>
        <w:left w:val="none" w:sz="0" w:space="0" w:color="auto"/>
        <w:bottom w:val="none" w:sz="0" w:space="0" w:color="auto"/>
        <w:right w:val="none" w:sz="0" w:space="0" w:color="auto"/>
      </w:divBdr>
    </w:div>
    <w:div w:id="461196898">
      <w:bodyDiv w:val="1"/>
      <w:marLeft w:val="0"/>
      <w:marRight w:val="0"/>
      <w:marTop w:val="0"/>
      <w:marBottom w:val="0"/>
      <w:divBdr>
        <w:top w:val="none" w:sz="0" w:space="0" w:color="auto"/>
        <w:left w:val="none" w:sz="0" w:space="0" w:color="auto"/>
        <w:bottom w:val="none" w:sz="0" w:space="0" w:color="auto"/>
        <w:right w:val="none" w:sz="0" w:space="0" w:color="auto"/>
      </w:divBdr>
    </w:div>
    <w:div w:id="501898973">
      <w:bodyDiv w:val="1"/>
      <w:marLeft w:val="0"/>
      <w:marRight w:val="0"/>
      <w:marTop w:val="0"/>
      <w:marBottom w:val="0"/>
      <w:divBdr>
        <w:top w:val="none" w:sz="0" w:space="0" w:color="auto"/>
        <w:left w:val="none" w:sz="0" w:space="0" w:color="auto"/>
        <w:bottom w:val="none" w:sz="0" w:space="0" w:color="auto"/>
        <w:right w:val="none" w:sz="0" w:space="0" w:color="auto"/>
      </w:divBdr>
    </w:div>
    <w:div w:id="507331681">
      <w:bodyDiv w:val="1"/>
      <w:marLeft w:val="0"/>
      <w:marRight w:val="0"/>
      <w:marTop w:val="0"/>
      <w:marBottom w:val="0"/>
      <w:divBdr>
        <w:top w:val="none" w:sz="0" w:space="0" w:color="auto"/>
        <w:left w:val="none" w:sz="0" w:space="0" w:color="auto"/>
        <w:bottom w:val="none" w:sz="0" w:space="0" w:color="auto"/>
        <w:right w:val="none" w:sz="0" w:space="0" w:color="auto"/>
      </w:divBdr>
    </w:div>
    <w:div w:id="521011320">
      <w:bodyDiv w:val="1"/>
      <w:marLeft w:val="0"/>
      <w:marRight w:val="0"/>
      <w:marTop w:val="0"/>
      <w:marBottom w:val="0"/>
      <w:divBdr>
        <w:top w:val="none" w:sz="0" w:space="0" w:color="auto"/>
        <w:left w:val="none" w:sz="0" w:space="0" w:color="auto"/>
        <w:bottom w:val="none" w:sz="0" w:space="0" w:color="auto"/>
        <w:right w:val="none" w:sz="0" w:space="0" w:color="auto"/>
      </w:divBdr>
    </w:div>
    <w:div w:id="573588826">
      <w:bodyDiv w:val="1"/>
      <w:marLeft w:val="0"/>
      <w:marRight w:val="0"/>
      <w:marTop w:val="0"/>
      <w:marBottom w:val="0"/>
      <w:divBdr>
        <w:top w:val="none" w:sz="0" w:space="0" w:color="auto"/>
        <w:left w:val="none" w:sz="0" w:space="0" w:color="auto"/>
        <w:bottom w:val="none" w:sz="0" w:space="0" w:color="auto"/>
        <w:right w:val="none" w:sz="0" w:space="0" w:color="auto"/>
      </w:divBdr>
    </w:div>
    <w:div w:id="579173559">
      <w:bodyDiv w:val="1"/>
      <w:marLeft w:val="0"/>
      <w:marRight w:val="0"/>
      <w:marTop w:val="0"/>
      <w:marBottom w:val="0"/>
      <w:divBdr>
        <w:top w:val="none" w:sz="0" w:space="0" w:color="auto"/>
        <w:left w:val="none" w:sz="0" w:space="0" w:color="auto"/>
        <w:bottom w:val="none" w:sz="0" w:space="0" w:color="auto"/>
        <w:right w:val="none" w:sz="0" w:space="0" w:color="auto"/>
      </w:divBdr>
    </w:div>
    <w:div w:id="579290360">
      <w:bodyDiv w:val="1"/>
      <w:marLeft w:val="0"/>
      <w:marRight w:val="0"/>
      <w:marTop w:val="0"/>
      <w:marBottom w:val="0"/>
      <w:divBdr>
        <w:top w:val="none" w:sz="0" w:space="0" w:color="auto"/>
        <w:left w:val="none" w:sz="0" w:space="0" w:color="auto"/>
        <w:bottom w:val="none" w:sz="0" w:space="0" w:color="auto"/>
        <w:right w:val="none" w:sz="0" w:space="0" w:color="auto"/>
      </w:divBdr>
    </w:div>
    <w:div w:id="587813251">
      <w:bodyDiv w:val="1"/>
      <w:marLeft w:val="0"/>
      <w:marRight w:val="0"/>
      <w:marTop w:val="0"/>
      <w:marBottom w:val="0"/>
      <w:divBdr>
        <w:top w:val="none" w:sz="0" w:space="0" w:color="auto"/>
        <w:left w:val="none" w:sz="0" w:space="0" w:color="auto"/>
        <w:bottom w:val="none" w:sz="0" w:space="0" w:color="auto"/>
        <w:right w:val="none" w:sz="0" w:space="0" w:color="auto"/>
      </w:divBdr>
    </w:div>
    <w:div w:id="629826046">
      <w:bodyDiv w:val="1"/>
      <w:marLeft w:val="0"/>
      <w:marRight w:val="0"/>
      <w:marTop w:val="0"/>
      <w:marBottom w:val="0"/>
      <w:divBdr>
        <w:top w:val="none" w:sz="0" w:space="0" w:color="auto"/>
        <w:left w:val="none" w:sz="0" w:space="0" w:color="auto"/>
        <w:bottom w:val="none" w:sz="0" w:space="0" w:color="auto"/>
        <w:right w:val="none" w:sz="0" w:space="0" w:color="auto"/>
      </w:divBdr>
    </w:div>
    <w:div w:id="725759401">
      <w:bodyDiv w:val="1"/>
      <w:marLeft w:val="0"/>
      <w:marRight w:val="0"/>
      <w:marTop w:val="0"/>
      <w:marBottom w:val="0"/>
      <w:divBdr>
        <w:top w:val="none" w:sz="0" w:space="0" w:color="auto"/>
        <w:left w:val="none" w:sz="0" w:space="0" w:color="auto"/>
        <w:bottom w:val="none" w:sz="0" w:space="0" w:color="auto"/>
        <w:right w:val="none" w:sz="0" w:space="0" w:color="auto"/>
      </w:divBdr>
    </w:div>
    <w:div w:id="729230826">
      <w:bodyDiv w:val="1"/>
      <w:marLeft w:val="0"/>
      <w:marRight w:val="0"/>
      <w:marTop w:val="0"/>
      <w:marBottom w:val="0"/>
      <w:divBdr>
        <w:top w:val="none" w:sz="0" w:space="0" w:color="auto"/>
        <w:left w:val="none" w:sz="0" w:space="0" w:color="auto"/>
        <w:bottom w:val="none" w:sz="0" w:space="0" w:color="auto"/>
        <w:right w:val="none" w:sz="0" w:space="0" w:color="auto"/>
      </w:divBdr>
    </w:div>
    <w:div w:id="739838068">
      <w:bodyDiv w:val="1"/>
      <w:marLeft w:val="0"/>
      <w:marRight w:val="0"/>
      <w:marTop w:val="0"/>
      <w:marBottom w:val="0"/>
      <w:divBdr>
        <w:top w:val="none" w:sz="0" w:space="0" w:color="auto"/>
        <w:left w:val="none" w:sz="0" w:space="0" w:color="auto"/>
        <w:bottom w:val="none" w:sz="0" w:space="0" w:color="auto"/>
        <w:right w:val="none" w:sz="0" w:space="0" w:color="auto"/>
      </w:divBdr>
    </w:div>
    <w:div w:id="806969155">
      <w:bodyDiv w:val="1"/>
      <w:marLeft w:val="0"/>
      <w:marRight w:val="0"/>
      <w:marTop w:val="0"/>
      <w:marBottom w:val="0"/>
      <w:divBdr>
        <w:top w:val="none" w:sz="0" w:space="0" w:color="auto"/>
        <w:left w:val="none" w:sz="0" w:space="0" w:color="auto"/>
        <w:bottom w:val="none" w:sz="0" w:space="0" w:color="auto"/>
        <w:right w:val="none" w:sz="0" w:space="0" w:color="auto"/>
      </w:divBdr>
    </w:div>
    <w:div w:id="833642608">
      <w:bodyDiv w:val="1"/>
      <w:marLeft w:val="0"/>
      <w:marRight w:val="0"/>
      <w:marTop w:val="0"/>
      <w:marBottom w:val="0"/>
      <w:divBdr>
        <w:top w:val="none" w:sz="0" w:space="0" w:color="auto"/>
        <w:left w:val="none" w:sz="0" w:space="0" w:color="auto"/>
        <w:bottom w:val="none" w:sz="0" w:space="0" w:color="auto"/>
        <w:right w:val="none" w:sz="0" w:space="0" w:color="auto"/>
      </w:divBdr>
    </w:div>
    <w:div w:id="877860290">
      <w:bodyDiv w:val="1"/>
      <w:marLeft w:val="0"/>
      <w:marRight w:val="0"/>
      <w:marTop w:val="0"/>
      <w:marBottom w:val="0"/>
      <w:divBdr>
        <w:top w:val="none" w:sz="0" w:space="0" w:color="auto"/>
        <w:left w:val="none" w:sz="0" w:space="0" w:color="auto"/>
        <w:bottom w:val="none" w:sz="0" w:space="0" w:color="auto"/>
        <w:right w:val="none" w:sz="0" w:space="0" w:color="auto"/>
      </w:divBdr>
    </w:div>
    <w:div w:id="948202849">
      <w:bodyDiv w:val="1"/>
      <w:marLeft w:val="0"/>
      <w:marRight w:val="0"/>
      <w:marTop w:val="0"/>
      <w:marBottom w:val="0"/>
      <w:divBdr>
        <w:top w:val="none" w:sz="0" w:space="0" w:color="auto"/>
        <w:left w:val="none" w:sz="0" w:space="0" w:color="auto"/>
        <w:bottom w:val="none" w:sz="0" w:space="0" w:color="auto"/>
        <w:right w:val="none" w:sz="0" w:space="0" w:color="auto"/>
      </w:divBdr>
    </w:div>
    <w:div w:id="1030299155">
      <w:bodyDiv w:val="1"/>
      <w:marLeft w:val="0"/>
      <w:marRight w:val="0"/>
      <w:marTop w:val="0"/>
      <w:marBottom w:val="0"/>
      <w:divBdr>
        <w:top w:val="none" w:sz="0" w:space="0" w:color="auto"/>
        <w:left w:val="none" w:sz="0" w:space="0" w:color="auto"/>
        <w:bottom w:val="none" w:sz="0" w:space="0" w:color="auto"/>
        <w:right w:val="none" w:sz="0" w:space="0" w:color="auto"/>
      </w:divBdr>
    </w:div>
    <w:div w:id="1098911338">
      <w:bodyDiv w:val="1"/>
      <w:marLeft w:val="0"/>
      <w:marRight w:val="0"/>
      <w:marTop w:val="0"/>
      <w:marBottom w:val="0"/>
      <w:divBdr>
        <w:top w:val="none" w:sz="0" w:space="0" w:color="auto"/>
        <w:left w:val="none" w:sz="0" w:space="0" w:color="auto"/>
        <w:bottom w:val="none" w:sz="0" w:space="0" w:color="auto"/>
        <w:right w:val="none" w:sz="0" w:space="0" w:color="auto"/>
      </w:divBdr>
    </w:div>
    <w:div w:id="1121459832">
      <w:bodyDiv w:val="1"/>
      <w:marLeft w:val="0"/>
      <w:marRight w:val="0"/>
      <w:marTop w:val="0"/>
      <w:marBottom w:val="0"/>
      <w:divBdr>
        <w:top w:val="none" w:sz="0" w:space="0" w:color="auto"/>
        <w:left w:val="none" w:sz="0" w:space="0" w:color="auto"/>
        <w:bottom w:val="none" w:sz="0" w:space="0" w:color="auto"/>
        <w:right w:val="none" w:sz="0" w:space="0" w:color="auto"/>
      </w:divBdr>
    </w:div>
    <w:div w:id="1168252131">
      <w:bodyDiv w:val="1"/>
      <w:marLeft w:val="0"/>
      <w:marRight w:val="0"/>
      <w:marTop w:val="0"/>
      <w:marBottom w:val="0"/>
      <w:divBdr>
        <w:top w:val="none" w:sz="0" w:space="0" w:color="auto"/>
        <w:left w:val="none" w:sz="0" w:space="0" w:color="auto"/>
        <w:bottom w:val="none" w:sz="0" w:space="0" w:color="auto"/>
        <w:right w:val="none" w:sz="0" w:space="0" w:color="auto"/>
      </w:divBdr>
    </w:div>
    <w:div w:id="1207989209">
      <w:bodyDiv w:val="1"/>
      <w:marLeft w:val="0"/>
      <w:marRight w:val="0"/>
      <w:marTop w:val="0"/>
      <w:marBottom w:val="0"/>
      <w:divBdr>
        <w:top w:val="none" w:sz="0" w:space="0" w:color="auto"/>
        <w:left w:val="none" w:sz="0" w:space="0" w:color="auto"/>
        <w:bottom w:val="none" w:sz="0" w:space="0" w:color="auto"/>
        <w:right w:val="none" w:sz="0" w:space="0" w:color="auto"/>
      </w:divBdr>
    </w:div>
    <w:div w:id="1234706958">
      <w:bodyDiv w:val="1"/>
      <w:marLeft w:val="0"/>
      <w:marRight w:val="0"/>
      <w:marTop w:val="0"/>
      <w:marBottom w:val="0"/>
      <w:divBdr>
        <w:top w:val="none" w:sz="0" w:space="0" w:color="auto"/>
        <w:left w:val="none" w:sz="0" w:space="0" w:color="auto"/>
        <w:bottom w:val="none" w:sz="0" w:space="0" w:color="auto"/>
        <w:right w:val="none" w:sz="0" w:space="0" w:color="auto"/>
      </w:divBdr>
    </w:div>
    <w:div w:id="1283224882">
      <w:bodyDiv w:val="1"/>
      <w:marLeft w:val="0"/>
      <w:marRight w:val="0"/>
      <w:marTop w:val="0"/>
      <w:marBottom w:val="0"/>
      <w:divBdr>
        <w:top w:val="none" w:sz="0" w:space="0" w:color="auto"/>
        <w:left w:val="none" w:sz="0" w:space="0" w:color="auto"/>
        <w:bottom w:val="none" w:sz="0" w:space="0" w:color="auto"/>
        <w:right w:val="none" w:sz="0" w:space="0" w:color="auto"/>
      </w:divBdr>
    </w:div>
    <w:div w:id="1284268515">
      <w:bodyDiv w:val="1"/>
      <w:marLeft w:val="0"/>
      <w:marRight w:val="0"/>
      <w:marTop w:val="0"/>
      <w:marBottom w:val="0"/>
      <w:divBdr>
        <w:top w:val="none" w:sz="0" w:space="0" w:color="auto"/>
        <w:left w:val="none" w:sz="0" w:space="0" w:color="auto"/>
        <w:bottom w:val="none" w:sz="0" w:space="0" w:color="auto"/>
        <w:right w:val="none" w:sz="0" w:space="0" w:color="auto"/>
      </w:divBdr>
    </w:div>
    <w:div w:id="1292708309">
      <w:bodyDiv w:val="1"/>
      <w:marLeft w:val="0"/>
      <w:marRight w:val="0"/>
      <w:marTop w:val="0"/>
      <w:marBottom w:val="0"/>
      <w:divBdr>
        <w:top w:val="none" w:sz="0" w:space="0" w:color="auto"/>
        <w:left w:val="none" w:sz="0" w:space="0" w:color="auto"/>
        <w:bottom w:val="none" w:sz="0" w:space="0" w:color="auto"/>
        <w:right w:val="none" w:sz="0" w:space="0" w:color="auto"/>
      </w:divBdr>
    </w:div>
    <w:div w:id="1311210626">
      <w:bodyDiv w:val="1"/>
      <w:marLeft w:val="0"/>
      <w:marRight w:val="0"/>
      <w:marTop w:val="0"/>
      <w:marBottom w:val="0"/>
      <w:divBdr>
        <w:top w:val="none" w:sz="0" w:space="0" w:color="auto"/>
        <w:left w:val="none" w:sz="0" w:space="0" w:color="auto"/>
        <w:bottom w:val="none" w:sz="0" w:space="0" w:color="auto"/>
        <w:right w:val="none" w:sz="0" w:space="0" w:color="auto"/>
      </w:divBdr>
    </w:div>
    <w:div w:id="1328561125">
      <w:bodyDiv w:val="1"/>
      <w:marLeft w:val="0"/>
      <w:marRight w:val="0"/>
      <w:marTop w:val="0"/>
      <w:marBottom w:val="0"/>
      <w:divBdr>
        <w:top w:val="none" w:sz="0" w:space="0" w:color="auto"/>
        <w:left w:val="none" w:sz="0" w:space="0" w:color="auto"/>
        <w:bottom w:val="none" w:sz="0" w:space="0" w:color="auto"/>
        <w:right w:val="none" w:sz="0" w:space="0" w:color="auto"/>
      </w:divBdr>
    </w:div>
    <w:div w:id="1330720458">
      <w:bodyDiv w:val="1"/>
      <w:marLeft w:val="0"/>
      <w:marRight w:val="0"/>
      <w:marTop w:val="0"/>
      <w:marBottom w:val="0"/>
      <w:divBdr>
        <w:top w:val="none" w:sz="0" w:space="0" w:color="auto"/>
        <w:left w:val="none" w:sz="0" w:space="0" w:color="auto"/>
        <w:bottom w:val="none" w:sz="0" w:space="0" w:color="auto"/>
        <w:right w:val="none" w:sz="0" w:space="0" w:color="auto"/>
      </w:divBdr>
    </w:div>
    <w:div w:id="1340234256">
      <w:bodyDiv w:val="1"/>
      <w:marLeft w:val="0"/>
      <w:marRight w:val="0"/>
      <w:marTop w:val="0"/>
      <w:marBottom w:val="0"/>
      <w:divBdr>
        <w:top w:val="none" w:sz="0" w:space="0" w:color="auto"/>
        <w:left w:val="none" w:sz="0" w:space="0" w:color="auto"/>
        <w:bottom w:val="none" w:sz="0" w:space="0" w:color="auto"/>
        <w:right w:val="none" w:sz="0" w:space="0" w:color="auto"/>
      </w:divBdr>
    </w:div>
    <w:div w:id="1348361678">
      <w:bodyDiv w:val="1"/>
      <w:marLeft w:val="0"/>
      <w:marRight w:val="0"/>
      <w:marTop w:val="0"/>
      <w:marBottom w:val="0"/>
      <w:divBdr>
        <w:top w:val="none" w:sz="0" w:space="0" w:color="auto"/>
        <w:left w:val="none" w:sz="0" w:space="0" w:color="auto"/>
        <w:bottom w:val="none" w:sz="0" w:space="0" w:color="auto"/>
        <w:right w:val="none" w:sz="0" w:space="0" w:color="auto"/>
      </w:divBdr>
    </w:div>
    <w:div w:id="1351175177">
      <w:bodyDiv w:val="1"/>
      <w:marLeft w:val="0"/>
      <w:marRight w:val="0"/>
      <w:marTop w:val="0"/>
      <w:marBottom w:val="0"/>
      <w:divBdr>
        <w:top w:val="none" w:sz="0" w:space="0" w:color="auto"/>
        <w:left w:val="none" w:sz="0" w:space="0" w:color="auto"/>
        <w:bottom w:val="none" w:sz="0" w:space="0" w:color="auto"/>
        <w:right w:val="none" w:sz="0" w:space="0" w:color="auto"/>
      </w:divBdr>
    </w:div>
    <w:div w:id="1411807965">
      <w:bodyDiv w:val="1"/>
      <w:marLeft w:val="0"/>
      <w:marRight w:val="0"/>
      <w:marTop w:val="0"/>
      <w:marBottom w:val="0"/>
      <w:divBdr>
        <w:top w:val="none" w:sz="0" w:space="0" w:color="auto"/>
        <w:left w:val="none" w:sz="0" w:space="0" w:color="auto"/>
        <w:bottom w:val="none" w:sz="0" w:space="0" w:color="auto"/>
        <w:right w:val="none" w:sz="0" w:space="0" w:color="auto"/>
      </w:divBdr>
    </w:div>
    <w:div w:id="1420784168">
      <w:bodyDiv w:val="1"/>
      <w:marLeft w:val="0"/>
      <w:marRight w:val="0"/>
      <w:marTop w:val="0"/>
      <w:marBottom w:val="0"/>
      <w:divBdr>
        <w:top w:val="none" w:sz="0" w:space="0" w:color="auto"/>
        <w:left w:val="none" w:sz="0" w:space="0" w:color="auto"/>
        <w:bottom w:val="none" w:sz="0" w:space="0" w:color="auto"/>
        <w:right w:val="none" w:sz="0" w:space="0" w:color="auto"/>
      </w:divBdr>
    </w:div>
    <w:div w:id="1484278580">
      <w:bodyDiv w:val="1"/>
      <w:marLeft w:val="0"/>
      <w:marRight w:val="0"/>
      <w:marTop w:val="0"/>
      <w:marBottom w:val="0"/>
      <w:divBdr>
        <w:top w:val="none" w:sz="0" w:space="0" w:color="auto"/>
        <w:left w:val="none" w:sz="0" w:space="0" w:color="auto"/>
        <w:bottom w:val="none" w:sz="0" w:space="0" w:color="auto"/>
        <w:right w:val="none" w:sz="0" w:space="0" w:color="auto"/>
      </w:divBdr>
    </w:div>
    <w:div w:id="1501501117">
      <w:bodyDiv w:val="1"/>
      <w:marLeft w:val="0"/>
      <w:marRight w:val="0"/>
      <w:marTop w:val="0"/>
      <w:marBottom w:val="0"/>
      <w:divBdr>
        <w:top w:val="none" w:sz="0" w:space="0" w:color="auto"/>
        <w:left w:val="none" w:sz="0" w:space="0" w:color="auto"/>
        <w:bottom w:val="none" w:sz="0" w:space="0" w:color="auto"/>
        <w:right w:val="none" w:sz="0" w:space="0" w:color="auto"/>
      </w:divBdr>
    </w:div>
    <w:div w:id="1536306607">
      <w:bodyDiv w:val="1"/>
      <w:marLeft w:val="0"/>
      <w:marRight w:val="0"/>
      <w:marTop w:val="0"/>
      <w:marBottom w:val="0"/>
      <w:divBdr>
        <w:top w:val="none" w:sz="0" w:space="0" w:color="auto"/>
        <w:left w:val="none" w:sz="0" w:space="0" w:color="auto"/>
        <w:bottom w:val="none" w:sz="0" w:space="0" w:color="auto"/>
        <w:right w:val="none" w:sz="0" w:space="0" w:color="auto"/>
      </w:divBdr>
    </w:div>
    <w:div w:id="1545142710">
      <w:bodyDiv w:val="1"/>
      <w:marLeft w:val="0"/>
      <w:marRight w:val="0"/>
      <w:marTop w:val="0"/>
      <w:marBottom w:val="0"/>
      <w:divBdr>
        <w:top w:val="none" w:sz="0" w:space="0" w:color="auto"/>
        <w:left w:val="none" w:sz="0" w:space="0" w:color="auto"/>
        <w:bottom w:val="none" w:sz="0" w:space="0" w:color="auto"/>
        <w:right w:val="none" w:sz="0" w:space="0" w:color="auto"/>
      </w:divBdr>
    </w:div>
    <w:div w:id="1604413535">
      <w:bodyDiv w:val="1"/>
      <w:marLeft w:val="0"/>
      <w:marRight w:val="0"/>
      <w:marTop w:val="0"/>
      <w:marBottom w:val="0"/>
      <w:divBdr>
        <w:top w:val="none" w:sz="0" w:space="0" w:color="auto"/>
        <w:left w:val="none" w:sz="0" w:space="0" w:color="auto"/>
        <w:bottom w:val="none" w:sz="0" w:space="0" w:color="auto"/>
        <w:right w:val="none" w:sz="0" w:space="0" w:color="auto"/>
      </w:divBdr>
    </w:div>
    <w:div w:id="1634602295">
      <w:bodyDiv w:val="1"/>
      <w:marLeft w:val="0"/>
      <w:marRight w:val="0"/>
      <w:marTop w:val="0"/>
      <w:marBottom w:val="0"/>
      <w:divBdr>
        <w:top w:val="none" w:sz="0" w:space="0" w:color="auto"/>
        <w:left w:val="none" w:sz="0" w:space="0" w:color="auto"/>
        <w:bottom w:val="none" w:sz="0" w:space="0" w:color="auto"/>
        <w:right w:val="none" w:sz="0" w:space="0" w:color="auto"/>
      </w:divBdr>
    </w:div>
    <w:div w:id="1658655315">
      <w:bodyDiv w:val="1"/>
      <w:marLeft w:val="0"/>
      <w:marRight w:val="0"/>
      <w:marTop w:val="0"/>
      <w:marBottom w:val="0"/>
      <w:divBdr>
        <w:top w:val="none" w:sz="0" w:space="0" w:color="auto"/>
        <w:left w:val="none" w:sz="0" w:space="0" w:color="auto"/>
        <w:bottom w:val="none" w:sz="0" w:space="0" w:color="auto"/>
        <w:right w:val="none" w:sz="0" w:space="0" w:color="auto"/>
      </w:divBdr>
    </w:div>
    <w:div w:id="1683314186">
      <w:bodyDiv w:val="1"/>
      <w:marLeft w:val="0"/>
      <w:marRight w:val="0"/>
      <w:marTop w:val="0"/>
      <w:marBottom w:val="0"/>
      <w:divBdr>
        <w:top w:val="none" w:sz="0" w:space="0" w:color="auto"/>
        <w:left w:val="none" w:sz="0" w:space="0" w:color="auto"/>
        <w:bottom w:val="none" w:sz="0" w:space="0" w:color="auto"/>
        <w:right w:val="none" w:sz="0" w:space="0" w:color="auto"/>
      </w:divBdr>
    </w:div>
    <w:div w:id="1850944921">
      <w:bodyDiv w:val="1"/>
      <w:marLeft w:val="0"/>
      <w:marRight w:val="0"/>
      <w:marTop w:val="0"/>
      <w:marBottom w:val="0"/>
      <w:divBdr>
        <w:top w:val="none" w:sz="0" w:space="0" w:color="auto"/>
        <w:left w:val="none" w:sz="0" w:space="0" w:color="auto"/>
        <w:bottom w:val="none" w:sz="0" w:space="0" w:color="auto"/>
        <w:right w:val="none" w:sz="0" w:space="0" w:color="auto"/>
      </w:divBdr>
    </w:div>
    <w:div w:id="1883326108">
      <w:bodyDiv w:val="1"/>
      <w:marLeft w:val="0"/>
      <w:marRight w:val="0"/>
      <w:marTop w:val="0"/>
      <w:marBottom w:val="0"/>
      <w:divBdr>
        <w:top w:val="none" w:sz="0" w:space="0" w:color="auto"/>
        <w:left w:val="none" w:sz="0" w:space="0" w:color="auto"/>
        <w:bottom w:val="none" w:sz="0" w:space="0" w:color="auto"/>
        <w:right w:val="none" w:sz="0" w:space="0" w:color="auto"/>
      </w:divBdr>
    </w:div>
    <w:div w:id="1935169261">
      <w:bodyDiv w:val="1"/>
      <w:marLeft w:val="0"/>
      <w:marRight w:val="0"/>
      <w:marTop w:val="0"/>
      <w:marBottom w:val="0"/>
      <w:divBdr>
        <w:top w:val="none" w:sz="0" w:space="0" w:color="auto"/>
        <w:left w:val="none" w:sz="0" w:space="0" w:color="auto"/>
        <w:bottom w:val="none" w:sz="0" w:space="0" w:color="auto"/>
        <w:right w:val="none" w:sz="0" w:space="0" w:color="auto"/>
      </w:divBdr>
    </w:div>
    <w:div w:id="2078046923">
      <w:bodyDiv w:val="1"/>
      <w:marLeft w:val="0"/>
      <w:marRight w:val="0"/>
      <w:marTop w:val="0"/>
      <w:marBottom w:val="0"/>
      <w:divBdr>
        <w:top w:val="none" w:sz="0" w:space="0" w:color="auto"/>
        <w:left w:val="none" w:sz="0" w:space="0" w:color="auto"/>
        <w:bottom w:val="none" w:sz="0" w:space="0" w:color="auto"/>
        <w:right w:val="none" w:sz="0" w:space="0" w:color="auto"/>
      </w:divBdr>
    </w:div>
    <w:div w:id="2090807841">
      <w:bodyDiv w:val="1"/>
      <w:marLeft w:val="0"/>
      <w:marRight w:val="0"/>
      <w:marTop w:val="0"/>
      <w:marBottom w:val="0"/>
      <w:divBdr>
        <w:top w:val="none" w:sz="0" w:space="0" w:color="auto"/>
        <w:left w:val="none" w:sz="0" w:space="0" w:color="auto"/>
        <w:bottom w:val="none" w:sz="0" w:space="0" w:color="auto"/>
        <w:right w:val="none" w:sz="0" w:space="0" w:color="auto"/>
      </w:divBdr>
      <w:divsChild>
        <w:div w:id="122231897">
          <w:marLeft w:val="0"/>
          <w:marRight w:val="0"/>
          <w:marTop w:val="0"/>
          <w:marBottom w:val="0"/>
          <w:divBdr>
            <w:top w:val="none" w:sz="0" w:space="0" w:color="auto"/>
            <w:left w:val="none" w:sz="0" w:space="0" w:color="auto"/>
            <w:bottom w:val="none" w:sz="0" w:space="0" w:color="auto"/>
            <w:right w:val="none" w:sz="0" w:space="0" w:color="auto"/>
          </w:divBdr>
        </w:div>
        <w:div w:id="477260781">
          <w:marLeft w:val="0"/>
          <w:marRight w:val="0"/>
          <w:marTop w:val="0"/>
          <w:marBottom w:val="0"/>
          <w:divBdr>
            <w:top w:val="none" w:sz="0" w:space="0" w:color="auto"/>
            <w:left w:val="none" w:sz="0" w:space="0" w:color="auto"/>
            <w:bottom w:val="none" w:sz="0" w:space="0" w:color="auto"/>
            <w:right w:val="none" w:sz="0" w:space="0" w:color="auto"/>
          </w:divBdr>
          <w:divsChild>
            <w:div w:id="368184435">
              <w:marLeft w:val="0"/>
              <w:marRight w:val="0"/>
              <w:marTop w:val="0"/>
              <w:marBottom w:val="0"/>
              <w:divBdr>
                <w:top w:val="none" w:sz="0" w:space="0" w:color="auto"/>
                <w:left w:val="none" w:sz="0" w:space="0" w:color="auto"/>
                <w:bottom w:val="none" w:sz="0" w:space="0" w:color="auto"/>
                <w:right w:val="none" w:sz="0" w:space="0" w:color="auto"/>
              </w:divBdr>
            </w:div>
            <w:div w:id="592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co-cdo.org/en/our-current-projects/ai-adm-and-the-justice-system/regulating-ai-critical-issues-and-choices/" TargetMode="External"/><Relationship Id="rId18" Type="http://schemas.openxmlformats.org/officeDocument/2006/relationships/hyperlink" Target="https://www.lco-cdo.org" TargetMode="External"/><Relationship Id="rId26" Type="http://schemas.openxmlformats.org/officeDocument/2006/relationships/hyperlink" Target="https://www.lco-cdo.org/CrimAI" TargetMode="External"/><Relationship Id="rId39" Type="http://schemas.openxmlformats.org/officeDocument/2006/relationships/hyperlink" Target="https://bsky.app/profile/lco-cdo.bsky.social" TargetMode="External"/><Relationship Id="rId21" Type="http://schemas.openxmlformats.org/officeDocument/2006/relationships/hyperlink" Target="https://x.com/LCO_CDO/status/1671873862278021121" TargetMode="External"/><Relationship Id="rId34" Type="http://schemas.openxmlformats.org/officeDocument/2006/relationships/hyperlink" Target="mailto:rfritsch@lco-cdo.org"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co-cdo.org" TargetMode="External"/><Relationship Id="rId29" Type="http://schemas.openxmlformats.org/officeDocument/2006/relationships/hyperlink" Target="https://www.lco-cdo.org/en/our-current-projects/ai-adm-and-the-justice-system/ai-and-adm-in-the-civil-administrative-justice-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co-cdo.org/en/our-current-projects/ai-adm-and-the-justice-system/" TargetMode="External"/><Relationship Id="rId24" Type="http://schemas.openxmlformats.org/officeDocument/2006/relationships/hyperlink" Target="https://www.lco-cdo.org/CrimAI" TargetMode="External"/><Relationship Id="rId32" Type="http://schemas.openxmlformats.org/officeDocument/2006/relationships/hyperlink" Target="https://www.lco-cdo.org/en/our-current-projects/crimai/ai-in-criminal-justice-in-ontario/" TargetMode="External"/><Relationship Id="rId37" Type="http://schemas.openxmlformats.org/officeDocument/2006/relationships/hyperlink" Target="https://www.lco-cdo.org" TargetMode="External"/><Relationship Id="rId40" Type="http://schemas.openxmlformats.org/officeDocument/2006/relationships/hyperlink" Target="https://x.com/LCO_CDO/status/167187386227802112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co-cdo.org/en/our-current-projects/crimai/ai-in-criminal-justice-in-ontario/" TargetMode="External"/><Relationship Id="rId23" Type="http://schemas.openxmlformats.org/officeDocument/2006/relationships/image" Target="media/image3.png"/><Relationship Id="rId28" Type="http://schemas.openxmlformats.org/officeDocument/2006/relationships/hyperlink" Target="https://www.lco-cdo.org/en/our-current-projects/ai-adm-and-the-justice-system/human-rights-ai-impact-assessment/" TargetMode="External"/><Relationship Id="rId36" Type="http://schemas.openxmlformats.org/officeDocument/2006/relationships/hyperlink" Target="mailto:LawCommission@lco-cdo.org" TargetMode="External"/><Relationship Id="rId10" Type="http://schemas.openxmlformats.org/officeDocument/2006/relationships/hyperlink" Target="https://www.lco-cdo.org/en/our-current-projects/ai-adm-and-the-justice-system/human-rights-ai-impact-assessment/" TargetMode="External"/><Relationship Id="rId19" Type="http://schemas.openxmlformats.org/officeDocument/2006/relationships/hyperlink" Target="https://linkedin.com/company/lco-cdo" TargetMode="External"/><Relationship Id="rId31" Type="http://schemas.openxmlformats.org/officeDocument/2006/relationships/hyperlink" Target="https://www.lco-cdo.org/en/our-current-projects/ai-adm-and-the-justice-syste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co-cdo.org/en/our-current-projects/ai-adm-and-the-justice-system/" TargetMode="External"/><Relationship Id="rId22" Type="http://schemas.openxmlformats.org/officeDocument/2006/relationships/hyperlink" Target="https://www.youtube.com/@lawcommissionofontario8724" TargetMode="External"/><Relationship Id="rId27" Type="http://schemas.openxmlformats.org/officeDocument/2006/relationships/hyperlink" Target="https://www.lco-cdo.org/" TargetMode="External"/><Relationship Id="rId30" Type="http://schemas.openxmlformats.org/officeDocument/2006/relationships/hyperlink" Target="https://www.lco-cdo.org/en/our-current-projects/ai-adm-and-the-justice-system/regulating-ai-critical-issues-and-choices/" TargetMode="External"/><Relationship Id="rId35" Type="http://schemas.openxmlformats.org/officeDocument/2006/relationships/hyperlink" Target="https://www.lco-cdo.org/CrimAI"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co-cdo.org/en/our-current-projects/ai-adm-and-the-justice-system/ai-and-adm-in-the-civil-administrative-justice-system/" TargetMode="External"/><Relationship Id="rId17" Type="http://schemas.openxmlformats.org/officeDocument/2006/relationships/hyperlink" Target="mailto:LawCommission@lco-cdo.org" TargetMode="External"/><Relationship Id="rId25" Type="http://schemas.openxmlformats.org/officeDocument/2006/relationships/hyperlink" Target="https://www.lco-cdo.org/crimai" TargetMode="External"/><Relationship Id="rId33" Type="http://schemas.openxmlformats.org/officeDocument/2006/relationships/hyperlink" Target="https://www.lco-cdo.org/en/our-current-projects/crimai/" TargetMode="External"/><Relationship Id="rId38" Type="http://schemas.openxmlformats.org/officeDocument/2006/relationships/hyperlink" Target="https://linkedin.com/company/lco-cdo" TargetMode="External"/><Relationship Id="rId20" Type="http://schemas.openxmlformats.org/officeDocument/2006/relationships/hyperlink" Target="https://bsky.app/profile/lco-cdo.bsky.social" TargetMode="External"/><Relationship Id="rId41" Type="http://schemas.openxmlformats.org/officeDocument/2006/relationships/hyperlink" Target="https://www.youtube.com/@lawcommissionofontario8724"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lco-cdo.org/en/our-current-projects/crimai/" TargetMode="External"/><Relationship Id="rId18" Type="http://schemas.openxmlformats.org/officeDocument/2006/relationships/hyperlink" Target="https://www.lco-cdo.org/en/our-current-projects/ai-adm-and-the-justice-system/regulating-ai-critical-issues-and-choices/" TargetMode="External"/><Relationship Id="rId26" Type="http://schemas.openxmlformats.org/officeDocument/2006/relationships/hyperlink" Target="https://eur-lex.europa.eu/legal-content/EN/TXT/?uri=CELEX%3A32024R1689" TargetMode="External"/><Relationship Id="rId39" Type="http://schemas.openxmlformats.org/officeDocument/2006/relationships/hyperlink" Target="https://www.ontario.ca/laws/statute/24e24" TargetMode="External"/><Relationship Id="rId21" Type="http://schemas.openxmlformats.org/officeDocument/2006/relationships/hyperlink" Target="https://www.partnershiponai.org/report-on-machine-learning-in-risk-assessment-tools-in-the-u-s-criminal-justice-system/" TargetMode="External"/><Relationship Id="rId34" Type="http://schemas.openxmlformats.org/officeDocument/2006/relationships/hyperlink" Target="https://pacc-ccap.ca/aida-open-letter/" TargetMode="External"/><Relationship Id="rId42" Type="http://schemas.openxmlformats.org/officeDocument/2006/relationships/hyperlink" Target="https://tpsb.ca/policies-by-laws/board-policies/195-use-of-artificial-intelligence-technology" TargetMode="External"/><Relationship Id="rId47" Type="http://schemas.openxmlformats.org/officeDocument/2006/relationships/hyperlink" Target="https://www.priv.gc.ca/en/opc-actions-and-decisions/ar_index/202021/sr_rcmp/" TargetMode="External"/><Relationship Id="rId50" Type="http://schemas.openxmlformats.org/officeDocument/2006/relationships/hyperlink" Target="https://www.fct-cf.gc.ca/en/pages/law-and-practice/artificial-intelligence" TargetMode="External"/><Relationship Id="rId55" Type="http://schemas.openxmlformats.org/officeDocument/2006/relationships/hyperlink" Target="https://cjc-ccm.ca/en/news/canadian-judicial-council-issues-guidelines-use-artificial-intelligence-canadian-courts" TargetMode="External"/><Relationship Id="rId7" Type="http://schemas.openxmlformats.org/officeDocument/2006/relationships/hyperlink" Target="https://www.ipc.on.ca/wp-content/uploads/2024/01/2024-01-19-facial-recognition-and-mugshot-databases-guidance-for-police-in-ontario-e.pdf" TargetMode="External"/><Relationship Id="rId2" Type="http://schemas.openxmlformats.org/officeDocument/2006/relationships/hyperlink" Target="https://ssrn.com/abstract=3516382" TargetMode="External"/><Relationship Id="rId16" Type="http://schemas.openxmlformats.org/officeDocument/2006/relationships/hyperlink" Target="https://www.courtinnovation.org/sites/default/files/media/document/2019/Beyond_The_Algorithm.pdf" TargetMode="External"/><Relationship Id="rId29" Type="http://schemas.openxmlformats.org/officeDocument/2006/relationships/hyperlink" Target="https://www.nyc.gov/site/nypd/about/about-nypd/equipment-tech/facial-recognition.page" TargetMode="External"/><Relationship Id="rId11" Type="http://schemas.openxmlformats.org/officeDocument/2006/relationships/hyperlink" Target="https://www.priv.gc.ca/en/opc-actions-and-decisions/investigations/investigations-into-businesses/2021/pipeda-2021-001/" TargetMode="External"/><Relationship Id="rId24" Type="http://schemas.openxmlformats.org/officeDocument/2006/relationships/hyperlink" Target="https://www.brennancenter.org/our-work/research-reports/new-york-city-police-department-surveillance-technology" TargetMode="External"/><Relationship Id="rId32" Type="http://schemas.openxmlformats.org/officeDocument/2006/relationships/hyperlink" Target="https://bccla.org/policy-submission/joint-letter-of-concern-regarding-the-artificial-intelligence-and-data-act-aida/" TargetMode="External"/><Relationship Id="rId37" Type="http://schemas.openxmlformats.org/officeDocument/2006/relationships/hyperlink" Target="https://rcmp.ca/en/news/2024/09/rcmp-publishes-transparency-blueprint-snapshot-operational-technologies" TargetMode="External"/><Relationship Id="rId40" Type="http://schemas.openxmlformats.org/officeDocument/2006/relationships/hyperlink" Target="https://www.ontariocanada.com/registry/view.do?postingId=47433&amp;language=en" TargetMode="External"/><Relationship Id="rId45" Type="http://schemas.openxmlformats.org/officeDocument/2006/relationships/hyperlink" Target="https://www.ipc.on.ca/resource/letter-to-the-toronto-police-services-board-about-facial-recognition-mugshot-database-program/" TargetMode="External"/><Relationship Id="rId53" Type="http://schemas.openxmlformats.org/officeDocument/2006/relationships/hyperlink" Target="https://www.manitobacourts.mb.ca/site/assets/files/2045/practice_direction_-_use_of_artificial_intelligence_in_court_submissions.pdf" TargetMode="External"/><Relationship Id="rId5" Type="http://schemas.openxmlformats.org/officeDocument/2006/relationships/hyperlink" Target="https://unicri.org/A-Policy-Framework%20-for-Responsible-Limits-on-Facial-Recognition" TargetMode="External"/><Relationship Id="rId10" Type="http://schemas.openxmlformats.org/officeDocument/2006/relationships/hyperlink" Target="https://www.gao.gov/assets/gao-21-518.pdf" TargetMode="External"/><Relationship Id="rId19" Type="http://schemas.openxmlformats.org/officeDocument/2006/relationships/hyperlink" Target="https://www.lco-cdo.org/en/our-current-projects/ai-adm-and-the-justice-system/human-rights-ai-impact-assessment/" TargetMode="External"/><Relationship Id="rId31" Type="http://schemas.openxmlformats.org/officeDocument/2006/relationships/hyperlink" Target="https://www.parl.ca/legisinfo/en/bill/44-1/c-27" TargetMode="External"/><Relationship Id="rId44" Type="http://schemas.openxmlformats.org/officeDocument/2006/relationships/hyperlink" Target="https://durhampoliceboard.ca/policies-and-bylaws/" TargetMode="External"/><Relationship Id="rId52" Type="http://schemas.openxmlformats.org/officeDocument/2006/relationships/hyperlink" Target="https://www.albertacourts.ca/kb/resources/announcements/notice-to-the-profession-public---use-of-ai-in-citations-submissions" TargetMode="External"/><Relationship Id="rId4" Type="http://schemas.openxmlformats.org/officeDocument/2006/relationships/hyperlink" Target="https://citizenlab.ca/wp-content/uploads/2020/09/To-Surveil-and-Predict.pdf" TargetMode="External"/><Relationship Id="rId9" Type="http://schemas.openxmlformats.org/officeDocument/2006/relationships/hyperlink" Target="https://www.europol.europa.eu/publication-events/main-reports/ai-and-policing" TargetMode="External"/><Relationship Id="rId14" Type="http://schemas.openxmlformats.org/officeDocument/2006/relationships/hyperlink" Target="https://www.lco-cdo.org/wp-content/uploads/2020/10/Criminal-AI-Paper-Final-Oct-28-2020.pdf" TargetMode="External"/><Relationship Id="rId22" Type="http://schemas.openxmlformats.org/officeDocument/2006/relationships/hyperlink" Target="https://www.policingproject.org/regulating-police-use-of-face-recognition-technology%20at%201-2" TargetMode="External"/><Relationship Id="rId27" Type="http://schemas.openxmlformats.org/officeDocument/2006/relationships/hyperlink" Target="https://www.federalregister.gov/documents/2023/11/01/2023-24283/safe-secure-and-trustworthy-development-and-use-of-artificial-intelligence" TargetMode="External"/><Relationship Id="rId30" Type="http://schemas.openxmlformats.org/officeDocument/2006/relationships/hyperlink" Target="https://www.policingproject.org/regulating-police-use-of-face-recognition-technology" TargetMode="External"/><Relationship Id="rId35" Type="http://schemas.openxmlformats.org/officeDocument/2006/relationships/hyperlink" Target="https://www.tbs-sct.canada.ca/pol/doc-eng.aspx?id=32592" TargetMode="External"/><Relationship Id="rId43" Type="http://schemas.openxmlformats.org/officeDocument/2006/relationships/hyperlink" Target="https://tpsb.ca/jdownloads-categories?task=download.send&amp;id=813:january-11-2024-public-agenda&amp;catid=32" TargetMode="External"/><Relationship Id="rId48" Type="http://schemas.openxmlformats.org/officeDocument/2006/relationships/hyperlink" Target="https://www.priv.gc.ca/en/privacy-topics/surveillance/police-and-public-safety/gd_fr_202205/" TargetMode="External"/><Relationship Id="rId8" Type="http://schemas.openxmlformats.org/officeDocument/2006/relationships/hyperlink" Target="https://www.interpol.int/en/How-we-work/Innovation/Artificial-Intelligence-Toolkit" TargetMode="External"/><Relationship Id="rId51" Type="http://schemas.openxmlformats.org/officeDocument/2006/relationships/hyperlink" Target="https://www.fct-cf.gc.ca/Content/assets/pdf/base/2023-12-20-notice-use-of-ai-in-court-proceedings.pdf" TargetMode="External"/><Relationship Id="rId3" Type="http://schemas.openxmlformats.org/officeDocument/2006/relationships/hyperlink" Target="https://nap.nationalacademies.org/catalog/28037/law-enforcement-use-of-predictive-policing-approaches-proceedings-of-a" TargetMode="External"/><Relationship Id="rId12" Type="http://schemas.openxmlformats.org/officeDocument/2006/relationships/hyperlink" Target="https://tpsb.ca/jdownloads-categories?task=download.send&amp;id=813:january-11-2024-public-agenda&amp;catid=32" TargetMode="External"/><Relationship Id="rId17" Type="http://schemas.openxmlformats.org/officeDocument/2006/relationships/hyperlink" Target="https://www.lco-cdo.org/en/our-current-projects/crimai/" TargetMode="External"/><Relationship Id="rId25" Type="http://schemas.openxmlformats.org/officeDocument/2006/relationships/hyperlink" Target="https://www.ipc.on.ca/wp-content/uploads/2024/01/2024-01-19-facial-recognition-and-mugshot-databases-guidance-for-police-in-ontario-e.pdf" TargetMode="External"/><Relationship Id="rId33" Type="http://schemas.openxmlformats.org/officeDocument/2006/relationships/hyperlink" Target="https://www.ourcommons.ca/content/Committee/441/INDU/WebDoc/WD12751351/12751351/MinisterOfInnovationScienceAndIndustry-2023-11-28-Combined-e.pdf" TargetMode="External"/><Relationship Id="rId38" Type="http://schemas.openxmlformats.org/officeDocument/2006/relationships/hyperlink" Target="https://rcmp.ca/en/corporate-information/publications-and-manuals/national-technology-onboarding-program-transparency-blueprint" TargetMode="External"/><Relationship Id="rId46" Type="http://schemas.openxmlformats.org/officeDocument/2006/relationships/hyperlink" Target="https://www.ohrc.on.ca/en/news_centre/approval-high-risk-technologies-under-toronto-police-services-boards-policy-use-artificial" TargetMode="External"/><Relationship Id="rId20" Type="http://schemas.openxmlformats.org/officeDocument/2006/relationships/hyperlink" Target="https://nvlpubs.nist.gov/nistpubs/ir/2019/NIST.IR.8280.pdf" TargetMode="External"/><Relationship Id="rId41" Type="http://schemas.openxmlformats.org/officeDocument/2006/relationships/hyperlink" Target="https://www.lco-cdo.org/en/lco-releases-bill-194-submission/" TargetMode="External"/><Relationship Id="rId54" Type="http://schemas.openxmlformats.org/officeDocument/2006/relationships/hyperlink" Target="https://coursuperieureduquebec.ca/fileadmin/cour-superieure/Communiques_and_Directives/Montreal/Avis_a_la_Communite_juridique-Utilisation_intelligence_artificielle_EN.pdf" TargetMode="External"/><Relationship Id="rId1" Type="http://schemas.openxmlformats.org/officeDocument/2006/relationships/hyperlink" Target="https://www.lco-cdo.org/en/our-current-projects/crimai/" TargetMode="External"/><Relationship Id="rId6" Type="http://schemas.openxmlformats.org/officeDocument/2006/relationships/hyperlink" Target="https://inclo.net/pillars/surveillance-and-digital-rights/principles-for-use-of-frt/" TargetMode="External"/><Relationship Id="rId15" Type="http://schemas.openxmlformats.org/officeDocument/2006/relationships/hyperlink" Target="https://www.nacdl.org/Article/June2018-MakingSenseofPretrialRiskAsses" TargetMode="External"/><Relationship Id="rId23" Type="http://schemas.openxmlformats.org/officeDocument/2006/relationships/hyperlink" Target="https://www.stopspying.org/seeing-is-misbelieving" TargetMode="External"/><Relationship Id="rId28" Type="http://schemas.openxmlformats.org/officeDocument/2006/relationships/hyperlink" Target="https://ainowinstitute.org/publication/regulating-biometrics-global-approaches-and-open-questions" TargetMode="External"/><Relationship Id="rId36" Type="http://schemas.openxmlformats.org/officeDocument/2006/relationships/hyperlink" Target="https://www.canada.ca/en/government/system/digital-government/digital-government-innovations/responsible-use-ai/algorithmic-impact-assessment.html" TargetMode="External"/><Relationship Id="rId49" Type="http://schemas.openxmlformats.org/officeDocument/2006/relationships/hyperlink" Target="https://www.ipc.on.ca/en/resources-and-decisions/guidance-use-automated-licence-plate-recognition-systems-police-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752F0-F0F0-4E15-9E79-FF2746BE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8857</Words>
  <Characters>50491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Fritsch</dc:creator>
  <cp:keywords/>
  <dc:description/>
  <cp:lastModifiedBy>Ryan Fritsch</cp:lastModifiedBy>
  <cp:revision>17</cp:revision>
  <cp:lastPrinted>2025-04-07T22:02:00Z</cp:lastPrinted>
  <dcterms:created xsi:type="dcterms:W3CDTF">2025-04-11T19:31:00Z</dcterms:created>
  <dcterms:modified xsi:type="dcterms:W3CDTF">2025-04-15T14:18:00Z</dcterms:modified>
</cp:coreProperties>
</file>